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83BF6" w14:textId="0FDED747" w:rsidR="00F97452" w:rsidRPr="00F97452" w:rsidRDefault="00504F80" w:rsidP="00F97452">
      <w:pPr>
        <w:pStyle w:val="Header"/>
        <w:tabs>
          <w:tab w:val="left" w:pos="0"/>
        </w:tabs>
        <w:rPr>
          <w:b/>
          <w:bCs/>
          <w:color w:val="000000"/>
          <w:sz w:val="20"/>
        </w:rPr>
      </w:pPr>
      <w:r w:rsidRPr="00F97452">
        <w:rPr>
          <w:b/>
          <w:sz w:val="20"/>
        </w:rPr>
        <w:t>Department of Veterans Affairs</w:t>
      </w:r>
      <w:r>
        <w:rPr>
          <w:sz w:val="20"/>
        </w:rPr>
        <w:tab/>
      </w:r>
      <w:r w:rsidR="00F97452">
        <w:rPr>
          <w:sz w:val="20"/>
        </w:rPr>
        <w:tab/>
      </w:r>
      <w:r w:rsidR="00333643" w:rsidRPr="00333643">
        <w:rPr>
          <w:b/>
          <w:sz w:val="20"/>
        </w:rPr>
        <w:t>M21-1,</w:t>
      </w:r>
      <w:r w:rsidR="00333643">
        <w:rPr>
          <w:sz w:val="20"/>
        </w:rPr>
        <w:t xml:space="preserve"> </w:t>
      </w:r>
      <w:r w:rsidR="00F97452" w:rsidRPr="00F97452">
        <w:rPr>
          <w:b/>
          <w:bCs/>
          <w:color w:val="000000"/>
          <w:sz w:val="20"/>
        </w:rPr>
        <w:t xml:space="preserve">Part </w:t>
      </w:r>
      <w:r w:rsidR="00B94332">
        <w:rPr>
          <w:b/>
          <w:bCs/>
          <w:color w:val="000000"/>
          <w:sz w:val="20"/>
        </w:rPr>
        <w:t>III</w:t>
      </w:r>
      <w:r w:rsidR="00F97452" w:rsidRPr="00F97452">
        <w:rPr>
          <w:b/>
          <w:bCs/>
          <w:color w:val="000000"/>
          <w:sz w:val="20"/>
        </w:rPr>
        <w:t xml:space="preserve">, Subpart </w:t>
      </w:r>
      <w:proofErr w:type="gramStart"/>
      <w:r w:rsidR="00B94332">
        <w:rPr>
          <w:b/>
          <w:bCs/>
          <w:color w:val="000000"/>
          <w:sz w:val="20"/>
        </w:rPr>
        <w:t>iv</w:t>
      </w:r>
      <w:proofErr w:type="gramEnd"/>
    </w:p>
    <w:p w14:paraId="2C583BF7" w14:textId="2B5FF402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0E015D">
        <w:rPr>
          <w:b/>
          <w:bCs/>
          <w:sz w:val="20"/>
        </w:rPr>
        <w:t xml:space="preserve">  </w:t>
      </w:r>
      <w:r w:rsidR="00055237">
        <w:rPr>
          <w:b/>
          <w:bCs/>
          <w:sz w:val="20"/>
        </w:rPr>
        <w:t xml:space="preserve"> </w:t>
      </w:r>
      <w:r w:rsidR="00055237">
        <w:rPr>
          <w:b/>
          <w:bCs/>
          <w:sz w:val="20"/>
        </w:rPr>
        <w:tab/>
        <w:t xml:space="preserve">       </w:t>
      </w:r>
      <w:bookmarkStart w:id="0" w:name="_GoBack"/>
      <w:bookmarkEnd w:id="0"/>
      <w:r w:rsidR="00055237">
        <w:rPr>
          <w:b/>
          <w:bCs/>
          <w:sz w:val="20"/>
        </w:rPr>
        <w:t>June 15, 2015</w:t>
      </w:r>
    </w:p>
    <w:p w14:paraId="2C583BF8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2C583BF9" w14:textId="77777777" w:rsidR="00504F80" w:rsidRDefault="00504F80" w:rsidP="00504F80">
      <w:pPr>
        <w:rPr>
          <w:b/>
          <w:bCs/>
          <w:sz w:val="20"/>
        </w:rPr>
      </w:pPr>
    </w:p>
    <w:p w14:paraId="2C583BFA" w14:textId="77777777" w:rsidR="00504F80" w:rsidRDefault="00504F80" w:rsidP="00504F80">
      <w:pPr>
        <w:pStyle w:val="Heading4"/>
      </w:pPr>
      <w:r>
        <w:t xml:space="preserve">Transmittal Sheet </w:t>
      </w:r>
    </w:p>
    <w:p w14:paraId="2C583BFB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2C583C06" w14:textId="77777777" w:rsidTr="00C24D50">
        <w:tc>
          <w:tcPr>
            <w:tcW w:w="1728" w:type="dxa"/>
          </w:tcPr>
          <w:p w14:paraId="2C583BFC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2C583BFD" w14:textId="2C490F75" w:rsidR="00504F80" w:rsidRPr="00F97452" w:rsidRDefault="00504F80" w:rsidP="00237C22">
            <w:pPr>
              <w:pStyle w:val="BlockText"/>
              <w:rPr>
                <w:szCs w:val="20"/>
              </w:rPr>
            </w:pPr>
            <w:r>
              <w:t>The table below describes the changes included in this revision of Veterans Benefits Manual M21-1</w:t>
            </w:r>
            <w:r w:rsidR="00715A72">
              <w:t xml:space="preserve"> Part III “General Claims Process,” Subpart iv, “General Rating Process</w:t>
            </w:r>
            <w:r w:rsidR="004D38B1">
              <w:t xml:space="preserve">.” </w:t>
            </w:r>
          </w:p>
          <w:p w14:paraId="2C583BFE" w14:textId="77777777" w:rsidR="00504F80" w:rsidRPr="00F97452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2C583C03" w14:textId="368EFF4F" w:rsidR="00504F80" w:rsidRDefault="00504F80" w:rsidP="003E3E95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</w:t>
            </w:r>
            <w:r>
              <w:t xml:space="preserve">:  Minor editorial changes have been made to </w:t>
            </w:r>
          </w:p>
          <w:p w14:paraId="56A3F143" w14:textId="46B8613F" w:rsidR="002C0FD4" w:rsidRDefault="002C0FD4" w:rsidP="003E3E95">
            <w:pPr>
              <w:pStyle w:val="BulletText1"/>
            </w:pPr>
            <w:r>
              <w:t>update incorrect or obsolete references</w:t>
            </w:r>
          </w:p>
          <w:p w14:paraId="68F2A0C7" w14:textId="77777777" w:rsidR="00591BA0" w:rsidRDefault="00591BA0" w:rsidP="003E3E95">
            <w:pPr>
              <w:pStyle w:val="BulletText1"/>
            </w:pPr>
            <w:r>
              <w:t>update obsolete terminology, where appropriate</w:t>
            </w:r>
          </w:p>
          <w:p w14:paraId="3F0EE755" w14:textId="41BD1FE4" w:rsidR="00591BA0" w:rsidRDefault="00591BA0" w:rsidP="003E3E95">
            <w:pPr>
              <w:pStyle w:val="BulletText1"/>
            </w:pPr>
            <w:r>
              <w:t>renumber each topic based on the standard that the first topic in each section is Topic 1</w:t>
            </w:r>
          </w:p>
          <w:p w14:paraId="0F7D584E" w14:textId="77777777" w:rsidR="00591BA0" w:rsidRDefault="00591BA0" w:rsidP="003E3E95">
            <w:pPr>
              <w:pStyle w:val="BulletText1"/>
            </w:pPr>
            <w:r>
              <w:t>reassign alphabetical designations to individual blocks, where necessary, to account for new and/or deleted blocks within a topic</w:t>
            </w:r>
          </w:p>
          <w:p w14:paraId="6DBFE4DC" w14:textId="3FCC6238" w:rsidR="00591BA0" w:rsidRDefault="00591BA0" w:rsidP="003E3E95">
            <w:pPr>
              <w:pStyle w:val="BulletText1"/>
            </w:pPr>
            <w:r>
              <w:t>update section and topic titles to more accurately reflect their content</w:t>
            </w:r>
          </w:p>
          <w:p w14:paraId="2C583C04" w14:textId="71FB1B90" w:rsidR="00504F80" w:rsidRDefault="00504F80" w:rsidP="003E3E95">
            <w:pPr>
              <w:pStyle w:val="BulletText1"/>
            </w:pPr>
            <w:r>
              <w:t xml:space="preserve">clarify </w:t>
            </w:r>
            <w:r w:rsidR="00591BA0">
              <w:t>b</w:t>
            </w:r>
            <w:r w:rsidR="00D61497">
              <w:t xml:space="preserve">lock labels and/or </w:t>
            </w:r>
            <w:r w:rsidR="00591BA0">
              <w:t>b</w:t>
            </w:r>
            <w:r>
              <w:t xml:space="preserve">lock text, and </w:t>
            </w:r>
          </w:p>
          <w:p w14:paraId="2C583C05" w14:textId="01989CFF" w:rsidR="00504F80" w:rsidRPr="00EA3A57" w:rsidRDefault="00504F80" w:rsidP="003E3E95">
            <w:pPr>
              <w:pStyle w:val="BulletText1"/>
            </w:pPr>
            <w:proofErr w:type="gramStart"/>
            <w:r>
              <w:t>bring</w:t>
            </w:r>
            <w:proofErr w:type="gramEnd"/>
            <w:r>
              <w:t xml:space="preserve"> the documen</w:t>
            </w:r>
            <w:r w:rsidR="001D3993">
              <w:t>ts into conformance with M21-1</w:t>
            </w:r>
            <w:r>
              <w:t xml:space="preserve"> standards.</w:t>
            </w:r>
          </w:p>
        </w:tc>
      </w:tr>
    </w:tbl>
    <w:p w14:paraId="2C583C07" w14:textId="75BBC6F4" w:rsidR="00C24D50" w:rsidRDefault="00C24D50" w:rsidP="00C24D50"/>
    <w:tbl>
      <w:tblPr>
        <w:tblW w:w="932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4"/>
        <w:gridCol w:w="2430"/>
      </w:tblGrid>
      <w:tr w:rsidR="00147D21" w14:paraId="2C583C0B" w14:textId="77777777" w:rsidTr="00333643">
        <w:trPr>
          <w:trHeight w:val="180"/>
        </w:trPr>
        <w:tc>
          <w:tcPr>
            <w:tcW w:w="3697" w:type="pct"/>
            <w:shd w:val="clear" w:color="auto" w:fill="auto"/>
          </w:tcPr>
          <w:p w14:paraId="2C583C08" w14:textId="77777777" w:rsidR="00147D21" w:rsidRPr="00C24D50" w:rsidRDefault="00147D21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303" w:type="pct"/>
            <w:shd w:val="clear" w:color="auto" w:fill="auto"/>
          </w:tcPr>
          <w:p w14:paraId="2C583C09" w14:textId="77777777" w:rsidR="00147D21" w:rsidRPr="00C24D50" w:rsidRDefault="00147D21" w:rsidP="002F7397">
            <w:pPr>
              <w:pStyle w:val="TableHeaderText"/>
            </w:pPr>
            <w:r w:rsidRPr="00C24D50">
              <w:t>Citation</w:t>
            </w:r>
          </w:p>
        </w:tc>
      </w:tr>
      <w:tr w:rsidR="00147D21" w14:paraId="39A44E52" w14:textId="77777777" w:rsidTr="00333643">
        <w:trPr>
          <w:trHeight w:val="180"/>
        </w:trPr>
        <w:tc>
          <w:tcPr>
            <w:tcW w:w="3697" w:type="pct"/>
            <w:shd w:val="clear" w:color="auto" w:fill="auto"/>
          </w:tcPr>
          <w:p w14:paraId="65935881" w14:textId="2F5E74B1" w:rsidR="00147D21" w:rsidRDefault="00147D21" w:rsidP="00333643">
            <w:pPr>
              <w:pStyle w:val="BulletText1"/>
              <w:numPr>
                <w:ilvl w:val="0"/>
                <w:numId w:val="0"/>
              </w:numPr>
            </w:pPr>
            <w:r w:rsidRPr="00B37129">
              <w:t xml:space="preserve">To streamline </w:t>
            </w:r>
            <w:r>
              <w:t xml:space="preserve">existing </w:t>
            </w:r>
            <w:r w:rsidR="00333643">
              <w:t xml:space="preserve">old </w:t>
            </w:r>
            <w:r w:rsidRPr="00B37129">
              <w:t>Topic</w:t>
            </w:r>
            <w:r w:rsidR="00333643">
              <w:t xml:space="preserve"> 25,</w:t>
            </w:r>
            <w:r w:rsidRPr="00B37129">
              <w:t xml:space="preserve"> </w:t>
            </w:r>
            <w:r w:rsidR="00333643">
              <w:t>“</w:t>
            </w:r>
            <w:r w:rsidRPr="00B37129">
              <w:t>General Info</w:t>
            </w:r>
            <w:r>
              <w:t>rmation</w:t>
            </w:r>
            <w:r w:rsidR="00333643">
              <w:t xml:space="preserve"> on Neurological and Convulsive Disorders”</w:t>
            </w:r>
            <w:r w:rsidR="00AB77C7">
              <w:t xml:space="preserve"> </w:t>
            </w:r>
            <w:r w:rsidR="007554B6">
              <w:t>and move certain locks to other topics.</w:t>
            </w:r>
          </w:p>
        </w:tc>
        <w:tc>
          <w:tcPr>
            <w:tcW w:w="1303" w:type="pct"/>
            <w:shd w:val="clear" w:color="auto" w:fill="auto"/>
          </w:tcPr>
          <w:p w14:paraId="2C193EC9" w14:textId="6EDCC1CC" w:rsidR="000852D4" w:rsidRDefault="00147D21" w:rsidP="005632B4">
            <w:pPr>
              <w:pStyle w:val="TableText"/>
            </w:pPr>
            <w:r>
              <w:t xml:space="preserve">M21-1, Part III, Subpart iv, Chapter 4, Section G, Topic 1 </w:t>
            </w:r>
          </w:p>
          <w:p w14:paraId="60B739CF" w14:textId="45DDF3BF" w:rsidR="00147D21" w:rsidRDefault="000852D4" w:rsidP="005632B4">
            <w:pPr>
              <w:pStyle w:val="TableText"/>
            </w:pPr>
            <w:r>
              <w:t>(</w:t>
            </w:r>
            <w:r w:rsidR="00147D21" w:rsidRPr="00B37129">
              <w:t>III.iv.4.G.1</w:t>
            </w:r>
            <w:r>
              <w:t>)</w:t>
            </w:r>
          </w:p>
        </w:tc>
      </w:tr>
      <w:tr w:rsidR="001C2212" w14:paraId="224ABAF5" w14:textId="77777777" w:rsidTr="00333643">
        <w:trPr>
          <w:trHeight w:val="180"/>
        </w:trPr>
        <w:tc>
          <w:tcPr>
            <w:tcW w:w="3697" w:type="pct"/>
            <w:shd w:val="clear" w:color="auto" w:fill="auto"/>
          </w:tcPr>
          <w:p w14:paraId="3595B8AE" w14:textId="2603A007" w:rsidR="001C2212" w:rsidRDefault="00D2258B" w:rsidP="00333643">
            <w:pPr>
              <w:pStyle w:val="BulletText1"/>
              <w:numPr>
                <w:ilvl w:val="0"/>
                <w:numId w:val="0"/>
              </w:numPr>
            </w:pPr>
            <w:r>
              <w:t>To clarify etiological considerations for neurological conditions by including table.</w:t>
            </w:r>
          </w:p>
        </w:tc>
        <w:tc>
          <w:tcPr>
            <w:tcW w:w="1303" w:type="pct"/>
            <w:shd w:val="clear" w:color="auto" w:fill="auto"/>
          </w:tcPr>
          <w:p w14:paraId="6B662F6A" w14:textId="77777777" w:rsidR="001C2212" w:rsidRDefault="001C2212" w:rsidP="005632B4">
            <w:pPr>
              <w:pStyle w:val="TableText"/>
            </w:pPr>
          </w:p>
          <w:p w14:paraId="4BDAC1D4" w14:textId="4A35D7AA" w:rsidR="00D2258B" w:rsidRDefault="00D2258B" w:rsidP="005632B4">
            <w:pPr>
              <w:pStyle w:val="TableText"/>
            </w:pPr>
            <w:r>
              <w:t>III.iv.4.G.1.a</w:t>
            </w:r>
          </w:p>
        </w:tc>
      </w:tr>
      <w:tr w:rsidR="00D2258B" w14:paraId="59F97548" w14:textId="77777777" w:rsidTr="00333643">
        <w:trPr>
          <w:trHeight w:val="180"/>
        </w:trPr>
        <w:tc>
          <w:tcPr>
            <w:tcW w:w="3697" w:type="pct"/>
            <w:shd w:val="clear" w:color="auto" w:fill="auto"/>
          </w:tcPr>
          <w:p w14:paraId="05155ACE" w14:textId="476952B5" w:rsidR="00D2258B" w:rsidRDefault="00D2258B" w:rsidP="00333643">
            <w:pPr>
              <w:pStyle w:val="BulletText1"/>
              <w:numPr>
                <w:ilvl w:val="0"/>
                <w:numId w:val="0"/>
              </w:numPr>
            </w:pPr>
            <w:r>
              <w:t>To re</w:t>
            </w:r>
            <w:r w:rsidR="00333643">
              <w:t>locate old Block f, “I</w:t>
            </w:r>
            <w:r>
              <w:t xml:space="preserve">dentifying </w:t>
            </w:r>
            <w:r w:rsidR="00333643">
              <w:t>E</w:t>
            </w:r>
            <w:r>
              <w:t xml:space="preserve">pilepsy” </w:t>
            </w:r>
            <w:r w:rsidR="00333643">
              <w:t>to new Block b.</w:t>
            </w:r>
          </w:p>
        </w:tc>
        <w:tc>
          <w:tcPr>
            <w:tcW w:w="1303" w:type="pct"/>
            <w:shd w:val="clear" w:color="auto" w:fill="auto"/>
          </w:tcPr>
          <w:p w14:paraId="1F494C1B" w14:textId="67D2A250" w:rsidR="00D2258B" w:rsidRDefault="00D2258B" w:rsidP="005632B4">
            <w:pPr>
              <w:pStyle w:val="TableText"/>
            </w:pPr>
            <w:r>
              <w:t>III.iv.4.G.1.b</w:t>
            </w:r>
          </w:p>
        </w:tc>
      </w:tr>
      <w:tr w:rsidR="009B69E1" w14:paraId="62BDF7E7" w14:textId="77777777" w:rsidTr="00333643">
        <w:trPr>
          <w:trHeight w:val="180"/>
        </w:trPr>
        <w:tc>
          <w:tcPr>
            <w:tcW w:w="3697" w:type="pct"/>
            <w:shd w:val="clear" w:color="auto" w:fill="auto"/>
          </w:tcPr>
          <w:p w14:paraId="42323220" w14:textId="0BB682F2" w:rsidR="009B69E1" w:rsidRDefault="009B69E1" w:rsidP="00333643">
            <w:pPr>
              <w:pStyle w:val="BulletText1"/>
              <w:numPr>
                <w:ilvl w:val="0"/>
                <w:numId w:val="0"/>
              </w:numPr>
            </w:pPr>
            <w:r>
              <w:t>To relocate Blocks about traumatic brain injury (TBI), peripheral nerves, amyotrophic lateral sclerosis (ALS), and migraine headaches into new Topics.</w:t>
            </w:r>
          </w:p>
        </w:tc>
        <w:tc>
          <w:tcPr>
            <w:tcW w:w="1303" w:type="pct"/>
            <w:shd w:val="clear" w:color="auto" w:fill="auto"/>
          </w:tcPr>
          <w:p w14:paraId="1AB9BE15" w14:textId="321CF53D" w:rsidR="009B69E1" w:rsidRDefault="009B69E1" w:rsidP="005632B4">
            <w:pPr>
              <w:pStyle w:val="TableText"/>
            </w:pPr>
            <w:r>
              <w:t>III.iv.4.G.1.c-i (old)</w:t>
            </w:r>
          </w:p>
        </w:tc>
      </w:tr>
      <w:tr w:rsidR="00580614" w14:paraId="287D246C" w14:textId="77777777" w:rsidTr="00333643">
        <w:trPr>
          <w:trHeight w:val="180"/>
        </w:trPr>
        <w:tc>
          <w:tcPr>
            <w:tcW w:w="3697" w:type="pct"/>
            <w:shd w:val="clear" w:color="auto" w:fill="auto"/>
          </w:tcPr>
          <w:p w14:paraId="224F26AA" w14:textId="4A40B296" w:rsidR="009B69E1" w:rsidRDefault="00580614" w:rsidP="00F077EF">
            <w:pPr>
              <w:pStyle w:val="BulletText1"/>
              <w:numPr>
                <w:ilvl w:val="0"/>
                <w:numId w:val="0"/>
              </w:numPr>
            </w:pPr>
            <w:r>
              <w:t xml:space="preserve">To add </w:t>
            </w:r>
            <w:r w:rsidR="006D4615">
              <w:t xml:space="preserve">a </w:t>
            </w:r>
            <w:r>
              <w:t xml:space="preserve">new Topic </w:t>
            </w:r>
            <w:r w:rsidR="009B69E1">
              <w:t>2, “Traumatic Brain Injury,” containing definitions, as well as guidance regarding</w:t>
            </w:r>
          </w:p>
          <w:p w14:paraId="5F06A564" w14:textId="77777777" w:rsidR="009B69E1" w:rsidRDefault="009B69E1" w:rsidP="00F077EF">
            <w:pPr>
              <w:pStyle w:val="BulletText1"/>
              <w:numPr>
                <w:ilvl w:val="0"/>
                <w:numId w:val="0"/>
              </w:numPr>
            </w:pPr>
          </w:p>
          <w:p w14:paraId="4EFA19EF" w14:textId="77777777" w:rsidR="00580614" w:rsidRDefault="009B69E1" w:rsidP="00257858">
            <w:pPr>
              <w:pStyle w:val="BulletText1"/>
            </w:pPr>
            <w:r>
              <w:t>TBI residuals</w:t>
            </w:r>
          </w:p>
          <w:p w14:paraId="0269F3DE" w14:textId="77777777" w:rsidR="009B69E1" w:rsidRDefault="009B69E1" w:rsidP="00257858">
            <w:pPr>
              <w:pStyle w:val="BulletText1"/>
            </w:pPr>
            <w:r>
              <w:t>TBI and mental disorders</w:t>
            </w:r>
          </w:p>
          <w:p w14:paraId="354BA168" w14:textId="77777777" w:rsidR="009B69E1" w:rsidRDefault="009B69E1" w:rsidP="00257858">
            <w:pPr>
              <w:pStyle w:val="BulletText1"/>
            </w:pPr>
            <w:r>
              <w:t>TBI and SMC</w:t>
            </w:r>
          </w:p>
          <w:p w14:paraId="1D03E48B" w14:textId="4821A7FE" w:rsidR="009B69E1" w:rsidRDefault="009B69E1" w:rsidP="00257858">
            <w:pPr>
              <w:pStyle w:val="BulletText1"/>
            </w:pPr>
            <w:r>
              <w:t>evaluating TBI</w:t>
            </w:r>
          </w:p>
          <w:p w14:paraId="1F610CFE" w14:textId="77777777" w:rsidR="009B69E1" w:rsidRDefault="009B69E1" w:rsidP="00257858">
            <w:pPr>
              <w:pStyle w:val="BulletText1"/>
            </w:pPr>
            <w:r>
              <w:t>temporary total evaluations, and</w:t>
            </w:r>
          </w:p>
          <w:p w14:paraId="052ACBA6" w14:textId="42DA1794" w:rsidR="009B69E1" w:rsidRDefault="009B69E1" w:rsidP="00257858">
            <w:pPr>
              <w:pStyle w:val="BulletText1"/>
            </w:pPr>
            <w:proofErr w:type="gramStart"/>
            <w:r>
              <w:t>training</w:t>
            </w:r>
            <w:proofErr w:type="gramEnd"/>
            <w:r>
              <w:t xml:space="preserve"> and signature requirements for TBI decisions.</w:t>
            </w:r>
          </w:p>
        </w:tc>
        <w:tc>
          <w:tcPr>
            <w:tcW w:w="1303" w:type="pct"/>
            <w:shd w:val="clear" w:color="auto" w:fill="auto"/>
          </w:tcPr>
          <w:p w14:paraId="55D35BFF" w14:textId="6470D65D" w:rsidR="00580614" w:rsidRDefault="00580614" w:rsidP="001E284F">
            <w:pPr>
              <w:pStyle w:val="TableText"/>
            </w:pPr>
            <w:r>
              <w:t>III.iv.4.G.2</w:t>
            </w:r>
          </w:p>
        </w:tc>
      </w:tr>
      <w:tr w:rsidR="00202CFF" w14:paraId="6E6C80D9" w14:textId="77777777" w:rsidTr="00333643">
        <w:trPr>
          <w:trHeight w:val="180"/>
        </w:trPr>
        <w:tc>
          <w:tcPr>
            <w:tcW w:w="3697" w:type="pct"/>
            <w:shd w:val="clear" w:color="auto" w:fill="auto"/>
          </w:tcPr>
          <w:p w14:paraId="4D01A438" w14:textId="50466B29" w:rsidR="00202CFF" w:rsidRDefault="00202CFF" w:rsidP="00257858">
            <w:pPr>
              <w:pStyle w:val="BulletText1"/>
              <w:numPr>
                <w:ilvl w:val="0"/>
                <w:numId w:val="0"/>
              </w:numPr>
            </w:pPr>
            <w:r>
              <w:t>To add a new Topic</w:t>
            </w:r>
            <w:r w:rsidR="009B69E1">
              <w:t xml:space="preserve"> 3, “Secondary Conditions Associated with TBI,”</w:t>
            </w:r>
            <w:r w:rsidR="00257858">
              <w:t xml:space="preserve"> containing information</w:t>
            </w:r>
            <w:r>
              <w:t xml:space="preserve"> on </w:t>
            </w:r>
          </w:p>
          <w:p w14:paraId="5305CD89" w14:textId="77777777" w:rsidR="00257858" w:rsidRDefault="00257858" w:rsidP="00257858">
            <w:pPr>
              <w:pStyle w:val="BulletText1"/>
              <w:numPr>
                <w:ilvl w:val="0"/>
                <w:numId w:val="0"/>
              </w:numPr>
            </w:pPr>
          </w:p>
          <w:p w14:paraId="598F3542" w14:textId="77777777" w:rsidR="00257858" w:rsidRDefault="00257858" w:rsidP="00257858">
            <w:pPr>
              <w:pStyle w:val="BulletText1"/>
            </w:pPr>
            <w:r>
              <w:t xml:space="preserve">references to 38 CFR 3.310 regarding </w:t>
            </w:r>
          </w:p>
          <w:p w14:paraId="6AE2F484" w14:textId="2F69CDAA" w:rsidR="00257858" w:rsidRDefault="00257858" w:rsidP="00257858">
            <w:pPr>
              <w:pStyle w:val="BulletText2"/>
            </w:pPr>
            <w:r>
              <w:t>secondary service connection</w:t>
            </w:r>
          </w:p>
          <w:p w14:paraId="0903CA81" w14:textId="77777777" w:rsidR="00257858" w:rsidRDefault="00257858" w:rsidP="00257858">
            <w:pPr>
              <w:pStyle w:val="BulletText2"/>
            </w:pPr>
            <w:r>
              <w:lastRenderedPageBreak/>
              <w:t>the TBI initial severity table</w:t>
            </w:r>
          </w:p>
          <w:p w14:paraId="717C5EDF" w14:textId="77777777" w:rsidR="00257858" w:rsidRDefault="00257858" w:rsidP="00257858">
            <w:pPr>
              <w:pStyle w:val="BulletText1"/>
            </w:pPr>
            <w:r>
              <w:t>initial severity factors</w:t>
            </w:r>
          </w:p>
          <w:p w14:paraId="63E85872" w14:textId="77777777" w:rsidR="00257858" w:rsidRDefault="00257858" w:rsidP="00257858">
            <w:pPr>
              <w:pStyle w:val="BulletText1"/>
            </w:pPr>
            <w:r>
              <w:t>blast injury registry</w:t>
            </w:r>
          </w:p>
          <w:p w14:paraId="4FCFAB8E" w14:textId="77777777" w:rsidR="00257858" w:rsidRDefault="00257858" w:rsidP="00257858">
            <w:pPr>
              <w:pStyle w:val="BulletText1"/>
            </w:pPr>
            <w:r>
              <w:t>diagnosable conditions secondary to TBI</w:t>
            </w:r>
          </w:p>
          <w:p w14:paraId="0EE708B9" w14:textId="77777777" w:rsidR="00257858" w:rsidRDefault="00257858" w:rsidP="00257858">
            <w:pPr>
              <w:pStyle w:val="BulletText1"/>
            </w:pPr>
            <w:r>
              <w:t>considerations when establishing secondary SC, and</w:t>
            </w:r>
          </w:p>
          <w:p w14:paraId="7AA69D85" w14:textId="3889E873" w:rsidR="00257858" w:rsidRDefault="00257858" w:rsidP="00257858">
            <w:pPr>
              <w:pStyle w:val="BulletText1"/>
            </w:pPr>
            <w:proofErr w:type="gramStart"/>
            <w:r>
              <w:t>effective</w:t>
            </w:r>
            <w:proofErr w:type="gramEnd"/>
            <w:r>
              <w:t xml:space="preserve"> dates for conditions secondary to TBI.</w:t>
            </w:r>
          </w:p>
        </w:tc>
        <w:tc>
          <w:tcPr>
            <w:tcW w:w="1303" w:type="pct"/>
            <w:shd w:val="clear" w:color="auto" w:fill="auto"/>
          </w:tcPr>
          <w:p w14:paraId="64F5EA08" w14:textId="5CF55167" w:rsidR="00202CFF" w:rsidRDefault="00202CFF" w:rsidP="006B747D">
            <w:pPr>
              <w:pStyle w:val="TableText"/>
            </w:pPr>
            <w:r>
              <w:lastRenderedPageBreak/>
              <w:t>III.iv.4.G.3</w:t>
            </w:r>
          </w:p>
        </w:tc>
      </w:tr>
      <w:tr w:rsidR="00202CFF" w14:paraId="70D1BABA" w14:textId="77777777" w:rsidTr="00333643">
        <w:trPr>
          <w:trHeight w:val="180"/>
        </w:trPr>
        <w:tc>
          <w:tcPr>
            <w:tcW w:w="3697" w:type="pct"/>
            <w:shd w:val="clear" w:color="auto" w:fill="auto"/>
          </w:tcPr>
          <w:p w14:paraId="337644D4" w14:textId="20D9B3B2" w:rsidR="00202CFF" w:rsidRDefault="00202CFF" w:rsidP="006D4615">
            <w:pPr>
              <w:pStyle w:val="BulletText1"/>
              <w:numPr>
                <w:ilvl w:val="0"/>
                <w:numId w:val="0"/>
              </w:numPr>
            </w:pPr>
            <w:r>
              <w:lastRenderedPageBreak/>
              <w:t>To add a new Topic</w:t>
            </w:r>
            <w:r w:rsidR="006D4615">
              <w:t xml:space="preserve"> 4, “</w:t>
            </w:r>
            <w:r>
              <w:t>Peripheral Nerves,</w:t>
            </w:r>
            <w:r w:rsidR="006D4615">
              <w:t>”</w:t>
            </w:r>
            <w:r>
              <w:t xml:space="preserve"> which clarifies and offers more specific guidance on </w:t>
            </w:r>
          </w:p>
          <w:p w14:paraId="5B3B3914" w14:textId="77777777" w:rsidR="006D4615" w:rsidRDefault="006D4615" w:rsidP="006D4615">
            <w:pPr>
              <w:pStyle w:val="BulletText1"/>
              <w:numPr>
                <w:ilvl w:val="0"/>
                <w:numId w:val="0"/>
              </w:numPr>
            </w:pPr>
          </w:p>
          <w:p w14:paraId="3FB06720" w14:textId="77777777" w:rsidR="006D4615" w:rsidRDefault="006D4615" w:rsidP="006D4615">
            <w:pPr>
              <w:pStyle w:val="BulletText1"/>
            </w:pPr>
            <w:r>
              <w:t>evaluating evidence to assign level of incomplete paralysis</w:t>
            </w:r>
          </w:p>
          <w:p w14:paraId="3D0E09D5" w14:textId="77777777" w:rsidR="006D4615" w:rsidRDefault="006D4615" w:rsidP="006D4615">
            <w:pPr>
              <w:pStyle w:val="BulletText1"/>
            </w:pPr>
            <w:r>
              <w:t>separate evaluations of lower extremity nerve branches</w:t>
            </w:r>
          </w:p>
          <w:p w14:paraId="5E9BFA2F" w14:textId="77777777" w:rsidR="004D2D9B" w:rsidRDefault="004D2D9B" w:rsidP="006D4615">
            <w:pPr>
              <w:pStyle w:val="BulletText1"/>
            </w:pPr>
            <w:r>
              <w:t>determining individual nerves affected in lower extremities, and</w:t>
            </w:r>
          </w:p>
          <w:p w14:paraId="551547EE" w14:textId="3D1CE6A9" w:rsidR="004D2D9B" w:rsidRDefault="004D2D9B" w:rsidP="004D2D9B">
            <w:pPr>
              <w:pStyle w:val="BulletText1"/>
            </w:pPr>
            <w:proofErr w:type="gramStart"/>
            <w:r>
              <w:t>evidence</w:t>
            </w:r>
            <w:proofErr w:type="gramEnd"/>
            <w:r>
              <w:t xml:space="preserve"> or tests for peripheral nerve conditions.</w:t>
            </w:r>
          </w:p>
        </w:tc>
        <w:tc>
          <w:tcPr>
            <w:tcW w:w="1303" w:type="pct"/>
            <w:shd w:val="clear" w:color="auto" w:fill="auto"/>
          </w:tcPr>
          <w:p w14:paraId="2C756029" w14:textId="6F209F87" w:rsidR="00202CFF" w:rsidRDefault="00202CFF" w:rsidP="004A6AA0">
            <w:pPr>
              <w:pStyle w:val="TableText"/>
            </w:pPr>
            <w:r>
              <w:t>III.iv.4.G.4</w:t>
            </w:r>
          </w:p>
        </w:tc>
      </w:tr>
      <w:tr w:rsidR="004D2D9B" w14:paraId="5A8F3F5F" w14:textId="77777777" w:rsidTr="00333643">
        <w:trPr>
          <w:trHeight w:val="180"/>
        </w:trPr>
        <w:tc>
          <w:tcPr>
            <w:tcW w:w="3697" w:type="pct"/>
            <w:shd w:val="clear" w:color="auto" w:fill="auto"/>
          </w:tcPr>
          <w:p w14:paraId="1BCD54DC" w14:textId="6B52B240" w:rsidR="004D2D9B" w:rsidRDefault="004D2D9B" w:rsidP="005F268D">
            <w:pPr>
              <w:pStyle w:val="BulletText1"/>
              <w:numPr>
                <w:ilvl w:val="0"/>
                <w:numId w:val="0"/>
              </w:numPr>
            </w:pPr>
            <w:r>
              <w:t>To relocate old Topic 26, “Multiple Sclerosis” to new Topic 5.</w:t>
            </w:r>
          </w:p>
        </w:tc>
        <w:tc>
          <w:tcPr>
            <w:tcW w:w="1303" w:type="pct"/>
            <w:shd w:val="clear" w:color="auto" w:fill="auto"/>
          </w:tcPr>
          <w:p w14:paraId="2F3D37B7" w14:textId="5E8D255A" w:rsidR="004D2D9B" w:rsidRDefault="004D2D9B" w:rsidP="004A6AA0">
            <w:pPr>
              <w:pStyle w:val="TableText"/>
            </w:pPr>
            <w:r>
              <w:t>III.iv.4.G.5 (old 26)</w:t>
            </w:r>
          </w:p>
        </w:tc>
      </w:tr>
      <w:tr w:rsidR="00202CFF" w14:paraId="22AC1D54" w14:textId="77777777" w:rsidTr="00333643">
        <w:trPr>
          <w:trHeight w:val="180"/>
        </w:trPr>
        <w:tc>
          <w:tcPr>
            <w:tcW w:w="3697" w:type="pct"/>
            <w:shd w:val="clear" w:color="auto" w:fill="auto"/>
          </w:tcPr>
          <w:p w14:paraId="1F8A2C0A" w14:textId="18F9B9B1" w:rsidR="00202CFF" w:rsidRDefault="00202CFF" w:rsidP="004D2D9B">
            <w:pPr>
              <w:pStyle w:val="BulletText1"/>
              <w:numPr>
                <w:ilvl w:val="0"/>
                <w:numId w:val="0"/>
              </w:numPr>
            </w:pPr>
            <w:r>
              <w:t xml:space="preserve">To add a new </w:t>
            </w:r>
            <w:r w:rsidR="004D2D9B">
              <w:t>B</w:t>
            </w:r>
            <w:r>
              <w:t>lock</w:t>
            </w:r>
            <w:r w:rsidR="004D2D9B">
              <w:t xml:space="preserve"> d providing guidance </w:t>
            </w:r>
            <w:r>
              <w:t xml:space="preserve">on </w:t>
            </w:r>
            <w:r w:rsidR="001C2BF3">
              <w:t xml:space="preserve">the requirements for </w:t>
            </w:r>
            <w:r>
              <w:t>presumptive service connection</w:t>
            </w:r>
            <w:r w:rsidR="004D2D9B">
              <w:t xml:space="preserve"> (SC)</w:t>
            </w:r>
            <w:r>
              <w:t xml:space="preserve"> for M</w:t>
            </w:r>
            <w:r w:rsidR="001C2BF3">
              <w:t xml:space="preserve">ultiple </w:t>
            </w:r>
            <w:r>
              <w:t>S</w:t>
            </w:r>
            <w:r w:rsidR="001C2BF3">
              <w:t>clerosis</w:t>
            </w:r>
            <w:r w:rsidR="004D2D9B">
              <w:t>.</w:t>
            </w:r>
          </w:p>
        </w:tc>
        <w:tc>
          <w:tcPr>
            <w:tcW w:w="1303" w:type="pct"/>
            <w:shd w:val="clear" w:color="auto" w:fill="auto"/>
          </w:tcPr>
          <w:p w14:paraId="12C84C42" w14:textId="2F866606" w:rsidR="00202CFF" w:rsidRDefault="00202CFF" w:rsidP="004A6AA0">
            <w:pPr>
              <w:pStyle w:val="TableText"/>
            </w:pPr>
            <w:r>
              <w:t>III.iv.4.G.5.d</w:t>
            </w:r>
          </w:p>
        </w:tc>
      </w:tr>
      <w:tr w:rsidR="00202CFF" w14:paraId="27ECAB53" w14:textId="77777777" w:rsidTr="00333643">
        <w:trPr>
          <w:trHeight w:val="180"/>
        </w:trPr>
        <w:tc>
          <w:tcPr>
            <w:tcW w:w="3697" w:type="pct"/>
            <w:shd w:val="clear" w:color="auto" w:fill="auto"/>
          </w:tcPr>
          <w:p w14:paraId="70D120F6" w14:textId="711289A8" w:rsidR="00202CFF" w:rsidRDefault="00202CFF" w:rsidP="004D2D9B">
            <w:pPr>
              <w:pStyle w:val="BulletText1"/>
              <w:numPr>
                <w:ilvl w:val="0"/>
                <w:numId w:val="0"/>
              </w:numPr>
            </w:pPr>
            <w:r>
              <w:t>To add a new Topic</w:t>
            </w:r>
            <w:r w:rsidR="004D2D9B">
              <w:t xml:space="preserve"> 6, “ALS,” providing evaluation guidelines and information</w:t>
            </w:r>
            <w:r>
              <w:t xml:space="preserve"> on</w:t>
            </w:r>
          </w:p>
          <w:p w14:paraId="21EA6751" w14:textId="77777777" w:rsidR="004D2D9B" w:rsidRDefault="004D2D9B" w:rsidP="004D2D9B">
            <w:pPr>
              <w:pStyle w:val="BulletText1"/>
              <w:numPr>
                <w:ilvl w:val="0"/>
                <w:numId w:val="0"/>
              </w:numPr>
            </w:pPr>
          </w:p>
          <w:p w14:paraId="388A621F" w14:textId="77777777" w:rsidR="004D2D9B" w:rsidRDefault="004D2D9B" w:rsidP="004D2D9B">
            <w:pPr>
              <w:pStyle w:val="BulletText1"/>
            </w:pPr>
            <w:r>
              <w:t>the definition of ALS</w:t>
            </w:r>
          </w:p>
          <w:p w14:paraId="35A8B33B" w14:textId="77777777" w:rsidR="004D2D9B" w:rsidRDefault="004D2D9B" w:rsidP="004D2D9B">
            <w:pPr>
              <w:pStyle w:val="BulletText1"/>
            </w:pPr>
            <w:r>
              <w:t>establishing presumptive SC for ALS</w:t>
            </w:r>
          </w:p>
          <w:p w14:paraId="644E1839" w14:textId="6F37E438" w:rsidR="004D2D9B" w:rsidRDefault="004D2D9B" w:rsidP="004D2D9B">
            <w:pPr>
              <w:pStyle w:val="BulletText1"/>
            </w:pPr>
            <w:r>
              <w:t>assigning a 100-percent minimum evaluation for ALS, and</w:t>
            </w:r>
          </w:p>
          <w:p w14:paraId="334F09C0" w14:textId="4E3B31A7" w:rsidR="004D2D9B" w:rsidRDefault="004D2D9B" w:rsidP="004D2D9B">
            <w:pPr>
              <w:pStyle w:val="BulletText1"/>
            </w:pPr>
            <w:r>
              <w:t>ALS and ancillary benefits.</w:t>
            </w:r>
          </w:p>
        </w:tc>
        <w:tc>
          <w:tcPr>
            <w:tcW w:w="1303" w:type="pct"/>
            <w:shd w:val="clear" w:color="auto" w:fill="auto"/>
          </w:tcPr>
          <w:p w14:paraId="7A35C9FC" w14:textId="51FEF8DE" w:rsidR="00202CFF" w:rsidRDefault="00202CFF" w:rsidP="004A6AA0">
            <w:pPr>
              <w:pStyle w:val="TableText"/>
            </w:pPr>
            <w:r>
              <w:t>III.iv.4.G.6</w:t>
            </w:r>
          </w:p>
        </w:tc>
      </w:tr>
      <w:tr w:rsidR="00202CFF" w14:paraId="67B6A1A0" w14:textId="77777777" w:rsidTr="00333643">
        <w:trPr>
          <w:trHeight w:val="180"/>
        </w:trPr>
        <w:tc>
          <w:tcPr>
            <w:tcW w:w="3697" w:type="pct"/>
            <w:shd w:val="clear" w:color="auto" w:fill="auto"/>
          </w:tcPr>
          <w:p w14:paraId="5FB2A631" w14:textId="7808ACE3" w:rsidR="00202CFF" w:rsidRDefault="00202CFF" w:rsidP="00222C5E">
            <w:pPr>
              <w:pStyle w:val="BulletText1"/>
              <w:numPr>
                <w:ilvl w:val="0"/>
                <w:numId w:val="0"/>
              </w:numPr>
            </w:pPr>
            <w:r>
              <w:t>To add a new Topic</w:t>
            </w:r>
            <w:r w:rsidR="00222C5E">
              <w:t xml:space="preserve"> 7,</w:t>
            </w:r>
            <w:r>
              <w:t xml:space="preserve"> </w:t>
            </w:r>
            <w:r w:rsidR="00222C5E">
              <w:t>“</w:t>
            </w:r>
            <w:r>
              <w:t>Migraine Headaches</w:t>
            </w:r>
            <w:r w:rsidR="00222C5E">
              <w:t>” providing information about</w:t>
            </w:r>
          </w:p>
          <w:p w14:paraId="532621A7" w14:textId="77777777" w:rsidR="00222C5E" w:rsidRDefault="00222C5E" w:rsidP="00222C5E">
            <w:pPr>
              <w:pStyle w:val="BulletText1"/>
              <w:numPr>
                <w:ilvl w:val="0"/>
                <w:numId w:val="0"/>
              </w:numPr>
            </w:pPr>
          </w:p>
          <w:p w14:paraId="59B11547" w14:textId="77777777" w:rsidR="00222C5E" w:rsidRDefault="00222C5E" w:rsidP="00222C5E">
            <w:pPr>
              <w:pStyle w:val="BulletText1"/>
            </w:pPr>
            <w:r>
              <w:t>evaluation criteria</w:t>
            </w:r>
          </w:p>
          <w:p w14:paraId="44489D2B" w14:textId="77777777" w:rsidR="00222C5E" w:rsidRDefault="00222C5E" w:rsidP="00222C5E">
            <w:pPr>
              <w:pStyle w:val="BulletText1"/>
            </w:pPr>
            <w:r>
              <w:t>terminology including</w:t>
            </w:r>
          </w:p>
          <w:p w14:paraId="28129CDB" w14:textId="77777777" w:rsidR="00222C5E" w:rsidRDefault="00222C5E" w:rsidP="00222C5E">
            <w:pPr>
              <w:pStyle w:val="BulletText2"/>
            </w:pPr>
            <w:r>
              <w:t>prostrating</w:t>
            </w:r>
          </w:p>
          <w:p w14:paraId="552C2BC9" w14:textId="77777777" w:rsidR="00222C5E" w:rsidRDefault="00222C5E" w:rsidP="00222C5E">
            <w:pPr>
              <w:pStyle w:val="BulletText2"/>
            </w:pPr>
            <w:r>
              <w:t>completely prostrating</w:t>
            </w:r>
          </w:p>
          <w:p w14:paraId="6A65ABD5" w14:textId="77777777" w:rsidR="00222C5E" w:rsidRDefault="00222C5E" w:rsidP="00222C5E">
            <w:pPr>
              <w:pStyle w:val="BulletText2"/>
            </w:pPr>
            <w:r>
              <w:t>severe economic inadaptability</w:t>
            </w:r>
          </w:p>
          <w:p w14:paraId="61305C76" w14:textId="77777777" w:rsidR="00222C5E" w:rsidRDefault="00222C5E" w:rsidP="00222C5E">
            <w:pPr>
              <w:pStyle w:val="BulletText2"/>
            </w:pPr>
            <w:r>
              <w:t>less frequent</w:t>
            </w:r>
          </w:p>
          <w:p w14:paraId="25678903" w14:textId="77777777" w:rsidR="00222C5E" w:rsidRDefault="00222C5E" w:rsidP="00222C5E">
            <w:pPr>
              <w:pStyle w:val="BulletText2"/>
            </w:pPr>
            <w:r>
              <w:t>very frequent</w:t>
            </w:r>
          </w:p>
          <w:p w14:paraId="6BDF7E99" w14:textId="77777777" w:rsidR="00222C5E" w:rsidRDefault="00222C5E" w:rsidP="00222C5E">
            <w:pPr>
              <w:pStyle w:val="BulletText1"/>
            </w:pPr>
            <w:r>
              <w:t>types of proof for frequency determinations, and</w:t>
            </w:r>
          </w:p>
          <w:p w14:paraId="14E06ACA" w14:textId="7FDD83A9" w:rsidR="00222C5E" w:rsidRDefault="00222C5E" w:rsidP="00222C5E">
            <w:pPr>
              <w:pStyle w:val="BulletText1"/>
            </w:pPr>
            <w:proofErr w:type="gramStart"/>
            <w:r>
              <w:t>headache</w:t>
            </w:r>
            <w:proofErr w:type="gramEnd"/>
            <w:r>
              <w:t xml:space="preserve"> journals.</w:t>
            </w:r>
          </w:p>
        </w:tc>
        <w:tc>
          <w:tcPr>
            <w:tcW w:w="1303" w:type="pct"/>
            <w:shd w:val="clear" w:color="auto" w:fill="auto"/>
          </w:tcPr>
          <w:p w14:paraId="006D8055" w14:textId="1766D97F" w:rsidR="00202CFF" w:rsidRDefault="00202CFF" w:rsidP="004A6AA0">
            <w:pPr>
              <w:pStyle w:val="TableText"/>
            </w:pPr>
            <w:r>
              <w:t>III.iv.4.G.7</w:t>
            </w:r>
          </w:p>
        </w:tc>
      </w:tr>
    </w:tbl>
    <w:p w14:paraId="0FE0714B" w14:textId="20C63116" w:rsidR="005F268D" w:rsidRDefault="008136AB" w:rsidP="008136AB">
      <w:pPr>
        <w:tabs>
          <w:tab w:val="left" w:pos="9360"/>
        </w:tabs>
        <w:ind w:left="1714"/>
      </w:pPr>
      <w:r>
        <w:rPr>
          <w:u w:val="single"/>
        </w:rPr>
        <w:tab/>
      </w:r>
    </w:p>
    <w:p w14:paraId="6E55D5C2" w14:textId="6DF6593A" w:rsidR="008136AB" w:rsidRDefault="008136AB" w:rsidP="008136AB">
      <w:pPr>
        <w:ind w:left="171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C583C1B" w14:textId="77777777" w:rsidTr="00237C22">
        <w:tc>
          <w:tcPr>
            <w:tcW w:w="1728" w:type="dxa"/>
          </w:tcPr>
          <w:p w14:paraId="2C583C19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2C583C1A" w14:textId="4315F7B2" w:rsidR="00504F80" w:rsidRPr="00B4163A" w:rsidRDefault="001F2CE7" w:rsidP="00237C22">
            <w:pPr>
              <w:pStyle w:val="BlockText"/>
            </w:pPr>
            <w:r>
              <w:t>Training Letter 09-01</w:t>
            </w:r>
          </w:p>
        </w:tc>
      </w:tr>
    </w:tbl>
    <w:p w14:paraId="2C583C1C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C583C1F" w14:textId="77777777" w:rsidTr="00237C22">
        <w:tc>
          <w:tcPr>
            <w:tcW w:w="1728" w:type="dxa"/>
          </w:tcPr>
          <w:p w14:paraId="2C583C1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2C583C1E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2C583C20" w14:textId="77777777" w:rsidR="00504F80" w:rsidRPr="00B4163A" w:rsidRDefault="00504F80" w:rsidP="001E2ED4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C583C26" w14:textId="77777777" w:rsidTr="00237C22">
        <w:tc>
          <w:tcPr>
            <w:tcW w:w="1728" w:type="dxa"/>
          </w:tcPr>
          <w:p w14:paraId="2C583C2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2C583C22" w14:textId="77777777" w:rsidR="00504F80" w:rsidRPr="00B4163A" w:rsidRDefault="00504F80" w:rsidP="00237C22">
            <w:pPr>
              <w:pStyle w:val="BlockText"/>
            </w:pPr>
          </w:p>
          <w:p w14:paraId="2C583C23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2C583C24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lastRenderedPageBreak/>
              <w:t>Thomas J. Murphy, Director</w:t>
            </w:r>
          </w:p>
          <w:p w14:paraId="2C583C25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2C583C27" w14:textId="77777777" w:rsidR="00504F80" w:rsidRPr="00B4163A" w:rsidRDefault="00504F80" w:rsidP="00504F80">
      <w:pPr>
        <w:pStyle w:val="BlockLine"/>
      </w:pPr>
      <w:r w:rsidRPr="00B4163A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2C583C2D" w14:textId="77777777" w:rsidTr="00237C22">
        <w:tc>
          <w:tcPr>
            <w:tcW w:w="1728" w:type="dxa"/>
          </w:tcPr>
          <w:p w14:paraId="2C583C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2C583C2C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2C583C2E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2C583C2F" w14:textId="6605DD75" w:rsidR="007D5B97" w:rsidRDefault="003A6F7E" w:rsidP="00E43B08">
      <w:pPr>
        <w:pStyle w:val="MapTitleContinue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583C32" wp14:editId="2C583C33">
                <wp:simplePos x="0" y="0"/>
                <wp:positionH relativeFrom="column">
                  <wp:posOffset>2842895</wp:posOffset>
                </wp:positionH>
                <wp:positionV relativeFrom="paragraph">
                  <wp:posOffset>4438650</wp:posOffset>
                </wp:positionV>
                <wp:extent cx="406400" cy="237490"/>
                <wp:effectExtent l="4445" t="0" r="0" b="63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83C3B" w14:textId="77777777" w:rsidR="00292E48" w:rsidRPr="00292E48" w:rsidRDefault="00292E48" w:rsidP="00AE2D28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23.85pt;margin-top:349.5pt;width:32pt;height:18.7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" stroked="f">
                <v:textbox style="mso-fit-shape-to-text:t">
                  <w:txbxContent>
                    <w:p w14:paraId="2C583C3B" w14:textId="77777777" w:rsidR="00292E48" w:rsidRPr="00292E48" w:rsidRDefault="00292E48" w:rsidP="00AE2D28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 w:rsidR="00333643">
        <w:fldChar w:fldCharType="begin">
          <w:fldData xml:space="preserve">RABvAGMAVABlAG0AcAAxAFYAYQByAFQAcgBhAGQAaQB0AGkAbwBuAGEAbAA=
</w:fldData>
        </w:fldChar>
      </w:r>
      <w:r w:rsidR="00333643">
        <w:instrText xml:space="preserve"> ADDIN  \* MERGEFORMAT </w:instrText>
      </w:r>
      <w:r w:rsidR="00333643">
        <w:fldChar w:fldCharType="end"/>
      </w:r>
      <w:r w:rsidR="00333643">
        <w:fldChar w:fldCharType="begin">
          <w:fldData xml:space="preserve">RgBvAG4AdABTAGUAdABpAG0AaQBzAHQAeQBsAGUAcwAuAHgAbQBsAA==
</w:fldData>
        </w:fldChar>
      </w:r>
      <w:r w:rsidR="00333643">
        <w:instrText xml:space="preserve"> ADDIN  \* MERGEFORMAT </w:instrText>
      </w:r>
      <w:r w:rsidR="00333643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83C36" w14:textId="77777777" w:rsidR="00BF6AB9" w:rsidRDefault="00BF6AB9" w:rsidP="00C765C7">
      <w:r>
        <w:separator/>
      </w:r>
    </w:p>
  </w:endnote>
  <w:endnote w:type="continuationSeparator" w:id="0">
    <w:p w14:paraId="2C583C37" w14:textId="77777777" w:rsidR="00BF6AB9" w:rsidRDefault="00BF6AB9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83C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583C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264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CA269F" w14:textId="274944D7" w:rsidR="00B10B73" w:rsidRDefault="00B10B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237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14:paraId="3CAB90F8" w14:textId="77777777" w:rsidR="00B10B73" w:rsidRDefault="00B10B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83C34" w14:textId="77777777" w:rsidR="00BF6AB9" w:rsidRDefault="00BF6AB9" w:rsidP="00C765C7">
      <w:r>
        <w:separator/>
      </w:r>
    </w:p>
  </w:footnote>
  <w:footnote w:type="continuationSeparator" w:id="0">
    <w:p w14:paraId="2C583C35" w14:textId="77777777" w:rsidR="00BF6AB9" w:rsidRDefault="00BF6AB9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33944396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F3A0F"/>
    <w:multiLevelType w:val="hybridMultilevel"/>
    <w:tmpl w:val="27CE7E50"/>
    <w:lvl w:ilvl="0" w:tplc="265267C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46A96"/>
    <w:multiLevelType w:val="hybridMultilevel"/>
    <w:tmpl w:val="87A2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F2C66"/>
    <w:multiLevelType w:val="hybridMultilevel"/>
    <w:tmpl w:val="21FE7E04"/>
    <w:lvl w:ilvl="0" w:tplc="045A530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D68BF"/>
    <w:multiLevelType w:val="hybridMultilevel"/>
    <w:tmpl w:val="4E2C5C3A"/>
    <w:lvl w:ilvl="0" w:tplc="045A530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35BAB"/>
    <w:multiLevelType w:val="hybridMultilevel"/>
    <w:tmpl w:val="D9821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99755D"/>
    <w:multiLevelType w:val="hybridMultilevel"/>
    <w:tmpl w:val="A5F65028"/>
    <w:lvl w:ilvl="0" w:tplc="045A530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A5895"/>
    <w:multiLevelType w:val="hybridMultilevel"/>
    <w:tmpl w:val="4B80D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2637D0"/>
    <w:multiLevelType w:val="hybridMultilevel"/>
    <w:tmpl w:val="C172C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76723"/>
    <w:multiLevelType w:val="hybridMultilevel"/>
    <w:tmpl w:val="DD604DDE"/>
    <w:lvl w:ilvl="0" w:tplc="045A530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D47415"/>
    <w:multiLevelType w:val="hybridMultilevel"/>
    <w:tmpl w:val="390CC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5513DC7"/>
    <w:multiLevelType w:val="hybridMultilevel"/>
    <w:tmpl w:val="763EB7CE"/>
    <w:lvl w:ilvl="0" w:tplc="B4525D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8">
    <w:nsid w:val="6C6B02AF"/>
    <w:multiLevelType w:val="singleLevel"/>
    <w:tmpl w:val="15F25542"/>
    <w:lvl w:ilvl="0">
      <w:start w:val="1"/>
      <w:numFmt w:val="bullet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</w:abstractNum>
  <w:abstractNum w:abstractNumId="19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6F027A1"/>
    <w:multiLevelType w:val="hybridMultilevel"/>
    <w:tmpl w:val="1B72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16"/>
  </w:num>
  <w:num w:numId="3">
    <w:abstractNumId w:val="0"/>
  </w:num>
  <w:num w:numId="4">
    <w:abstractNumId w:val="19"/>
  </w:num>
  <w:num w:numId="5">
    <w:abstractNumId w:val="15"/>
  </w:num>
  <w:num w:numId="6">
    <w:abstractNumId w:val="14"/>
  </w:num>
  <w:num w:numId="7">
    <w:abstractNumId w:val="20"/>
  </w:num>
  <w:num w:numId="8">
    <w:abstractNumId w:val="12"/>
  </w:num>
  <w:num w:numId="9">
    <w:abstractNumId w:val="10"/>
  </w:num>
  <w:num w:numId="10">
    <w:abstractNumId w:val="17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1"/>
  </w:num>
  <w:num w:numId="14">
    <w:abstractNumId w:val="16"/>
  </w:num>
  <w:num w:numId="15">
    <w:abstractNumId w:val="16"/>
  </w:num>
  <w:num w:numId="16">
    <w:abstractNumId w:val="16"/>
  </w:num>
  <w:num w:numId="17">
    <w:abstractNumId w:val="2"/>
  </w:num>
  <w:num w:numId="18">
    <w:abstractNumId w:val="8"/>
  </w:num>
  <w:num w:numId="19">
    <w:abstractNumId w:val="13"/>
  </w:num>
  <w:num w:numId="20">
    <w:abstractNumId w:val="5"/>
  </w:num>
  <w:num w:numId="21">
    <w:abstractNumId w:val="6"/>
  </w:num>
  <w:num w:numId="22">
    <w:abstractNumId w:val="4"/>
  </w:num>
  <w:num w:numId="23">
    <w:abstractNumId w:val="3"/>
  </w:num>
  <w:num w:numId="24">
    <w:abstractNumId w:val="9"/>
  </w:num>
  <w:num w:numId="25">
    <w:abstractNumId w:val="1"/>
  </w:num>
  <w:num w:numId="26">
    <w:abstractNumId w:val="1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504F80"/>
    <w:rsid w:val="00002A1E"/>
    <w:rsid w:val="00014A89"/>
    <w:rsid w:val="000252C6"/>
    <w:rsid w:val="000256FB"/>
    <w:rsid w:val="0002716D"/>
    <w:rsid w:val="00033185"/>
    <w:rsid w:val="0004467D"/>
    <w:rsid w:val="00052278"/>
    <w:rsid w:val="00055237"/>
    <w:rsid w:val="00077E44"/>
    <w:rsid w:val="000852D4"/>
    <w:rsid w:val="0009038C"/>
    <w:rsid w:val="00090F16"/>
    <w:rsid w:val="00093228"/>
    <w:rsid w:val="00096CEA"/>
    <w:rsid w:val="000A43B5"/>
    <w:rsid w:val="000A5D26"/>
    <w:rsid w:val="000B145B"/>
    <w:rsid w:val="000B2D03"/>
    <w:rsid w:val="000B3C9B"/>
    <w:rsid w:val="000E015D"/>
    <w:rsid w:val="00100433"/>
    <w:rsid w:val="0010215F"/>
    <w:rsid w:val="00106EEF"/>
    <w:rsid w:val="00123973"/>
    <w:rsid w:val="00126C1B"/>
    <w:rsid w:val="00135FF1"/>
    <w:rsid w:val="00147D21"/>
    <w:rsid w:val="00166D45"/>
    <w:rsid w:val="00174989"/>
    <w:rsid w:val="0018536D"/>
    <w:rsid w:val="00186D46"/>
    <w:rsid w:val="00193FB0"/>
    <w:rsid w:val="001B1277"/>
    <w:rsid w:val="001B7C14"/>
    <w:rsid w:val="001C1DFA"/>
    <w:rsid w:val="001C2212"/>
    <w:rsid w:val="001C2BF3"/>
    <w:rsid w:val="001C3AE3"/>
    <w:rsid w:val="001C3EB5"/>
    <w:rsid w:val="001C45E5"/>
    <w:rsid w:val="001D3993"/>
    <w:rsid w:val="001E284F"/>
    <w:rsid w:val="001E2ED4"/>
    <w:rsid w:val="001F0D51"/>
    <w:rsid w:val="001F2CE7"/>
    <w:rsid w:val="001F4C61"/>
    <w:rsid w:val="001F7CEA"/>
    <w:rsid w:val="00202CFF"/>
    <w:rsid w:val="00204793"/>
    <w:rsid w:val="002056E9"/>
    <w:rsid w:val="00222C5E"/>
    <w:rsid w:val="00223E13"/>
    <w:rsid w:val="00237C22"/>
    <w:rsid w:val="00240624"/>
    <w:rsid w:val="00257858"/>
    <w:rsid w:val="00291474"/>
    <w:rsid w:val="00292E48"/>
    <w:rsid w:val="002B5896"/>
    <w:rsid w:val="002B77BF"/>
    <w:rsid w:val="002B7A7E"/>
    <w:rsid w:val="002C0FD4"/>
    <w:rsid w:val="002C1825"/>
    <w:rsid w:val="002C3D78"/>
    <w:rsid w:val="002E7A0F"/>
    <w:rsid w:val="002F5B21"/>
    <w:rsid w:val="002F7397"/>
    <w:rsid w:val="00316A35"/>
    <w:rsid w:val="00332557"/>
    <w:rsid w:val="00332B80"/>
    <w:rsid w:val="00333643"/>
    <w:rsid w:val="0033408F"/>
    <w:rsid w:val="00341981"/>
    <w:rsid w:val="00342CCC"/>
    <w:rsid w:val="0034344F"/>
    <w:rsid w:val="00353F10"/>
    <w:rsid w:val="00366D36"/>
    <w:rsid w:val="00386999"/>
    <w:rsid w:val="00391AA7"/>
    <w:rsid w:val="00394338"/>
    <w:rsid w:val="003A6F7E"/>
    <w:rsid w:val="003B0F65"/>
    <w:rsid w:val="003B2927"/>
    <w:rsid w:val="003B344C"/>
    <w:rsid w:val="003D6DC1"/>
    <w:rsid w:val="003E3E95"/>
    <w:rsid w:val="003F6048"/>
    <w:rsid w:val="003F672A"/>
    <w:rsid w:val="0040351B"/>
    <w:rsid w:val="00421403"/>
    <w:rsid w:val="004258BF"/>
    <w:rsid w:val="00431B1E"/>
    <w:rsid w:val="00435BA5"/>
    <w:rsid w:val="00455506"/>
    <w:rsid w:val="00455EF7"/>
    <w:rsid w:val="004562CC"/>
    <w:rsid w:val="00457D91"/>
    <w:rsid w:val="00471ECA"/>
    <w:rsid w:val="004736C9"/>
    <w:rsid w:val="00482FA3"/>
    <w:rsid w:val="0048559D"/>
    <w:rsid w:val="00494175"/>
    <w:rsid w:val="004A272A"/>
    <w:rsid w:val="004A6AA0"/>
    <w:rsid w:val="004B6035"/>
    <w:rsid w:val="004D1967"/>
    <w:rsid w:val="004D2D9B"/>
    <w:rsid w:val="004D38B1"/>
    <w:rsid w:val="004F0B05"/>
    <w:rsid w:val="004F375E"/>
    <w:rsid w:val="00504F80"/>
    <w:rsid w:val="00506485"/>
    <w:rsid w:val="0051195B"/>
    <w:rsid w:val="00513DA7"/>
    <w:rsid w:val="00516C82"/>
    <w:rsid w:val="0051708D"/>
    <w:rsid w:val="005632B4"/>
    <w:rsid w:val="005766E8"/>
    <w:rsid w:val="005778BF"/>
    <w:rsid w:val="005778E7"/>
    <w:rsid w:val="00580614"/>
    <w:rsid w:val="00591BA0"/>
    <w:rsid w:val="00594258"/>
    <w:rsid w:val="005A7032"/>
    <w:rsid w:val="005C3E9A"/>
    <w:rsid w:val="005D04D3"/>
    <w:rsid w:val="005E4363"/>
    <w:rsid w:val="005F268D"/>
    <w:rsid w:val="005F31EB"/>
    <w:rsid w:val="005F49E0"/>
    <w:rsid w:val="0062068D"/>
    <w:rsid w:val="00622DC1"/>
    <w:rsid w:val="006317AA"/>
    <w:rsid w:val="00641065"/>
    <w:rsid w:val="006434CC"/>
    <w:rsid w:val="006473C3"/>
    <w:rsid w:val="006708D7"/>
    <w:rsid w:val="0067213C"/>
    <w:rsid w:val="006837E0"/>
    <w:rsid w:val="00685BAC"/>
    <w:rsid w:val="006962FB"/>
    <w:rsid w:val="006B2174"/>
    <w:rsid w:val="006B7262"/>
    <w:rsid w:val="006B747D"/>
    <w:rsid w:val="006C3E5F"/>
    <w:rsid w:val="006C48FF"/>
    <w:rsid w:val="006D4615"/>
    <w:rsid w:val="006F6D37"/>
    <w:rsid w:val="0071381A"/>
    <w:rsid w:val="0071423E"/>
    <w:rsid w:val="00715A72"/>
    <w:rsid w:val="00724248"/>
    <w:rsid w:val="00732186"/>
    <w:rsid w:val="00737049"/>
    <w:rsid w:val="0074597E"/>
    <w:rsid w:val="0075522F"/>
    <w:rsid w:val="007554B6"/>
    <w:rsid w:val="0076357D"/>
    <w:rsid w:val="00766657"/>
    <w:rsid w:val="00772597"/>
    <w:rsid w:val="00776BE6"/>
    <w:rsid w:val="007809CF"/>
    <w:rsid w:val="007822CC"/>
    <w:rsid w:val="007A0C5F"/>
    <w:rsid w:val="007B24EB"/>
    <w:rsid w:val="007C2BAA"/>
    <w:rsid w:val="007D5682"/>
    <w:rsid w:val="007D5B97"/>
    <w:rsid w:val="007E5515"/>
    <w:rsid w:val="0080590C"/>
    <w:rsid w:val="008136AB"/>
    <w:rsid w:val="00851830"/>
    <w:rsid w:val="0086475B"/>
    <w:rsid w:val="00875AFA"/>
    <w:rsid w:val="00877891"/>
    <w:rsid w:val="0088609E"/>
    <w:rsid w:val="008A1580"/>
    <w:rsid w:val="008B4CB5"/>
    <w:rsid w:val="008C357C"/>
    <w:rsid w:val="008C723F"/>
    <w:rsid w:val="008D12C3"/>
    <w:rsid w:val="008D458B"/>
    <w:rsid w:val="008E22CF"/>
    <w:rsid w:val="008E5824"/>
    <w:rsid w:val="008E589A"/>
    <w:rsid w:val="008F1CD3"/>
    <w:rsid w:val="008F1D5B"/>
    <w:rsid w:val="008F4BE5"/>
    <w:rsid w:val="00900206"/>
    <w:rsid w:val="00916AE6"/>
    <w:rsid w:val="00916CB3"/>
    <w:rsid w:val="009224C7"/>
    <w:rsid w:val="009226B6"/>
    <w:rsid w:val="0094079D"/>
    <w:rsid w:val="00944C74"/>
    <w:rsid w:val="00946DE5"/>
    <w:rsid w:val="00952CF5"/>
    <w:rsid w:val="009574D5"/>
    <w:rsid w:val="0096734D"/>
    <w:rsid w:val="00973291"/>
    <w:rsid w:val="009769CD"/>
    <w:rsid w:val="00984FE3"/>
    <w:rsid w:val="009970A1"/>
    <w:rsid w:val="009B6554"/>
    <w:rsid w:val="009B69E1"/>
    <w:rsid w:val="009C5038"/>
    <w:rsid w:val="009D346D"/>
    <w:rsid w:val="009D6E8B"/>
    <w:rsid w:val="009E6E1A"/>
    <w:rsid w:val="009F46F0"/>
    <w:rsid w:val="00A04CC7"/>
    <w:rsid w:val="00A315CB"/>
    <w:rsid w:val="00A326D9"/>
    <w:rsid w:val="00A3579D"/>
    <w:rsid w:val="00A50A12"/>
    <w:rsid w:val="00A55356"/>
    <w:rsid w:val="00A55C28"/>
    <w:rsid w:val="00A606CE"/>
    <w:rsid w:val="00A8520D"/>
    <w:rsid w:val="00AA10EB"/>
    <w:rsid w:val="00AA1746"/>
    <w:rsid w:val="00AB1E52"/>
    <w:rsid w:val="00AB63D3"/>
    <w:rsid w:val="00AB77C7"/>
    <w:rsid w:val="00AB7DE8"/>
    <w:rsid w:val="00AC2411"/>
    <w:rsid w:val="00AC2993"/>
    <w:rsid w:val="00AC5B0B"/>
    <w:rsid w:val="00AD1876"/>
    <w:rsid w:val="00AD5BCD"/>
    <w:rsid w:val="00AE2D28"/>
    <w:rsid w:val="00AF2B8E"/>
    <w:rsid w:val="00AF2CD6"/>
    <w:rsid w:val="00B10B73"/>
    <w:rsid w:val="00B135AF"/>
    <w:rsid w:val="00B30D2F"/>
    <w:rsid w:val="00B721AA"/>
    <w:rsid w:val="00B75EEB"/>
    <w:rsid w:val="00B93A3C"/>
    <w:rsid w:val="00B94332"/>
    <w:rsid w:val="00B96287"/>
    <w:rsid w:val="00BD0772"/>
    <w:rsid w:val="00BD085F"/>
    <w:rsid w:val="00BF608E"/>
    <w:rsid w:val="00BF6AB9"/>
    <w:rsid w:val="00BF7FE3"/>
    <w:rsid w:val="00C24D50"/>
    <w:rsid w:val="00C40997"/>
    <w:rsid w:val="00C765C7"/>
    <w:rsid w:val="00C832AD"/>
    <w:rsid w:val="00CA1BFA"/>
    <w:rsid w:val="00CA3CE7"/>
    <w:rsid w:val="00CA4269"/>
    <w:rsid w:val="00CC2650"/>
    <w:rsid w:val="00CD28BD"/>
    <w:rsid w:val="00CD2D08"/>
    <w:rsid w:val="00CD70C1"/>
    <w:rsid w:val="00D0000E"/>
    <w:rsid w:val="00D1288F"/>
    <w:rsid w:val="00D13C6B"/>
    <w:rsid w:val="00D2258B"/>
    <w:rsid w:val="00D31626"/>
    <w:rsid w:val="00D36508"/>
    <w:rsid w:val="00D57B91"/>
    <w:rsid w:val="00D61497"/>
    <w:rsid w:val="00D6557C"/>
    <w:rsid w:val="00D77146"/>
    <w:rsid w:val="00D823AF"/>
    <w:rsid w:val="00D85A76"/>
    <w:rsid w:val="00DA11C2"/>
    <w:rsid w:val="00DB074F"/>
    <w:rsid w:val="00DB2569"/>
    <w:rsid w:val="00DB2902"/>
    <w:rsid w:val="00DB743E"/>
    <w:rsid w:val="00DC458F"/>
    <w:rsid w:val="00DD33B2"/>
    <w:rsid w:val="00DE0A6A"/>
    <w:rsid w:val="00DE0E35"/>
    <w:rsid w:val="00DE45FA"/>
    <w:rsid w:val="00DF44AC"/>
    <w:rsid w:val="00E005BB"/>
    <w:rsid w:val="00E053D4"/>
    <w:rsid w:val="00E13E43"/>
    <w:rsid w:val="00E2529E"/>
    <w:rsid w:val="00E334B2"/>
    <w:rsid w:val="00E36906"/>
    <w:rsid w:val="00E3780B"/>
    <w:rsid w:val="00E43B08"/>
    <w:rsid w:val="00E70FC0"/>
    <w:rsid w:val="00E75132"/>
    <w:rsid w:val="00E964FD"/>
    <w:rsid w:val="00ED4D5E"/>
    <w:rsid w:val="00EE011E"/>
    <w:rsid w:val="00F006B2"/>
    <w:rsid w:val="00F022FE"/>
    <w:rsid w:val="00F036FB"/>
    <w:rsid w:val="00F077EF"/>
    <w:rsid w:val="00F304B5"/>
    <w:rsid w:val="00F30A3C"/>
    <w:rsid w:val="00F43DFA"/>
    <w:rsid w:val="00F600E0"/>
    <w:rsid w:val="00F62FF9"/>
    <w:rsid w:val="00F65684"/>
    <w:rsid w:val="00F73A6F"/>
    <w:rsid w:val="00F87670"/>
    <w:rsid w:val="00F90609"/>
    <w:rsid w:val="00F9128A"/>
    <w:rsid w:val="00F97452"/>
    <w:rsid w:val="00FA495C"/>
    <w:rsid w:val="00FB657F"/>
    <w:rsid w:val="00FB78B5"/>
    <w:rsid w:val="00FF1C3D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83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50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C24D50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C24D50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C24D50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C24D50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C24D50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C24D50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basedOn w:val="DefaultParagraphFont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C24D50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C24D50"/>
  </w:style>
  <w:style w:type="paragraph" w:customStyle="1" w:styleId="BulletText1">
    <w:name w:val="Bullet Text 1"/>
    <w:basedOn w:val="Normal"/>
    <w:rsid w:val="00C24D50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C24D50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C24D50"/>
    <w:rPr>
      <w:szCs w:val="20"/>
    </w:rPr>
  </w:style>
  <w:style w:type="paragraph" w:customStyle="1" w:styleId="TableHeaderText">
    <w:name w:val="Table Header Text"/>
    <w:basedOn w:val="Normal"/>
    <w:rsid w:val="00C24D50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C24D50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C24D50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C24D50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C24D50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C24D50"/>
  </w:style>
  <w:style w:type="paragraph" w:styleId="Footer">
    <w:name w:val="footer"/>
    <w:basedOn w:val="Normal"/>
    <w:link w:val="FooterChar"/>
    <w:uiPriority w:val="99"/>
    <w:rsid w:val="00C24D50"/>
    <w:pPr>
      <w:tabs>
        <w:tab w:val="center" w:pos="4680"/>
        <w:tab w:val="right" w:pos="9360"/>
      </w:tabs>
    </w:pPr>
    <w:rPr>
      <w:color w:val="auto"/>
    </w:rPr>
  </w:style>
  <w:style w:type="character" w:customStyle="1" w:styleId="FooterChar">
    <w:name w:val="Footer Char"/>
    <w:link w:val="Footer"/>
    <w:uiPriority w:val="99"/>
    <w:rsid w:val="00C24D50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basedOn w:val="DefaultParagraphFont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C24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basedOn w:val="DefaultParagraphFont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basedOn w:val="DefaultParagraphFont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basedOn w:val="DefaultParagraphFont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C24D50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C24D50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C24D50"/>
    <w:rPr>
      <w:szCs w:val="20"/>
    </w:rPr>
  </w:style>
  <w:style w:type="character" w:styleId="HTMLAcronym">
    <w:name w:val="HTML Acronym"/>
    <w:basedOn w:val="DefaultParagraphFont"/>
    <w:rsid w:val="00C24D50"/>
  </w:style>
  <w:style w:type="paragraph" w:customStyle="1" w:styleId="IMTOC">
    <w:name w:val="IMTOC"/>
    <w:rsid w:val="00C24D50"/>
    <w:rPr>
      <w:rFonts w:eastAsia="Times New Roman"/>
      <w:sz w:val="24"/>
    </w:rPr>
  </w:style>
  <w:style w:type="paragraph" w:customStyle="1" w:styleId="NoteText">
    <w:name w:val="Note Text"/>
    <w:basedOn w:val="Normal"/>
    <w:rsid w:val="00C24D50"/>
    <w:rPr>
      <w:szCs w:val="20"/>
    </w:rPr>
  </w:style>
  <w:style w:type="paragraph" w:customStyle="1" w:styleId="PublicationTitle">
    <w:name w:val="Publication Title"/>
    <w:basedOn w:val="Normal"/>
    <w:next w:val="Heading4"/>
    <w:rsid w:val="00C24D50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C24D5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C24D50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C24D50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C24D50"/>
    <w:rPr>
      <w:szCs w:val="20"/>
    </w:rPr>
  </w:style>
  <w:style w:type="paragraph" w:styleId="Header">
    <w:name w:val="header"/>
    <w:basedOn w:val="Normal"/>
    <w:link w:val="HeaderChar"/>
    <w:rsid w:val="00C24D50"/>
    <w:pPr>
      <w:tabs>
        <w:tab w:val="center" w:pos="4680"/>
        <w:tab w:val="right" w:pos="9360"/>
      </w:tabs>
    </w:pPr>
    <w:rPr>
      <w:color w:val="auto"/>
    </w:rPr>
  </w:style>
  <w:style w:type="character" w:customStyle="1" w:styleId="HeaderChar">
    <w:name w:val="Header Char"/>
    <w:link w:val="Header"/>
    <w:rsid w:val="00C24D50"/>
    <w:rPr>
      <w:rFonts w:eastAsia="Times New Roman"/>
      <w:sz w:val="24"/>
      <w:szCs w:val="24"/>
    </w:rPr>
  </w:style>
  <w:style w:type="character" w:styleId="FollowedHyperlink">
    <w:name w:val="FollowedHyperlink"/>
    <w:rsid w:val="00C24D50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C24D50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C24D50"/>
    <w:pPr>
      <w:ind w:left="720"/>
    </w:pPr>
  </w:style>
  <w:style w:type="paragraph" w:styleId="ListParagraph">
    <w:name w:val="List Paragraph"/>
    <w:basedOn w:val="Normal"/>
    <w:uiPriority w:val="34"/>
    <w:qFormat/>
    <w:rsid w:val="00940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50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C24D50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C24D50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C24D50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C24D50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C24D50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C24D50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basedOn w:val="DefaultParagraphFont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C24D50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C24D50"/>
  </w:style>
  <w:style w:type="paragraph" w:customStyle="1" w:styleId="BulletText1">
    <w:name w:val="Bullet Text 1"/>
    <w:basedOn w:val="Normal"/>
    <w:rsid w:val="00C24D50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C24D50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C24D50"/>
    <w:rPr>
      <w:szCs w:val="20"/>
    </w:rPr>
  </w:style>
  <w:style w:type="paragraph" w:customStyle="1" w:styleId="TableHeaderText">
    <w:name w:val="Table Header Text"/>
    <w:basedOn w:val="Normal"/>
    <w:rsid w:val="00C24D50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C24D50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C24D50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C24D50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C24D50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C24D50"/>
  </w:style>
  <w:style w:type="paragraph" w:styleId="Footer">
    <w:name w:val="footer"/>
    <w:basedOn w:val="Normal"/>
    <w:link w:val="FooterChar"/>
    <w:uiPriority w:val="99"/>
    <w:rsid w:val="00C24D50"/>
    <w:pPr>
      <w:tabs>
        <w:tab w:val="center" w:pos="4680"/>
        <w:tab w:val="right" w:pos="9360"/>
      </w:tabs>
    </w:pPr>
    <w:rPr>
      <w:color w:val="auto"/>
    </w:rPr>
  </w:style>
  <w:style w:type="character" w:customStyle="1" w:styleId="FooterChar">
    <w:name w:val="Footer Char"/>
    <w:link w:val="Footer"/>
    <w:uiPriority w:val="99"/>
    <w:rsid w:val="00C24D50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basedOn w:val="DefaultParagraphFont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C24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basedOn w:val="DefaultParagraphFont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basedOn w:val="DefaultParagraphFont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basedOn w:val="DefaultParagraphFont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C24D50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C24D50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C24D50"/>
    <w:rPr>
      <w:szCs w:val="20"/>
    </w:rPr>
  </w:style>
  <w:style w:type="character" w:styleId="HTMLAcronym">
    <w:name w:val="HTML Acronym"/>
    <w:basedOn w:val="DefaultParagraphFont"/>
    <w:rsid w:val="00C24D50"/>
  </w:style>
  <w:style w:type="paragraph" w:customStyle="1" w:styleId="IMTOC">
    <w:name w:val="IMTOC"/>
    <w:rsid w:val="00C24D50"/>
    <w:rPr>
      <w:rFonts w:eastAsia="Times New Roman"/>
      <w:sz w:val="24"/>
    </w:rPr>
  </w:style>
  <w:style w:type="paragraph" w:customStyle="1" w:styleId="NoteText">
    <w:name w:val="Note Text"/>
    <w:basedOn w:val="Normal"/>
    <w:rsid w:val="00C24D50"/>
    <w:rPr>
      <w:szCs w:val="20"/>
    </w:rPr>
  </w:style>
  <w:style w:type="paragraph" w:customStyle="1" w:styleId="PublicationTitle">
    <w:name w:val="Publication Title"/>
    <w:basedOn w:val="Normal"/>
    <w:next w:val="Heading4"/>
    <w:rsid w:val="00C24D50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C24D5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C24D50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C24D50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C24D50"/>
    <w:rPr>
      <w:szCs w:val="20"/>
    </w:rPr>
  </w:style>
  <w:style w:type="paragraph" w:styleId="Header">
    <w:name w:val="header"/>
    <w:basedOn w:val="Normal"/>
    <w:link w:val="HeaderChar"/>
    <w:rsid w:val="00C24D50"/>
    <w:pPr>
      <w:tabs>
        <w:tab w:val="center" w:pos="4680"/>
        <w:tab w:val="right" w:pos="9360"/>
      </w:tabs>
    </w:pPr>
    <w:rPr>
      <w:color w:val="auto"/>
    </w:rPr>
  </w:style>
  <w:style w:type="character" w:customStyle="1" w:styleId="HeaderChar">
    <w:name w:val="Header Char"/>
    <w:link w:val="Header"/>
    <w:rsid w:val="00C24D50"/>
    <w:rPr>
      <w:rFonts w:eastAsia="Times New Roman"/>
      <w:sz w:val="24"/>
      <w:szCs w:val="24"/>
    </w:rPr>
  </w:style>
  <w:style w:type="character" w:styleId="FollowedHyperlink">
    <w:name w:val="FollowedHyperlink"/>
    <w:rsid w:val="00C24D50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C24D50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C24D50"/>
    <w:pPr>
      <w:ind w:left="720"/>
    </w:pPr>
  </w:style>
  <w:style w:type="paragraph" w:styleId="ListParagraph">
    <w:name w:val="List Paragraph"/>
    <w:basedOn w:val="Normal"/>
    <w:uiPriority w:val="34"/>
    <w:qFormat/>
    <w:rsid w:val="0094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7AECDB-0566-45CF-9226-E04A4BD8A9BF}">
  <ds:schemaRefs>
    <ds:schemaRef ds:uri="b438dcf7-3998-4283-b7fc-0ec6fa8e430f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A3C808C-AE59-4459-8EB5-29F1582CE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1257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4110</CharactersWithSpaces>
  <SharedDoc>false</SharedDoc>
  <HLinks>
    <vt:vector size="6" baseType="variant">
      <vt:variant>
        <vt:i4>7995443</vt:i4>
      </vt:variant>
      <vt:variant>
        <vt:i4>0</vt:i4>
      </vt:variant>
      <vt:variant>
        <vt:i4>0</vt:i4>
      </vt:variant>
      <vt:variant>
        <vt:i4>5</vt:i4>
      </vt:variant>
      <vt:variant>
        <vt:lpwstr>http://vbaw.vba.va.gov/bl/21/Systems/awards.htm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capjpier</dc:creator>
  <cp:lastModifiedBy>Amy Hamma</cp:lastModifiedBy>
  <cp:revision>27</cp:revision>
  <dcterms:created xsi:type="dcterms:W3CDTF">2013-09-14T20:25:00Z</dcterms:created>
  <dcterms:modified xsi:type="dcterms:W3CDTF">2015-06-15T20:05:00Z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