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C2136" w14:textId="77777777" w:rsidR="00F97452" w:rsidRPr="00F97452" w:rsidRDefault="00504F80" w:rsidP="00F97452">
      <w:pPr>
        <w:pStyle w:val="Header"/>
        <w:tabs>
          <w:tab w:val="left" w:pos="0"/>
        </w:tabs>
        <w:rPr>
          <w:b/>
          <w:bCs/>
          <w:color w:val="000000"/>
          <w:sz w:val="20"/>
        </w:rPr>
      </w:pPr>
      <w:r w:rsidRPr="00F97452">
        <w:rPr>
          <w:b/>
          <w:sz w:val="20"/>
        </w:rPr>
        <w:t>Department of Veterans Affairs</w:t>
      </w:r>
      <w:r>
        <w:rPr>
          <w:sz w:val="20"/>
        </w:rPr>
        <w:tab/>
      </w:r>
      <w:r w:rsidR="00F97452">
        <w:rPr>
          <w:sz w:val="20"/>
        </w:rPr>
        <w:tab/>
      </w:r>
      <w:r w:rsidR="00F97452" w:rsidRPr="00F97452">
        <w:rPr>
          <w:b/>
          <w:bCs/>
          <w:color w:val="000000"/>
          <w:sz w:val="20"/>
        </w:rPr>
        <w:t xml:space="preserve">Part </w:t>
      </w:r>
      <w:r w:rsidR="00B94332">
        <w:rPr>
          <w:b/>
          <w:bCs/>
          <w:color w:val="000000"/>
          <w:sz w:val="20"/>
        </w:rPr>
        <w:t>III</w:t>
      </w:r>
      <w:r w:rsidR="00F97452" w:rsidRPr="00F97452">
        <w:rPr>
          <w:b/>
          <w:bCs/>
          <w:color w:val="000000"/>
          <w:sz w:val="20"/>
        </w:rPr>
        <w:t xml:space="preserve">, Subpart </w:t>
      </w:r>
      <w:r w:rsidR="00B94332">
        <w:rPr>
          <w:b/>
          <w:bCs/>
          <w:color w:val="000000"/>
          <w:sz w:val="20"/>
        </w:rPr>
        <w:t>iv</w:t>
      </w:r>
      <w:r w:rsidR="00F97452" w:rsidRPr="00F97452">
        <w:rPr>
          <w:b/>
          <w:bCs/>
          <w:color w:val="000000"/>
          <w:sz w:val="20"/>
        </w:rPr>
        <w:t xml:space="preserve">, Chapter </w:t>
      </w:r>
      <w:r w:rsidR="00B94332">
        <w:rPr>
          <w:b/>
          <w:bCs/>
          <w:color w:val="000000"/>
          <w:sz w:val="20"/>
        </w:rPr>
        <w:t>4</w:t>
      </w:r>
    </w:p>
    <w:p w14:paraId="126C2137" w14:textId="2B62514C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0E015D">
        <w:rPr>
          <w:b/>
          <w:bCs/>
          <w:sz w:val="20"/>
        </w:rPr>
        <w:t xml:space="preserve">      </w:t>
      </w:r>
      <w:r w:rsidR="000E015D">
        <w:rPr>
          <w:b/>
          <w:bCs/>
          <w:sz w:val="20"/>
        </w:rPr>
        <w:t xml:space="preserve"> </w:t>
      </w:r>
      <w:r w:rsidR="005B461D">
        <w:rPr>
          <w:b/>
          <w:bCs/>
          <w:sz w:val="20"/>
        </w:rPr>
        <w:tab/>
        <w:t xml:space="preserve">             </w:t>
      </w:r>
      <w:bookmarkStart w:id="0" w:name="_GoBack"/>
      <w:bookmarkEnd w:id="0"/>
      <w:r w:rsidR="005B461D">
        <w:rPr>
          <w:b/>
          <w:bCs/>
          <w:sz w:val="20"/>
        </w:rPr>
        <w:t>January 10, 2014</w:t>
      </w:r>
      <w:r w:rsidR="00F97452">
        <w:rPr>
          <w:b/>
          <w:bCs/>
          <w:sz w:val="20"/>
        </w:rPr>
        <w:t xml:space="preserve">        </w:t>
      </w:r>
    </w:p>
    <w:p w14:paraId="126C2138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126C2139" w14:textId="77777777" w:rsidR="00504F80" w:rsidRDefault="00504F80" w:rsidP="00504F80">
      <w:pPr>
        <w:rPr>
          <w:b/>
          <w:bCs/>
          <w:sz w:val="20"/>
        </w:rPr>
      </w:pPr>
    </w:p>
    <w:p w14:paraId="126C213A" w14:textId="77777777" w:rsidR="00504F80" w:rsidRDefault="00504F80" w:rsidP="00504F80">
      <w:pPr>
        <w:pStyle w:val="Heading4"/>
      </w:pPr>
      <w:r>
        <w:t xml:space="preserve">Transmittal Sheet </w:t>
      </w:r>
    </w:p>
    <w:p w14:paraId="126C213B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126C2146" w14:textId="77777777" w:rsidTr="00C24D50">
        <w:tc>
          <w:tcPr>
            <w:tcW w:w="1728" w:type="dxa"/>
          </w:tcPr>
          <w:p w14:paraId="126C213C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126C213D" w14:textId="77777777" w:rsidR="00504F80" w:rsidRPr="00F97452" w:rsidRDefault="00504F80" w:rsidP="00237C22">
            <w:pPr>
              <w:pStyle w:val="BlockText"/>
              <w:rPr>
                <w:szCs w:val="20"/>
              </w:rPr>
            </w:pPr>
            <w:r>
              <w:t>The table below describes the changes included in this revision of Veterans Benefits Manual M21-1MR</w:t>
            </w:r>
            <w:r w:rsidR="00715A72">
              <w:t xml:space="preserve"> Part III “General Claims Process,” Subpart iv, “General Rating Process,” Chapter </w:t>
            </w:r>
            <w:r w:rsidR="00B94332">
              <w:t>4</w:t>
            </w:r>
            <w:r w:rsidR="00715A72">
              <w:t>, “</w:t>
            </w:r>
            <w:r w:rsidR="00B94332">
              <w:t>Rating Specific Disabilities</w:t>
            </w:r>
            <w:r w:rsidR="00A025B0">
              <w:t xml:space="preserve">,” </w:t>
            </w:r>
            <w:r w:rsidR="00B94332">
              <w:t>Section B “Condition</w:t>
            </w:r>
            <w:r w:rsidR="00A025B0">
              <w:t>s of Organs of Special Sense.”</w:t>
            </w:r>
          </w:p>
          <w:p w14:paraId="126C213E" w14:textId="77777777" w:rsidR="00504F80" w:rsidRPr="00F97452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126C213F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126C2140" w14:textId="77777777" w:rsidR="00944C74" w:rsidRDefault="00944C74" w:rsidP="00944C74">
            <w:pPr>
              <w:pStyle w:val="BulletText1"/>
              <w:numPr>
                <w:ilvl w:val="0"/>
                <w:numId w:val="11"/>
              </w:numPr>
            </w:pPr>
            <w:r>
              <w:t xml:space="preserve">M21-1MR will retain some information related to the Benefits Delivery Network (BDN) until all master records are converted to VETSNET.  For information on VETSNET applications and input, consult the </w:t>
            </w:r>
            <w:hyperlink r:id="rId13" w:tooltip="http://10.220.1.10/vetsnet/User%20guide.htm" w:history="1">
              <w:r>
                <w:rPr>
                  <w:rStyle w:val="Hyperlink"/>
                </w:rPr>
                <w:t>VETSNET User Guides</w:t>
              </w:r>
            </w:hyperlink>
            <w:r>
              <w:t xml:space="preserve"> on the Compensation Service Intranet.</w:t>
            </w:r>
          </w:p>
          <w:p w14:paraId="126C2141" w14:textId="77777777" w:rsidR="00504F80" w:rsidRDefault="00504F80" w:rsidP="00237C22">
            <w:pPr>
              <w:pStyle w:val="BulletText1"/>
            </w:pPr>
            <w:r>
              <w:t>The term regional office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126C2142" w14:textId="77777777" w:rsidR="00504F80" w:rsidRDefault="00504F80" w:rsidP="00237C22">
            <w:pPr>
              <w:pStyle w:val="BulletText1"/>
            </w:pPr>
            <w:r>
              <w:t>The term Veterans Service Center Manager (VSCM) also includes Pension Management Center Manager (PMCM)</w:t>
            </w:r>
            <w:r w:rsidR="00C24D50">
              <w:t>, where appropriate</w:t>
            </w:r>
            <w:r>
              <w:t>.</w:t>
            </w:r>
          </w:p>
          <w:p w14:paraId="126C2143" w14:textId="77777777" w:rsidR="00504F80" w:rsidRDefault="00504F80" w:rsidP="00090F16">
            <w:pPr>
              <w:pStyle w:val="BulletText1"/>
              <w:tabs>
                <w:tab w:val="num" w:pos="547"/>
              </w:tabs>
            </w:pPr>
            <w:r>
              <w:t xml:space="preserve">Minor editorial changes have also been made to </w:t>
            </w:r>
          </w:p>
          <w:p w14:paraId="126C2144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724248">
              <w:t>B</w:t>
            </w:r>
            <w:r w:rsidR="00D61497">
              <w:t>lock labels and/or B</w:t>
            </w:r>
            <w:r>
              <w:t xml:space="preserve">lock text, and </w:t>
            </w:r>
          </w:p>
          <w:p w14:paraId="126C2145" w14:textId="77777777" w:rsidR="00504F80" w:rsidRPr="00EA3A57" w:rsidRDefault="00504F80" w:rsidP="00237C22">
            <w:pPr>
              <w:pStyle w:val="BulletText2"/>
            </w:pPr>
            <w:r>
              <w:t>bring the documents into conformance with M21-1MR standards.</w:t>
            </w:r>
          </w:p>
        </w:tc>
      </w:tr>
    </w:tbl>
    <w:p w14:paraId="126C2147" w14:textId="77777777" w:rsidR="00C24D50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3"/>
        <w:gridCol w:w="2699"/>
        <w:gridCol w:w="1082"/>
      </w:tblGrid>
      <w:tr w:rsidR="00C24D50" w14:paraId="126C214B" w14:textId="77777777" w:rsidTr="00C24D50">
        <w:trPr>
          <w:trHeight w:val="180"/>
        </w:trPr>
        <w:tc>
          <w:tcPr>
            <w:tcW w:w="3011" w:type="pct"/>
            <w:shd w:val="clear" w:color="auto" w:fill="auto"/>
          </w:tcPr>
          <w:p w14:paraId="126C2148" w14:textId="77777777" w:rsidR="00C24D50" w:rsidRPr="00C24D50" w:rsidRDefault="00C24D50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420" w:type="pct"/>
            <w:shd w:val="clear" w:color="auto" w:fill="auto"/>
          </w:tcPr>
          <w:p w14:paraId="126C2149" w14:textId="77777777" w:rsidR="00C24D50" w:rsidRPr="00C24D50" w:rsidRDefault="00C24D50" w:rsidP="002F7397">
            <w:pPr>
              <w:pStyle w:val="TableHeaderText"/>
            </w:pPr>
            <w:r w:rsidRPr="00C24D50">
              <w:t>Citation</w:t>
            </w:r>
          </w:p>
        </w:tc>
        <w:tc>
          <w:tcPr>
            <w:tcW w:w="569" w:type="pct"/>
            <w:shd w:val="clear" w:color="auto" w:fill="auto"/>
          </w:tcPr>
          <w:p w14:paraId="126C214A" w14:textId="77777777" w:rsidR="00C24D50" w:rsidRDefault="00C24D50" w:rsidP="002F7397">
            <w:pPr>
              <w:pStyle w:val="TableHeaderText"/>
            </w:pPr>
            <w:r>
              <w:t>Page(s)</w:t>
            </w:r>
          </w:p>
        </w:tc>
      </w:tr>
      <w:tr w:rsidR="00AF6F40" w14:paraId="126C214F" w14:textId="77777777" w:rsidTr="00C24D50">
        <w:trPr>
          <w:trHeight w:val="180"/>
        </w:trPr>
        <w:tc>
          <w:tcPr>
            <w:tcW w:w="3011" w:type="pct"/>
            <w:shd w:val="clear" w:color="auto" w:fill="auto"/>
          </w:tcPr>
          <w:p w14:paraId="126C214C" w14:textId="533DB265" w:rsidR="00AF6F40" w:rsidRDefault="00AF6F40" w:rsidP="00914ED2">
            <w:pPr>
              <w:pStyle w:val="BulletText1"/>
            </w:pPr>
            <w:r>
              <w:t xml:space="preserve">Incorporate </w:t>
            </w:r>
            <w:proofErr w:type="spellStart"/>
            <w:r>
              <w:t>VSCM</w:t>
            </w:r>
            <w:proofErr w:type="spellEnd"/>
            <w:r>
              <w:t xml:space="preserve"> Call material from April 2013 on visual field testing.  Removed outdated </w:t>
            </w:r>
            <w:r w:rsidR="00760D0D">
              <w:t>specific examination standards now incorporated in the DBQ and an incorrect regulatory citation</w:t>
            </w:r>
            <w:r>
              <w:t xml:space="preserve">. </w:t>
            </w:r>
            <w:r w:rsidR="00914ED2">
              <w:t xml:space="preserve"> Provided updated information on visual impairment tools.  </w:t>
            </w:r>
            <w:r w:rsidR="00760D0D">
              <w:t>Add references.</w:t>
            </w:r>
          </w:p>
        </w:tc>
        <w:tc>
          <w:tcPr>
            <w:tcW w:w="1420" w:type="pct"/>
            <w:shd w:val="clear" w:color="auto" w:fill="auto"/>
          </w:tcPr>
          <w:p w14:paraId="126C214D" w14:textId="77777777" w:rsidR="00AF6F40" w:rsidRDefault="00760D0D" w:rsidP="00760D0D">
            <w:pPr>
              <w:pStyle w:val="TableText"/>
            </w:pPr>
            <w:r>
              <w:t xml:space="preserve">M21-1MR Part III, </w:t>
            </w:r>
            <w:r w:rsidRPr="00760D0D">
              <w:t>Subpart iv, Chapter 4, Section B</w:t>
            </w:r>
            <w:r>
              <w:t>, Topic 10, Block a (III.iv.4.B.10.a).</w:t>
            </w:r>
          </w:p>
        </w:tc>
        <w:tc>
          <w:tcPr>
            <w:tcW w:w="569" w:type="pct"/>
            <w:shd w:val="clear" w:color="auto" w:fill="auto"/>
          </w:tcPr>
          <w:p w14:paraId="126C214E" w14:textId="77777777" w:rsidR="00AF6F40" w:rsidRDefault="00760D0D" w:rsidP="00B94332">
            <w:pPr>
              <w:pStyle w:val="TableText"/>
            </w:pPr>
            <w:r>
              <w:t>4-B-2</w:t>
            </w:r>
          </w:p>
        </w:tc>
      </w:tr>
      <w:tr w:rsidR="00760D0D" w14:paraId="126C2153" w14:textId="77777777" w:rsidTr="00C24D50">
        <w:trPr>
          <w:trHeight w:val="180"/>
        </w:trPr>
        <w:tc>
          <w:tcPr>
            <w:tcW w:w="3011" w:type="pct"/>
            <w:shd w:val="clear" w:color="auto" w:fill="auto"/>
          </w:tcPr>
          <w:p w14:paraId="126C2150" w14:textId="00F1B85E" w:rsidR="00760D0D" w:rsidRDefault="00760D0D" w:rsidP="00760D0D">
            <w:pPr>
              <w:pStyle w:val="BulletText1"/>
            </w:pPr>
            <w:r>
              <w:t xml:space="preserve">Add September 2013 </w:t>
            </w:r>
            <w:proofErr w:type="spellStart"/>
            <w:r>
              <w:t>VSCM</w:t>
            </w:r>
            <w:proofErr w:type="spellEnd"/>
            <w:r>
              <w:t xml:space="preserve"> Call material on muscle function testing standards. </w:t>
            </w:r>
          </w:p>
        </w:tc>
        <w:tc>
          <w:tcPr>
            <w:tcW w:w="1420" w:type="pct"/>
            <w:shd w:val="clear" w:color="auto" w:fill="auto"/>
          </w:tcPr>
          <w:p w14:paraId="126C2151" w14:textId="77777777" w:rsidR="00760D0D" w:rsidRDefault="00760D0D" w:rsidP="00760D0D">
            <w:pPr>
              <w:pStyle w:val="TableText"/>
            </w:pPr>
            <w:r>
              <w:t>III.iv.4.B.11.d.</w:t>
            </w:r>
          </w:p>
        </w:tc>
        <w:tc>
          <w:tcPr>
            <w:tcW w:w="569" w:type="pct"/>
            <w:shd w:val="clear" w:color="auto" w:fill="auto"/>
          </w:tcPr>
          <w:p w14:paraId="126C2152" w14:textId="77777777" w:rsidR="00760D0D" w:rsidRDefault="00760D0D" w:rsidP="00B94332">
            <w:pPr>
              <w:pStyle w:val="TableText"/>
            </w:pPr>
            <w:r>
              <w:t>4-B-8</w:t>
            </w:r>
          </w:p>
        </w:tc>
      </w:tr>
      <w:tr w:rsidR="00E43B08" w14:paraId="126C2157" w14:textId="77777777" w:rsidTr="00C24D50">
        <w:trPr>
          <w:trHeight w:val="180"/>
        </w:trPr>
        <w:tc>
          <w:tcPr>
            <w:tcW w:w="3011" w:type="pct"/>
            <w:shd w:val="clear" w:color="auto" w:fill="auto"/>
          </w:tcPr>
          <w:p w14:paraId="126C2154" w14:textId="543AA24C" w:rsidR="00E43B08" w:rsidRDefault="00760D0D" w:rsidP="00760D0D">
            <w:pPr>
              <w:pStyle w:val="BulletText1"/>
            </w:pPr>
            <w:r>
              <w:t>C</w:t>
            </w:r>
            <w:r w:rsidR="00C832AD">
              <w:t xml:space="preserve">larify material on </w:t>
            </w:r>
            <w:proofErr w:type="spellStart"/>
            <w:r w:rsidR="00C832AD">
              <w:t>VHA</w:t>
            </w:r>
            <w:proofErr w:type="spellEnd"/>
            <w:r w:rsidR="00C832AD">
              <w:t xml:space="preserve"> co</w:t>
            </w:r>
            <w:r>
              <w:t xml:space="preserve">nversions of audiometry results to include incorporation of some material previously in block h. </w:t>
            </w:r>
          </w:p>
        </w:tc>
        <w:tc>
          <w:tcPr>
            <w:tcW w:w="1420" w:type="pct"/>
            <w:shd w:val="clear" w:color="auto" w:fill="auto"/>
          </w:tcPr>
          <w:p w14:paraId="126C2155" w14:textId="77777777" w:rsidR="00E43B08" w:rsidRPr="00C24D50" w:rsidRDefault="00C832AD" w:rsidP="00B94332">
            <w:pPr>
              <w:pStyle w:val="TableText"/>
            </w:pPr>
            <w:r>
              <w:t>III.iv.4.B.12.a</w:t>
            </w:r>
          </w:p>
        </w:tc>
        <w:tc>
          <w:tcPr>
            <w:tcW w:w="569" w:type="pct"/>
            <w:shd w:val="clear" w:color="auto" w:fill="auto"/>
          </w:tcPr>
          <w:p w14:paraId="126C2156" w14:textId="77777777" w:rsidR="00E43B08" w:rsidRDefault="00C832AD" w:rsidP="00B94332">
            <w:pPr>
              <w:pStyle w:val="TableText"/>
            </w:pPr>
            <w:r>
              <w:t>4-B-11</w:t>
            </w:r>
          </w:p>
        </w:tc>
      </w:tr>
      <w:tr w:rsidR="0015466B" w14:paraId="126C215B" w14:textId="77777777" w:rsidTr="00C24D50">
        <w:trPr>
          <w:trHeight w:val="180"/>
        </w:trPr>
        <w:tc>
          <w:tcPr>
            <w:tcW w:w="3011" w:type="pct"/>
            <w:shd w:val="clear" w:color="auto" w:fill="auto"/>
          </w:tcPr>
          <w:p w14:paraId="126C2158" w14:textId="1FDE01C4" w:rsidR="0015466B" w:rsidRDefault="0015466B" w:rsidP="00760D0D">
            <w:pPr>
              <w:pStyle w:val="BulletText1"/>
            </w:pPr>
            <w:r>
              <w:t xml:space="preserve">Clarify existing material on sympathetic reading of claims to include tinnitus.  Add reference. </w:t>
            </w:r>
          </w:p>
        </w:tc>
        <w:tc>
          <w:tcPr>
            <w:tcW w:w="1420" w:type="pct"/>
            <w:shd w:val="clear" w:color="auto" w:fill="auto"/>
          </w:tcPr>
          <w:p w14:paraId="126C2159" w14:textId="77777777" w:rsidR="0015466B" w:rsidRDefault="0015466B" w:rsidP="00B94332">
            <w:pPr>
              <w:pStyle w:val="TableText"/>
            </w:pPr>
            <w:r>
              <w:t>III.iv.4.B.12.b</w:t>
            </w:r>
          </w:p>
        </w:tc>
        <w:tc>
          <w:tcPr>
            <w:tcW w:w="569" w:type="pct"/>
            <w:shd w:val="clear" w:color="auto" w:fill="auto"/>
          </w:tcPr>
          <w:p w14:paraId="126C215A" w14:textId="77777777" w:rsidR="0015466B" w:rsidRDefault="0015466B" w:rsidP="00B94332">
            <w:pPr>
              <w:pStyle w:val="TableText"/>
            </w:pPr>
            <w:r>
              <w:t>4-B-12</w:t>
            </w:r>
          </w:p>
        </w:tc>
      </w:tr>
      <w:tr w:rsidR="00E43B08" w14:paraId="126C215F" w14:textId="77777777" w:rsidTr="00C24D50">
        <w:trPr>
          <w:trHeight w:val="180"/>
        </w:trPr>
        <w:tc>
          <w:tcPr>
            <w:tcW w:w="3011" w:type="pct"/>
            <w:shd w:val="clear" w:color="auto" w:fill="auto"/>
          </w:tcPr>
          <w:p w14:paraId="126C215C" w14:textId="334AE086" w:rsidR="00E43B08" w:rsidRDefault="0074597E" w:rsidP="007E6939">
            <w:pPr>
              <w:pStyle w:val="BulletText1"/>
            </w:pPr>
            <w:r w:rsidRPr="0074597E">
              <w:t>Clarifying guidance on audiometric exams and opinions in hearing loss cases</w:t>
            </w:r>
            <w:r>
              <w:t xml:space="preserve">. </w:t>
            </w:r>
            <w:r w:rsidR="00CE18AE">
              <w:t xml:space="preserve"> Incorporate material from the May 2012 VSCM Call.  Add notes on competent lay evidence and the duty MOS.</w:t>
            </w:r>
            <w:r w:rsidR="00DB279B">
              <w:t xml:space="preserve"> </w:t>
            </w:r>
            <w:r w:rsidR="00CE18AE">
              <w:t xml:space="preserve">Add cross references to include on the duty to assist. </w:t>
            </w:r>
          </w:p>
        </w:tc>
        <w:tc>
          <w:tcPr>
            <w:tcW w:w="1420" w:type="pct"/>
            <w:shd w:val="clear" w:color="auto" w:fill="auto"/>
          </w:tcPr>
          <w:p w14:paraId="126C215D" w14:textId="77777777" w:rsidR="00E43B08" w:rsidRPr="00C24D50" w:rsidRDefault="0074597E" w:rsidP="00B94332">
            <w:pPr>
              <w:pStyle w:val="TableText"/>
            </w:pPr>
            <w:r>
              <w:t>III.iv.4.B.12.d</w:t>
            </w:r>
          </w:p>
        </w:tc>
        <w:tc>
          <w:tcPr>
            <w:tcW w:w="569" w:type="pct"/>
            <w:shd w:val="clear" w:color="auto" w:fill="auto"/>
          </w:tcPr>
          <w:p w14:paraId="126C215E" w14:textId="77777777" w:rsidR="00E43B08" w:rsidRDefault="0074597E" w:rsidP="00B94332">
            <w:pPr>
              <w:pStyle w:val="TableText"/>
            </w:pPr>
            <w:r>
              <w:t>4-B-14</w:t>
            </w:r>
          </w:p>
        </w:tc>
      </w:tr>
    </w:tbl>
    <w:p w14:paraId="126C2160" w14:textId="77777777" w:rsidR="001E2ED4" w:rsidRDefault="001E2ED4" w:rsidP="001E2ED4">
      <w:pPr>
        <w:pStyle w:val="ContinuedOnNextPa"/>
      </w:pPr>
      <w:r>
        <w:t>Continued on next page</w:t>
      </w:r>
    </w:p>
    <w:p w14:paraId="126C2161" w14:textId="77777777" w:rsidR="00504F80" w:rsidRPr="001E2ED4" w:rsidRDefault="003A6F7E" w:rsidP="001E2ED4">
      <w:pPr>
        <w:pStyle w:val="MapTitleContinued"/>
        <w:rPr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6C218D" wp14:editId="126C218E">
                <wp:simplePos x="0" y="0"/>
                <wp:positionH relativeFrom="column">
                  <wp:posOffset>2856230</wp:posOffset>
                </wp:positionH>
                <wp:positionV relativeFrom="paragraph">
                  <wp:posOffset>1885950</wp:posOffset>
                </wp:positionV>
                <wp:extent cx="354965" cy="237490"/>
                <wp:effectExtent l="0" t="0" r="0" b="63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C2197" w14:textId="77777777" w:rsidR="00292E48" w:rsidRPr="00292E48" w:rsidRDefault="00292E48" w:rsidP="00AE2D2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24.9pt;margin-top:148.5pt;width:27.95pt;height:18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5NggIAAA8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" stroked="f">
                <v:textbox style="mso-fit-shape-to-text:t">
                  <w:txbxContent>
                    <w:p w:rsidR="00292E48" w:rsidRPr="00292E48" w:rsidRDefault="00292E48" w:rsidP="00AE2D2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i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E2ED4" w:rsidRPr="001E2ED4">
        <w:br w:type="page"/>
      </w:r>
      <w:r w:rsidR="005B461D">
        <w:lastRenderedPageBreak/>
        <w:fldChar w:fldCharType="begin"/>
      </w:r>
      <w:r w:rsidR="005B461D">
        <w:instrText xml:space="preserve"> STYLEREF "Map Title" </w:instrText>
      </w:r>
      <w:r w:rsidR="005B461D">
        <w:fldChar w:fldCharType="separate"/>
      </w:r>
      <w:r w:rsidR="001E2ED4" w:rsidRPr="001E2ED4">
        <w:rPr>
          <w:noProof/>
        </w:rPr>
        <w:t>Transmittal Sheet</w:t>
      </w:r>
      <w:r w:rsidR="005B461D">
        <w:rPr>
          <w:noProof/>
        </w:rPr>
        <w:fldChar w:fldCharType="end"/>
      </w:r>
      <w:r w:rsidR="001E2ED4" w:rsidRPr="001E2ED4">
        <w:t xml:space="preserve">, </w:t>
      </w:r>
      <w:r w:rsidR="001E2ED4" w:rsidRPr="001E2ED4">
        <w:rPr>
          <w:b w:val="0"/>
          <w:sz w:val="24"/>
        </w:rPr>
        <w:t>Continued</w:t>
      </w:r>
    </w:p>
    <w:p w14:paraId="126C2162" w14:textId="77777777" w:rsidR="00504F80" w:rsidRDefault="00504F80" w:rsidP="00504F80">
      <w:pPr>
        <w:pStyle w:val="BlockLine"/>
      </w:pPr>
    </w:p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3"/>
        <w:gridCol w:w="2699"/>
        <w:gridCol w:w="1082"/>
      </w:tblGrid>
      <w:tr w:rsidR="00952CF5" w14:paraId="126C2166" w14:textId="77777777" w:rsidTr="00391AA7">
        <w:trPr>
          <w:trHeight w:val="180"/>
        </w:trPr>
        <w:tc>
          <w:tcPr>
            <w:tcW w:w="3011" w:type="pct"/>
            <w:shd w:val="clear" w:color="auto" w:fill="auto"/>
          </w:tcPr>
          <w:p w14:paraId="126C2163" w14:textId="77777777" w:rsidR="00952CF5" w:rsidRPr="00C24D50" w:rsidRDefault="00952CF5" w:rsidP="00391AA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420" w:type="pct"/>
            <w:shd w:val="clear" w:color="auto" w:fill="auto"/>
          </w:tcPr>
          <w:p w14:paraId="126C2164" w14:textId="77777777" w:rsidR="00952CF5" w:rsidRPr="00C24D50" w:rsidRDefault="00952CF5" w:rsidP="00391AA7">
            <w:pPr>
              <w:pStyle w:val="TableHeaderText"/>
            </w:pPr>
            <w:r w:rsidRPr="00C24D50">
              <w:t>Citation</w:t>
            </w:r>
          </w:p>
        </w:tc>
        <w:tc>
          <w:tcPr>
            <w:tcW w:w="569" w:type="pct"/>
            <w:shd w:val="clear" w:color="auto" w:fill="auto"/>
          </w:tcPr>
          <w:p w14:paraId="126C2165" w14:textId="77777777" w:rsidR="00952CF5" w:rsidRDefault="00952CF5" w:rsidP="00391AA7">
            <w:pPr>
              <w:pStyle w:val="TableHeaderText"/>
            </w:pPr>
            <w:r>
              <w:t>Page(s)</w:t>
            </w:r>
          </w:p>
        </w:tc>
      </w:tr>
      <w:tr w:rsidR="001F458A" w14:paraId="126C216A" w14:textId="77777777" w:rsidTr="00391AA7">
        <w:trPr>
          <w:trHeight w:val="180"/>
        </w:trPr>
        <w:tc>
          <w:tcPr>
            <w:tcW w:w="3011" w:type="pct"/>
            <w:shd w:val="clear" w:color="auto" w:fill="auto"/>
          </w:tcPr>
          <w:p w14:paraId="126C2167" w14:textId="1C25D988" w:rsidR="001F458A" w:rsidRDefault="001F458A" w:rsidP="007A7FA3">
            <w:pPr>
              <w:pStyle w:val="BulletText1"/>
            </w:pPr>
            <w:r>
              <w:t xml:space="preserve">Clarify the </w:t>
            </w:r>
            <w:r w:rsidR="007A7FA3">
              <w:t xml:space="preserve">block text </w:t>
            </w:r>
            <w:r>
              <w:t>when a medal opinion</w:t>
            </w:r>
            <w:r w:rsidR="007A7FA3">
              <w:t xml:space="preserve"> on tinnitus etiology or onset </w:t>
            </w:r>
            <w:r>
              <w:t xml:space="preserve">is or is not necessary to ensure consistency with 38 </w:t>
            </w:r>
            <w:proofErr w:type="spellStart"/>
            <w:r>
              <w:t>CFR</w:t>
            </w:r>
            <w:proofErr w:type="spellEnd"/>
            <w:r>
              <w:t xml:space="preserve"> 3.159(c)(4), 3.303(b), and case law on competent lay testimony.</w:t>
            </w:r>
            <w:r w:rsidR="00914ED2">
              <w:t xml:space="preserve"> Change the block label to more clearly and accurately reflect block content</w:t>
            </w:r>
            <w:r>
              <w:t xml:space="preserve">  </w:t>
            </w:r>
          </w:p>
        </w:tc>
        <w:tc>
          <w:tcPr>
            <w:tcW w:w="1420" w:type="pct"/>
            <w:shd w:val="clear" w:color="auto" w:fill="auto"/>
          </w:tcPr>
          <w:p w14:paraId="126C2168" w14:textId="77777777" w:rsidR="001F458A" w:rsidRPr="00C24D50" w:rsidRDefault="001F458A" w:rsidP="00754C5A">
            <w:pPr>
              <w:pStyle w:val="TableText"/>
            </w:pPr>
            <w:r>
              <w:t>III.iv.4.12.e</w:t>
            </w:r>
          </w:p>
        </w:tc>
        <w:tc>
          <w:tcPr>
            <w:tcW w:w="569" w:type="pct"/>
            <w:shd w:val="clear" w:color="auto" w:fill="auto"/>
          </w:tcPr>
          <w:p w14:paraId="126C2169" w14:textId="77777777" w:rsidR="001F458A" w:rsidRDefault="001F458A" w:rsidP="00754C5A">
            <w:pPr>
              <w:pStyle w:val="TableText"/>
            </w:pPr>
            <w:r>
              <w:t>4-B-15</w:t>
            </w:r>
          </w:p>
        </w:tc>
      </w:tr>
      <w:tr w:rsidR="00AF2AE4" w14:paraId="126C216E" w14:textId="77777777" w:rsidTr="00391AA7">
        <w:trPr>
          <w:trHeight w:val="180"/>
        </w:trPr>
        <w:tc>
          <w:tcPr>
            <w:tcW w:w="3011" w:type="pct"/>
            <w:shd w:val="clear" w:color="auto" w:fill="auto"/>
          </w:tcPr>
          <w:p w14:paraId="126C216B" w14:textId="7316F33F" w:rsidR="00AF2AE4" w:rsidRDefault="00AF2AE4" w:rsidP="00AF2AE4">
            <w:pPr>
              <w:pStyle w:val="BulletText1"/>
            </w:pPr>
            <w:r>
              <w:t xml:space="preserve">Clarify this block content on preservation of disability ratings.  </w:t>
            </w:r>
          </w:p>
        </w:tc>
        <w:tc>
          <w:tcPr>
            <w:tcW w:w="1420" w:type="pct"/>
            <w:shd w:val="clear" w:color="auto" w:fill="auto"/>
          </w:tcPr>
          <w:p w14:paraId="126C216C" w14:textId="77777777" w:rsidR="00AF2AE4" w:rsidRDefault="00AF2AE4" w:rsidP="00754C5A">
            <w:pPr>
              <w:pStyle w:val="TableText"/>
            </w:pPr>
            <w:r>
              <w:t>III.iv.4.B.12.g</w:t>
            </w:r>
          </w:p>
        </w:tc>
        <w:tc>
          <w:tcPr>
            <w:tcW w:w="569" w:type="pct"/>
            <w:shd w:val="clear" w:color="auto" w:fill="auto"/>
          </w:tcPr>
          <w:p w14:paraId="126C216D" w14:textId="77777777" w:rsidR="00AF2AE4" w:rsidRDefault="00AF2AE4" w:rsidP="00754C5A">
            <w:pPr>
              <w:pStyle w:val="TableText"/>
            </w:pPr>
            <w:r>
              <w:t>4-B-18</w:t>
            </w:r>
          </w:p>
        </w:tc>
      </w:tr>
      <w:tr w:rsidR="0015466B" w14:paraId="126C2172" w14:textId="77777777" w:rsidTr="00391AA7">
        <w:trPr>
          <w:trHeight w:val="180"/>
        </w:trPr>
        <w:tc>
          <w:tcPr>
            <w:tcW w:w="3011" w:type="pct"/>
            <w:shd w:val="clear" w:color="auto" w:fill="auto"/>
          </w:tcPr>
          <w:p w14:paraId="126C216F" w14:textId="5F7DBDBA" w:rsidR="0015466B" w:rsidRDefault="0015466B" w:rsidP="00754C5A">
            <w:pPr>
              <w:pStyle w:val="BulletText1"/>
            </w:pPr>
            <w:r>
              <w:t xml:space="preserve">Replace and improve guidance on the applying past versions of hearing loss criteria. </w:t>
            </w:r>
            <w:r w:rsidR="00914ED2">
              <w:t>Change the block label to more clearly and accurately reflect block content</w:t>
            </w:r>
            <w:r w:rsidR="00AF2AE4">
              <w:t xml:space="preserve"> Add references. </w:t>
            </w:r>
          </w:p>
        </w:tc>
        <w:tc>
          <w:tcPr>
            <w:tcW w:w="1420" w:type="pct"/>
            <w:shd w:val="clear" w:color="auto" w:fill="auto"/>
          </w:tcPr>
          <w:p w14:paraId="126C2170" w14:textId="77777777" w:rsidR="0015466B" w:rsidRPr="00C24D50" w:rsidRDefault="0015466B" w:rsidP="00754C5A">
            <w:pPr>
              <w:pStyle w:val="TableText"/>
            </w:pPr>
            <w:r>
              <w:t>III.iv.4.B.12.h</w:t>
            </w:r>
          </w:p>
        </w:tc>
        <w:tc>
          <w:tcPr>
            <w:tcW w:w="569" w:type="pct"/>
            <w:shd w:val="clear" w:color="auto" w:fill="auto"/>
          </w:tcPr>
          <w:p w14:paraId="126C2171" w14:textId="77777777" w:rsidR="0015466B" w:rsidRDefault="0015466B" w:rsidP="00754C5A">
            <w:pPr>
              <w:pStyle w:val="TableText"/>
            </w:pPr>
            <w:r>
              <w:t>4-B-18</w:t>
            </w:r>
          </w:p>
        </w:tc>
      </w:tr>
      <w:tr w:rsidR="006B2174" w14:paraId="126C2176" w14:textId="77777777" w:rsidTr="00391AA7">
        <w:trPr>
          <w:trHeight w:val="180"/>
        </w:trPr>
        <w:tc>
          <w:tcPr>
            <w:tcW w:w="3011" w:type="pct"/>
            <w:shd w:val="clear" w:color="auto" w:fill="auto"/>
          </w:tcPr>
          <w:p w14:paraId="126C2173" w14:textId="5632C138" w:rsidR="006B2174" w:rsidRDefault="006B2174" w:rsidP="00AF2AE4">
            <w:pPr>
              <w:pStyle w:val="BulletText1"/>
            </w:pPr>
            <w:r>
              <w:t xml:space="preserve">Insert most current guidance on use of rating decision tools in hearing loss cases. </w:t>
            </w:r>
            <w:r w:rsidR="00914ED2">
              <w:t>Change the block label to more clearly and accurately reflect block content.</w:t>
            </w:r>
          </w:p>
        </w:tc>
        <w:tc>
          <w:tcPr>
            <w:tcW w:w="1420" w:type="pct"/>
            <w:shd w:val="clear" w:color="auto" w:fill="auto"/>
          </w:tcPr>
          <w:p w14:paraId="126C2174" w14:textId="77777777" w:rsidR="006B2174" w:rsidRDefault="006B2174" w:rsidP="00037D5A">
            <w:pPr>
              <w:pStyle w:val="TableText"/>
            </w:pPr>
            <w:r>
              <w:t>III.iv.4.B.12.n</w:t>
            </w:r>
          </w:p>
        </w:tc>
        <w:tc>
          <w:tcPr>
            <w:tcW w:w="569" w:type="pct"/>
            <w:shd w:val="clear" w:color="auto" w:fill="auto"/>
          </w:tcPr>
          <w:p w14:paraId="126C2175" w14:textId="77777777" w:rsidR="006B2174" w:rsidRDefault="006B2174" w:rsidP="00037D5A">
            <w:pPr>
              <w:pStyle w:val="TableText"/>
            </w:pPr>
            <w:r>
              <w:t>4-B-21</w:t>
            </w:r>
          </w:p>
        </w:tc>
      </w:tr>
    </w:tbl>
    <w:p w14:paraId="126C2177" w14:textId="77777777" w:rsidR="00952CF5" w:rsidRDefault="00952CF5" w:rsidP="00952CF5"/>
    <w:p w14:paraId="126C2178" w14:textId="77777777" w:rsidR="00952CF5" w:rsidRDefault="00952CF5" w:rsidP="00952CF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26C217B" w14:textId="77777777" w:rsidTr="00237C22">
        <w:tc>
          <w:tcPr>
            <w:tcW w:w="1728" w:type="dxa"/>
          </w:tcPr>
          <w:p w14:paraId="126C2179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126C217A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126C217C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26C217F" w14:textId="77777777" w:rsidTr="00237C22">
        <w:tc>
          <w:tcPr>
            <w:tcW w:w="1728" w:type="dxa"/>
          </w:tcPr>
          <w:p w14:paraId="126C217D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126C217E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126C2180" w14:textId="77777777" w:rsidR="00504F80" w:rsidRPr="00B4163A" w:rsidRDefault="00504F80" w:rsidP="001E2ED4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26C2186" w14:textId="77777777" w:rsidTr="00237C22">
        <w:tc>
          <w:tcPr>
            <w:tcW w:w="1728" w:type="dxa"/>
          </w:tcPr>
          <w:p w14:paraId="126C218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126C2182" w14:textId="77777777" w:rsidR="00504F80" w:rsidRPr="00B4163A" w:rsidRDefault="00504F80" w:rsidP="00237C22">
            <w:pPr>
              <w:pStyle w:val="BlockText"/>
            </w:pPr>
          </w:p>
          <w:p w14:paraId="126C2183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126C2184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126C2185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126C2187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126C218A" w14:textId="77777777" w:rsidTr="00237C22">
        <w:tc>
          <w:tcPr>
            <w:tcW w:w="1728" w:type="dxa"/>
          </w:tcPr>
          <w:p w14:paraId="126C218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126C2189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126C218B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126C218C" w14:textId="77777777" w:rsidR="007D5B97" w:rsidRDefault="003A6F7E" w:rsidP="00E43B08">
      <w:pPr>
        <w:pStyle w:val="MapTitleContinue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6C218F" wp14:editId="126C2190">
                <wp:simplePos x="0" y="0"/>
                <wp:positionH relativeFrom="column">
                  <wp:posOffset>2842895</wp:posOffset>
                </wp:positionH>
                <wp:positionV relativeFrom="paragraph">
                  <wp:posOffset>4438650</wp:posOffset>
                </wp:positionV>
                <wp:extent cx="406400" cy="237490"/>
                <wp:effectExtent l="4445" t="0" r="0" b="63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C2198" w14:textId="77777777" w:rsidR="00292E48" w:rsidRPr="00292E48" w:rsidRDefault="00292E48" w:rsidP="00AE2D28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223.85pt;margin-top:349.5pt;width:32pt;height:18.7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" stroked="f">
                <v:textbox style="mso-fit-shape-to-text:t">
                  <w:txbxContent>
                    <w:p w:rsidR="00292E48" w:rsidRPr="00292E48" w:rsidRDefault="00292E48" w:rsidP="00AE2D28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ii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7D5B97" w:rsidSect="00237C22">
      <w:footerReference w:type="even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C2193" w14:textId="77777777" w:rsidR="008E4C44" w:rsidRDefault="008E4C44" w:rsidP="00C765C7">
      <w:r>
        <w:separator/>
      </w:r>
    </w:p>
  </w:endnote>
  <w:endnote w:type="continuationSeparator" w:id="0">
    <w:p w14:paraId="126C2194" w14:textId="77777777" w:rsidR="008E4C44" w:rsidRDefault="008E4C44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C2195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6C2196" w14:textId="77777777" w:rsidR="00237C22" w:rsidRDefault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C2191" w14:textId="77777777" w:rsidR="008E4C44" w:rsidRDefault="008E4C44" w:rsidP="00C765C7">
      <w:r>
        <w:separator/>
      </w:r>
    </w:p>
  </w:footnote>
  <w:footnote w:type="continuationSeparator" w:id="0">
    <w:p w14:paraId="126C2192" w14:textId="77777777" w:rsidR="008E4C44" w:rsidRDefault="008E4C44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46A96"/>
    <w:multiLevelType w:val="hybridMultilevel"/>
    <w:tmpl w:val="87A2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>
    <w:nsid w:val="6C6B02AF"/>
    <w:multiLevelType w:val="singleLevel"/>
    <w:tmpl w:val="15F25542"/>
    <w:lvl w:ilvl="0">
      <w:start w:val="1"/>
      <w:numFmt w:val="bullet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</w:abstractNum>
  <w:abstractNum w:abstractNumId="9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6F027A1"/>
    <w:multiLevelType w:val="hybridMultilevel"/>
    <w:tmpl w:val="1B72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6"/>
  </w:num>
  <w:num w:numId="15">
    <w:abstractNumId w:val="6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504F80"/>
    <w:rsid w:val="00002A1E"/>
    <w:rsid w:val="00014A89"/>
    <w:rsid w:val="000252C6"/>
    <w:rsid w:val="000256FB"/>
    <w:rsid w:val="0002716D"/>
    <w:rsid w:val="00033185"/>
    <w:rsid w:val="0004467D"/>
    <w:rsid w:val="00052278"/>
    <w:rsid w:val="00053FE0"/>
    <w:rsid w:val="00077E44"/>
    <w:rsid w:val="00090F16"/>
    <w:rsid w:val="00093228"/>
    <w:rsid w:val="00096CEA"/>
    <w:rsid w:val="000A43B5"/>
    <w:rsid w:val="000A5D26"/>
    <w:rsid w:val="000B145B"/>
    <w:rsid w:val="000B2D03"/>
    <w:rsid w:val="000B3C9B"/>
    <w:rsid w:val="000E015D"/>
    <w:rsid w:val="00100433"/>
    <w:rsid w:val="0010215F"/>
    <w:rsid w:val="00106EEF"/>
    <w:rsid w:val="00123973"/>
    <w:rsid w:val="0015466B"/>
    <w:rsid w:val="00166D45"/>
    <w:rsid w:val="00186D46"/>
    <w:rsid w:val="00193FB0"/>
    <w:rsid w:val="001B1277"/>
    <w:rsid w:val="001C1DFA"/>
    <w:rsid w:val="001C3AE3"/>
    <w:rsid w:val="001C3EB5"/>
    <w:rsid w:val="001C763C"/>
    <w:rsid w:val="001E2ED4"/>
    <w:rsid w:val="001F0D51"/>
    <w:rsid w:val="001F458A"/>
    <w:rsid w:val="001F4C61"/>
    <w:rsid w:val="001F7CEA"/>
    <w:rsid w:val="00223E13"/>
    <w:rsid w:val="00237C22"/>
    <w:rsid w:val="00240624"/>
    <w:rsid w:val="00291474"/>
    <w:rsid w:val="00292E48"/>
    <w:rsid w:val="002A44D5"/>
    <w:rsid w:val="002B5896"/>
    <w:rsid w:val="002B77BF"/>
    <w:rsid w:val="002B7A7E"/>
    <w:rsid w:val="002C1825"/>
    <w:rsid w:val="002C3D78"/>
    <w:rsid w:val="002F5B21"/>
    <w:rsid w:val="002F7397"/>
    <w:rsid w:val="00316A35"/>
    <w:rsid w:val="00332557"/>
    <w:rsid w:val="00332B80"/>
    <w:rsid w:val="0033408F"/>
    <w:rsid w:val="00341981"/>
    <w:rsid w:val="00342CCC"/>
    <w:rsid w:val="0034344F"/>
    <w:rsid w:val="00366D36"/>
    <w:rsid w:val="00386999"/>
    <w:rsid w:val="00391AA7"/>
    <w:rsid w:val="003A6F7E"/>
    <w:rsid w:val="003B0F65"/>
    <w:rsid w:val="003B1452"/>
    <w:rsid w:val="003B2927"/>
    <w:rsid w:val="003B344C"/>
    <w:rsid w:val="003D6DC1"/>
    <w:rsid w:val="003F6048"/>
    <w:rsid w:val="003F672A"/>
    <w:rsid w:val="0040351B"/>
    <w:rsid w:val="00421403"/>
    <w:rsid w:val="00431B1E"/>
    <w:rsid w:val="00435BA5"/>
    <w:rsid w:val="00455506"/>
    <w:rsid w:val="00455EF7"/>
    <w:rsid w:val="004562CC"/>
    <w:rsid w:val="00457D91"/>
    <w:rsid w:val="00471ECA"/>
    <w:rsid w:val="00482FA3"/>
    <w:rsid w:val="0048559D"/>
    <w:rsid w:val="00494175"/>
    <w:rsid w:val="004A272A"/>
    <w:rsid w:val="004D1967"/>
    <w:rsid w:val="004F375E"/>
    <w:rsid w:val="00504F80"/>
    <w:rsid w:val="00506485"/>
    <w:rsid w:val="0051195B"/>
    <w:rsid w:val="00513DA7"/>
    <w:rsid w:val="00516C82"/>
    <w:rsid w:val="0051708D"/>
    <w:rsid w:val="005766E8"/>
    <w:rsid w:val="005778BF"/>
    <w:rsid w:val="005778E7"/>
    <w:rsid w:val="00594258"/>
    <w:rsid w:val="005A7032"/>
    <w:rsid w:val="005B461D"/>
    <w:rsid w:val="005C3E9A"/>
    <w:rsid w:val="005D04D3"/>
    <w:rsid w:val="005E4363"/>
    <w:rsid w:val="005F31EB"/>
    <w:rsid w:val="005F49E0"/>
    <w:rsid w:val="0062068D"/>
    <w:rsid w:val="006317AA"/>
    <w:rsid w:val="00641065"/>
    <w:rsid w:val="006434CC"/>
    <w:rsid w:val="006473C3"/>
    <w:rsid w:val="006708D7"/>
    <w:rsid w:val="006837E0"/>
    <w:rsid w:val="006962FB"/>
    <w:rsid w:val="006B2174"/>
    <w:rsid w:val="006B7262"/>
    <w:rsid w:val="006C3E5F"/>
    <w:rsid w:val="006C48FF"/>
    <w:rsid w:val="006F6D37"/>
    <w:rsid w:val="0071381A"/>
    <w:rsid w:val="0071423E"/>
    <w:rsid w:val="00715A72"/>
    <w:rsid w:val="00724248"/>
    <w:rsid w:val="00732186"/>
    <w:rsid w:val="00737049"/>
    <w:rsid w:val="0074597E"/>
    <w:rsid w:val="0075522F"/>
    <w:rsid w:val="00760D0D"/>
    <w:rsid w:val="0076357D"/>
    <w:rsid w:val="00766657"/>
    <w:rsid w:val="00776BE6"/>
    <w:rsid w:val="007822CC"/>
    <w:rsid w:val="007A0C5F"/>
    <w:rsid w:val="007A7FA3"/>
    <w:rsid w:val="007B24EB"/>
    <w:rsid w:val="007D5682"/>
    <w:rsid w:val="007D5B97"/>
    <w:rsid w:val="007E5515"/>
    <w:rsid w:val="007E6939"/>
    <w:rsid w:val="0080590C"/>
    <w:rsid w:val="00851830"/>
    <w:rsid w:val="0086475B"/>
    <w:rsid w:val="00875AFA"/>
    <w:rsid w:val="0088609E"/>
    <w:rsid w:val="008A1580"/>
    <w:rsid w:val="008B4CB5"/>
    <w:rsid w:val="008C357C"/>
    <w:rsid w:val="008C723F"/>
    <w:rsid w:val="008D12C3"/>
    <w:rsid w:val="008D458B"/>
    <w:rsid w:val="008E22CF"/>
    <w:rsid w:val="008E4C44"/>
    <w:rsid w:val="008E5824"/>
    <w:rsid w:val="008E589A"/>
    <w:rsid w:val="008F1D5B"/>
    <w:rsid w:val="008F3D32"/>
    <w:rsid w:val="00900206"/>
    <w:rsid w:val="00914ED2"/>
    <w:rsid w:val="00916AE6"/>
    <w:rsid w:val="00916CB3"/>
    <w:rsid w:val="00944C74"/>
    <w:rsid w:val="00946DE5"/>
    <w:rsid w:val="00952CF5"/>
    <w:rsid w:val="0096734D"/>
    <w:rsid w:val="00973291"/>
    <w:rsid w:val="009769CD"/>
    <w:rsid w:val="00984FE3"/>
    <w:rsid w:val="009970A1"/>
    <w:rsid w:val="009B6554"/>
    <w:rsid w:val="009C5038"/>
    <w:rsid w:val="009D14B7"/>
    <w:rsid w:val="009D6E8B"/>
    <w:rsid w:val="009E6E1A"/>
    <w:rsid w:val="00A025B0"/>
    <w:rsid w:val="00A04CC7"/>
    <w:rsid w:val="00A315CB"/>
    <w:rsid w:val="00A3579D"/>
    <w:rsid w:val="00A50A12"/>
    <w:rsid w:val="00A55356"/>
    <w:rsid w:val="00A55C28"/>
    <w:rsid w:val="00A606CE"/>
    <w:rsid w:val="00A8520D"/>
    <w:rsid w:val="00AA10EB"/>
    <w:rsid w:val="00AB63D3"/>
    <w:rsid w:val="00AB7DE8"/>
    <w:rsid w:val="00AC2411"/>
    <w:rsid w:val="00AC2993"/>
    <w:rsid w:val="00AC5B0B"/>
    <w:rsid w:val="00AD1876"/>
    <w:rsid w:val="00AD5BCD"/>
    <w:rsid w:val="00AE2D28"/>
    <w:rsid w:val="00AF2AE4"/>
    <w:rsid w:val="00AF2CD6"/>
    <w:rsid w:val="00AF6F40"/>
    <w:rsid w:val="00B135AF"/>
    <w:rsid w:val="00B30D2F"/>
    <w:rsid w:val="00B75EEB"/>
    <w:rsid w:val="00B93A3C"/>
    <w:rsid w:val="00B94332"/>
    <w:rsid w:val="00B96287"/>
    <w:rsid w:val="00BF7FE3"/>
    <w:rsid w:val="00C24D50"/>
    <w:rsid w:val="00C765C7"/>
    <w:rsid w:val="00C832AD"/>
    <w:rsid w:val="00CA1BFA"/>
    <w:rsid w:val="00CA3CE7"/>
    <w:rsid w:val="00CA4269"/>
    <w:rsid w:val="00CD2D08"/>
    <w:rsid w:val="00CD70C1"/>
    <w:rsid w:val="00CE18AE"/>
    <w:rsid w:val="00D0000E"/>
    <w:rsid w:val="00D1288F"/>
    <w:rsid w:val="00D13C6B"/>
    <w:rsid w:val="00D31626"/>
    <w:rsid w:val="00D36508"/>
    <w:rsid w:val="00D57B91"/>
    <w:rsid w:val="00D61497"/>
    <w:rsid w:val="00D6557C"/>
    <w:rsid w:val="00D77146"/>
    <w:rsid w:val="00D823AF"/>
    <w:rsid w:val="00DA11C2"/>
    <w:rsid w:val="00DB074F"/>
    <w:rsid w:val="00DB2569"/>
    <w:rsid w:val="00DB279B"/>
    <w:rsid w:val="00DB2902"/>
    <w:rsid w:val="00DB743E"/>
    <w:rsid w:val="00DD33B2"/>
    <w:rsid w:val="00DE0E35"/>
    <w:rsid w:val="00DE45FA"/>
    <w:rsid w:val="00DF44AC"/>
    <w:rsid w:val="00E13E43"/>
    <w:rsid w:val="00E2529E"/>
    <w:rsid w:val="00E334B2"/>
    <w:rsid w:val="00E36906"/>
    <w:rsid w:val="00E43B08"/>
    <w:rsid w:val="00E57909"/>
    <w:rsid w:val="00E964FD"/>
    <w:rsid w:val="00ED4D5E"/>
    <w:rsid w:val="00EE011E"/>
    <w:rsid w:val="00F006B2"/>
    <w:rsid w:val="00F022FE"/>
    <w:rsid w:val="00F232F1"/>
    <w:rsid w:val="00F43DFA"/>
    <w:rsid w:val="00F600E0"/>
    <w:rsid w:val="00F62FF9"/>
    <w:rsid w:val="00F65684"/>
    <w:rsid w:val="00F73A6F"/>
    <w:rsid w:val="00F87670"/>
    <w:rsid w:val="00F90609"/>
    <w:rsid w:val="00F9128A"/>
    <w:rsid w:val="00F97452"/>
    <w:rsid w:val="00FA495C"/>
    <w:rsid w:val="00FB657F"/>
    <w:rsid w:val="00FB78B5"/>
    <w:rsid w:val="00FF1C3D"/>
    <w:rsid w:val="00F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C2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50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C24D50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C24D50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C24D50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C24D50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C24D50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C24D50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basedOn w:val="DefaultParagraphFont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C24D50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C24D50"/>
  </w:style>
  <w:style w:type="paragraph" w:customStyle="1" w:styleId="BulletText1">
    <w:name w:val="Bullet Text 1"/>
    <w:basedOn w:val="Normal"/>
    <w:rsid w:val="00C24D50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C24D50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C24D50"/>
    <w:rPr>
      <w:szCs w:val="20"/>
    </w:rPr>
  </w:style>
  <w:style w:type="paragraph" w:customStyle="1" w:styleId="TableHeaderText">
    <w:name w:val="Table Header Text"/>
    <w:basedOn w:val="Normal"/>
    <w:rsid w:val="00C24D50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C24D50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C24D50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C24D50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C24D50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C24D50"/>
  </w:style>
  <w:style w:type="paragraph" w:styleId="Footer">
    <w:name w:val="footer"/>
    <w:basedOn w:val="Normal"/>
    <w:link w:val="FooterChar"/>
    <w:rsid w:val="00C24D50"/>
    <w:pPr>
      <w:tabs>
        <w:tab w:val="center" w:pos="4680"/>
        <w:tab w:val="right" w:pos="9360"/>
      </w:tabs>
    </w:pPr>
    <w:rPr>
      <w:color w:val="auto"/>
    </w:rPr>
  </w:style>
  <w:style w:type="character" w:customStyle="1" w:styleId="FooterChar">
    <w:name w:val="Footer Char"/>
    <w:link w:val="Footer"/>
    <w:rsid w:val="00C24D50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basedOn w:val="DefaultParagraphFont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C24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basedOn w:val="DefaultParagraphFont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basedOn w:val="DefaultParagraphFont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basedOn w:val="DefaultParagraphFont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C24D50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C24D50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C24D50"/>
    <w:rPr>
      <w:szCs w:val="20"/>
    </w:rPr>
  </w:style>
  <w:style w:type="character" w:styleId="HTMLAcronym">
    <w:name w:val="HTML Acronym"/>
    <w:basedOn w:val="DefaultParagraphFont"/>
    <w:rsid w:val="00C24D50"/>
  </w:style>
  <w:style w:type="paragraph" w:customStyle="1" w:styleId="IMTOC">
    <w:name w:val="IMTOC"/>
    <w:rsid w:val="00C24D50"/>
    <w:rPr>
      <w:rFonts w:eastAsia="Times New Roman"/>
      <w:sz w:val="24"/>
    </w:rPr>
  </w:style>
  <w:style w:type="paragraph" w:customStyle="1" w:styleId="NoteText">
    <w:name w:val="Note Text"/>
    <w:basedOn w:val="Normal"/>
    <w:rsid w:val="00C24D50"/>
    <w:rPr>
      <w:szCs w:val="20"/>
    </w:rPr>
  </w:style>
  <w:style w:type="paragraph" w:customStyle="1" w:styleId="PublicationTitle">
    <w:name w:val="Publication Title"/>
    <w:basedOn w:val="Normal"/>
    <w:next w:val="Heading4"/>
    <w:rsid w:val="00C24D50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C24D5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Title">
    <w:name w:val="TOC Title"/>
    <w:basedOn w:val="Normal"/>
    <w:rsid w:val="00C24D50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C24D50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C24D50"/>
    <w:rPr>
      <w:szCs w:val="20"/>
    </w:rPr>
  </w:style>
  <w:style w:type="paragraph" w:styleId="Header">
    <w:name w:val="header"/>
    <w:basedOn w:val="Normal"/>
    <w:link w:val="HeaderChar"/>
    <w:rsid w:val="00C24D50"/>
    <w:pPr>
      <w:tabs>
        <w:tab w:val="center" w:pos="4680"/>
        <w:tab w:val="right" w:pos="9360"/>
      </w:tabs>
    </w:pPr>
    <w:rPr>
      <w:color w:val="auto"/>
    </w:rPr>
  </w:style>
  <w:style w:type="character" w:customStyle="1" w:styleId="HeaderChar">
    <w:name w:val="Header Char"/>
    <w:link w:val="Header"/>
    <w:rsid w:val="00C24D50"/>
    <w:rPr>
      <w:rFonts w:eastAsia="Times New Roman"/>
      <w:sz w:val="24"/>
      <w:szCs w:val="24"/>
    </w:rPr>
  </w:style>
  <w:style w:type="character" w:styleId="FollowedHyperlink">
    <w:name w:val="FollowedHyperlink"/>
    <w:rsid w:val="00C24D50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C24D50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C24D5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50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C24D50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C24D50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C24D50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C24D50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C24D50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C24D50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basedOn w:val="DefaultParagraphFont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C24D50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C24D50"/>
  </w:style>
  <w:style w:type="paragraph" w:customStyle="1" w:styleId="BulletText1">
    <w:name w:val="Bullet Text 1"/>
    <w:basedOn w:val="Normal"/>
    <w:rsid w:val="00C24D50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C24D50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C24D50"/>
    <w:rPr>
      <w:szCs w:val="20"/>
    </w:rPr>
  </w:style>
  <w:style w:type="paragraph" w:customStyle="1" w:styleId="TableHeaderText">
    <w:name w:val="Table Header Text"/>
    <w:basedOn w:val="Normal"/>
    <w:rsid w:val="00C24D50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C24D50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C24D50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C24D50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C24D50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C24D50"/>
  </w:style>
  <w:style w:type="paragraph" w:styleId="Footer">
    <w:name w:val="footer"/>
    <w:basedOn w:val="Normal"/>
    <w:link w:val="FooterChar"/>
    <w:rsid w:val="00C24D50"/>
    <w:pPr>
      <w:tabs>
        <w:tab w:val="center" w:pos="4680"/>
        <w:tab w:val="right" w:pos="9360"/>
      </w:tabs>
    </w:pPr>
    <w:rPr>
      <w:color w:val="auto"/>
    </w:rPr>
  </w:style>
  <w:style w:type="character" w:customStyle="1" w:styleId="FooterChar">
    <w:name w:val="Footer Char"/>
    <w:link w:val="Footer"/>
    <w:rsid w:val="00C24D50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basedOn w:val="DefaultParagraphFont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C24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basedOn w:val="DefaultParagraphFont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basedOn w:val="DefaultParagraphFont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basedOn w:val="DefaultParagraphFont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C24D50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C24D50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C24D50"/>
    <w:rPr>
      <w:szCs w:val="20"/>
    </w:rPr>
  </w:style>
  <w:style w:type="character" w:styleId="HTMLAcronym">
    <w:name w:val="HTML Acronym"/>
    <w:basedOn w:val="DefaultParagraphFont"/>
    <w:rsid w:val="00C24D50"/>
  </w:style>
  <w:style w:type="paragraph" w:customStyle="1" w:styleId="IMTOC">
    <w:name w:val="IMTOC"/>
    <w:rsid w:val="00C24D50"/>
    <w:rPr>
      <w:rFonts w:eastAsia="Times New Roman"/>
      <w:sz w:val="24"/>
    </w:rPr>
  </w:style>
  <w:style w:type="paragraph" w:customStyle="1" w:styleId="NoteText">
    <w:name w:val="Note Text"/>
    <w:basedOn w:val="Normal"/>
    <w:rsid w:val="00C24D50"/>
    <w:rPr>
      <w:szCs w:val="20"/>
    </w:rPr>
  </w:style>
  <w:style w:type="paragraph" w:customStyle="1" w:styleId="PublicationTitle">
    <w:name w:val="Publication Title"/>
    <w:basedOn w:val="Normal"/>
    <w:next w:val="Heading4"/>
    <w:rsid w:val="00C24D50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C24D5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Title">
    <w:name w:val="TOC Title"/>
    <w:basedOn w:val="Normal"/>
    <w:rsid w:val="00C24D50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C24D50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C24D50"/>
    <w:rPr>
      <w:szCs w:val="20"/>
    </w:rPr>
  </w:style>
  <w:style w:type="paragraph" w:styleId="Header">
    <w:name w:val="header"/>
    <w:basedOn w:val="Normal"/>
    <w:link w:val="HeaderChar"/>
    <w:rsid w:val="00C24D50"/>
    <w:pPr>
      <w:tabs>
        <w:tab w:val="center" w:pos="4680"/>
        <w:tab w:val="right" w:pos="9360"/>
      </w:tabs>
    </w:pPr>
    <w:rPr>
      <w:color w:val="auto"/>
    </w:rPr>
  </w:style>
  <w:style w:type="character" w:customStyle="1" w:styleId="HeaderChar">
    <w:name w:val="Header Char"/>
    <w:link w:val="Header"/>
    <w:rsid w:val="00C24D50"/>
    <w:rPr>
      <w:rFonts w:eastAsia="Times New Roman"/>
      <w:sz w:val="24"/>
      <w:szCs w:val="24"/>
    </w:rPr>
  </w:style>
  <w:style w:type="character" w:styleId="FollowedHyperlink">
    <w:name w:val="FollowedHyperlink"/>
    <w:rsid w:val="00C24D50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C24D50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C24D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vbaw.vba.va.gov/bl/21/Systems/awards.ht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Information%20Mapping\FS%20Pro%204.2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F363B8FE0964EBF52C85C07B9E4B5" ma:contentTypeVersion="5" ma:contentTypeDescription="Create a new document." ma:contentTypeScope="" ma:versionID="ac4aeb8425cb045b9306b9c47455ef76">
  <xsd:schema xmlns:xsd="http://www.w3.org/2001/XMLSchema" xmlns:p="http://schemas.microsoft.com/office/2006/metadata/properties" targetNamespace="http://schemas.microsoft.com/office/2006/metadata/properties" ma:root="true" ma:fieldsID="56ed639339c8544125376fea28618a6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AECDB-0566-45CF-9226-E04A4BD8A9BF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F1EE8CE-9BBC-4486-93D7-C5CB85B04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36F965C9-F2EC-47BE-B92A-46BDA5B7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41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3941</CharactersWithSpaces>
  <SharedDoc>false</SharedDoc>
  <HLinks>
    <vt:vector size="6" baseType="variant">
      <vt:variant>
        <vt:i4>7995443</vt:i4>
      </vt:variant>
      <vt:variant>
        <vt:i4>0</vt:i4>
      </vt:variant>
      <vt:variant>
        <vt:i4>0</vt:i4>
      </vt:variant>
      <vt:variant>
        <vt:i4>5</vt:i4>
      </vt:variant>
      <vt:variant>
        <vt:lpwstr>http://vbaw.vba.va.gov/bl/21/Systems/awards.htm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capjpier</dc:creator>
  <cp:lastModifiedBy>Mazar, Leah B., VBAVACO</cp:lastModifiedBy>
  <cp:revision>19</cp:revision>
  <dcterms:created xsi:type="dcterms:W3CDTF">2013-09-14T20:25:00Z</dcterms:created>
  <dcterms:modified xsi:type="dcterms:W3CDTF">2014-01-17T12:03:00Z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0x010100956F363B8FE0964EBF52C85C07B9E4B5</vt:lpwstr>
  </property>
</Properties>
</file>