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B539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B94332">
        <w:rPr>
          <w:b/>
          <w:bCs/>
          <w:color w:val="000000"/>
          <w:sz w:val="20"/>
        </w:rPr>
        <w:t>III</w:t>
      </w:r>
      <w:r w:rsidR="00F97452" w:rsidRPr="00F97452">
        <w:rPr>
          <w:b/>
          <w:bCs/>
          <w:color w:val="000000"/>
          <w:sz w:val="20"/>
        </w:rPr>
        <w:t xml:space="preserve">, Subpart </w:t>
      </w:r>
      <w:r w:rsidR="00B94332">
        <w:rPr>
          <w:b/>
          <w:bCs/>
          <w:color w:val="000000"/>
          <w:sz w:val="20"/>
        </w:rPr>
        <w:t>iv</w:t>
      </w:r>
      <w:r w:rsidR="00F97452" w:rsidRPr="00F97452">
        <w:rPr>
          <w:b/>
          <w:bCs/>
          <w:color w:val="000000"/>
          <w:sz w:val="20"/>
        </w:rPr>
        <w:t xml:space="preserve">, Chapter </w:t>
      </w:r>
      <w:r w:rsidR="00B94332">
        <w:rPr>
          <w:b/>
          <w:bCs/>
          <w:color w:val="000000"/>
          <w:sz w:val="20"/>
        </w:rPr>
        <w:t>4</w:t>
      </w:r>
    </w:p>
    <w:p w14:paraId="4C1035E1" w14:textId="2048985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E38F4">
        <w:rPr>
          <w:b/>
          <w:bCs/>
          <w:sz w:val="20"/>
        </w:rPr>
        <w:tab/>
        <w:t xml:space="preserve">             January 17, 2014</w:t>
      </w:r>
      <w:r w:rsidR="00F97452">
        <w:rPr>
          <w:b/>
          <w:bCs/>
          <w:sz w:val="20"/>
        </w:rPr>
        <w:t xml:space="preserve">           </w:t>
      </w:r>
    </w:p>
    <w:p w14:paraId="24EFE16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1A76FD5" w14:textId="77777777" w:rsidR="00504F80" w:rsidRDefault="00504F80" w:rsidP="00504F80">
      <w:pPr>
        <w:rPr>
          <w:b/>
          <w:bCs/>
          <w:sz w:val="20"/>
        </w:rPr>
      </w:pPr>
    </w:p>
    <w:p w14:paraId="2F7A0D6E" w14:textId="77777777" w:rsidR="00504F80" w:rsidRDefault="00504F80" w:rsidP="00504F80">
      <w:pPr>
        <w:pStyle w:val="Heading4"/>
      </w:pPr>
      <w:r>
        <w:t xml:space="preserve">Transmittal Sheet </w:t>
      </w:r>
    </w:p>
    <w:p w14:paraId="786200A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273332F" w14:textId="77777777" w:rsidTr="00C24D50">
        <w:tc>
          <w:tcPr>
            <w:tcW w:w="1728" w:type="dxa"/>
          </w:tcPr>
          <w:p w14:paraId="62BF589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1B65792" w14:textId="77777777" w:rsidR="00504F80" w:rsidRPr="00F97452" w:rsidRDefault="00504F80" w:rsidP="00237C22">
            <w:pPr>
              <w:pStyle w:val="BlockText"/>
              <w:rPr>
                <w:szCs w:val="20"/>
              </w:rPr>
            </w:pPr>
            <w:r>
              <w:t>The table below describes the changes included in this revision of Veterans Benefits Manual M21-1MR</w:t>
            </w:r>
            <w:r w:rsidR="00715A72">
              <w:t xml:space="preserve"> Part III “General Claims Process,” Subpart iv, “General Rating Process,” Chapter </w:t>
            </w:r>
            <w:r w:rsidR="00B94332">
              <w:t>4</w:t>
            </w:r>
            <w:r w:rsidR="00715A72">
              <w:t>, “</w:t>
            </w:r>
            <w:r w:rsidR="00B94332">
              <w:t>Rating Specific Disabilities</w:t>
            </w:r>
            <w:r w:rsidR="00715A72">
              <w:t xml:space="preserve">,” Section </w:t>
            </w:r>
            <w:r w:rsidR="00B94332">
              <w:t>A</w:t>
            </w:r>
            <w:r w:rsidR="00715A72">
              <w:t>, “</w:t>
            </w:r>
            <w:r w:rsidR="00B94332">
              <w:t>Musculoskeletal Conditions</w:t>
            </w:r>
            <w:r w:rsidR="000359E3">
              <w:t>.</w:t>
            </w:r>
            <w:r w:rsidR="00715A72">
              <w:t xml:space="preserve">” </w:t>
            </w:r>
          </w:p>
          <w:p w14:paraId="2B4A5727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DFE483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F251FAC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2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4E3D0471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5E03FBD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6FA0396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506867BC" w14:textId="77777777" w:rsidR="00F30612" w:rsidRDefault="00F30612" w:rsidP="00F30612">
            <w:pPr>
              <w:pStyle w:val="BulletText2"/>
            </w:pPr>
            <w:r>
              <w:t>correct or update links and form prefixes</w:t>
            </w:r>
          </w:p>
          <w:p w14:paraId="506073C2" w14:textId="77777777" w:rsidR="00F30612" w:rsidRDefault="00F30612" w:rsidP="00F30612">
            <w:pPr>
              <w:pStyle w:val="BulletText2"/>
            </w:pPr>
            <w:r>
              <w:t>correct typographical errors</w:t>
            </w:r>
          </w:p>
          <w:p w14:paraId="1F45B8DD" w14:textId="77777777" w:rsidR="00F30612" w:rsidRDefault="00F30612" w:rsidP="00F30612">
            <w:pPr>
              <w:pStyle w:val="BulletText2"/>
            </w:pPr>
            <w:r>
              <w:t xml:space="preserve">clarify Block labels and/or Block text, </w:t>
            </w:r>
          </w:p>
          <w:p w14:paraId="50D1B287" w14:textId="77777777" w:rsidR="00F30612" w:rsidRDefault="00F30612" w:rsidP="00F30612">
            <w:pPr>
              <w:pStyle w:val="BulletText2"/>
            </w:pPr>
            <w:r>
              <w:t xml:space="preserve">remove outdated terminology and </w:t>
            </w:r>
          </w:p>
          <w:p w14:paraId="17BAC062" w14:textId="77777777" w:rsidR="00504F80" w:rsidRPr="00EA3A57" w:rsidRDefault="00F30612" w:rsidP="00F30612">
            <w:pPr>
              <w:pStyle w:val="BulletText2"/>
            </w:pPr>
            <w:r>
              <w:t>bring the documents into conformance with M21-1MR standards.</w:t>
            </w:r>
          </w:p>
        </w:tc>
      </w:tr>
      <w:tr w:rsidR="0033408F" w:rsidRPr="00C24D50" w14:paraId="246AC675" w14:textId="77777777" w:rsidTr="00C24D50">
        <w:tc>
          <w:tcPr>
            <w:tcW w:w="1728" w:type="dxa"/>
          </w:tcPr>
          <w:p w14:paraId="487F8C22" w14:textId="77777777" w:rsidR="0033408F" w:rsidRDefault="0033408F" w:rsidP="00237C22">
            <w:pPr>
              <w:pStyle w:val="Heading5"/>
            </w:pPr>
          </w:p>
        </w:tc>
        <w:tc>
          <w:tcPr>
            <w:tcW w:w="7740" w:type="dxa"/>
          </w:tcPr>
          <w:p w14:paraId="602FCA25" w14:textId="77777777" w:rsidR="0033408F" w:rsidRDefault="0033408F" w:rsidP="00F97452"/>
        </w:tc>
      </w:tr>
    </w:tbl>
    <w:p w14:paraId="2F4C4841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1D1A72B1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C7C9F9C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7403EDC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55C5B76B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802616" w14:paraId="603A999A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AAEBC95" w14:textId="7E6C9D53" w:rsidR="00802616" w:rsidRDefault="00802616" w:rsidP="00BD5957">
            <w:pPr>
              <w:pStyle w:val="BulletText1"/>
            </w:pPr>
            <w:r>
              <w:t xml:space="preserve">To add a note about </w:t>
            </w:r>
            <w:r w:rsidRPr="00BD5957">
              <w:rPr>
                <w:i/>
              </w:rPr>
              <w:t>Yonek v. Shinseki</w:t>
            </w:r>
            <w:r w:rsidR="00DC7941">
              <w:t>, which</w:t>
            </w:r>
            <w:r>
              <w:t xml:space="preserve"> </w:t>
            </w:r>
            <w:r w:rsidR="00DF6EE7">
              <w:t xml:space="preserve">held that </w:t>
            </w:r>
            <w:r>
              <w:t>multiple evaluations for limitation of motion in different planes under DC 5201</w:t>
            </w:r>
            <w:r w:rsidR="00DF6EE7">
              <w:t xml:space="preserve"> are not permitted.</w:t>
            </w:r>
          </w:p>
        </w:tc>
        <w:tc>
          <w:tcPr>
            <w:tcW w:w="1420" w:type="pct"/>
            <w:shd w:val="clear" w:color="auto" w:fill="auto"/>
          </w:tcPr>
          <w:p w14:paraId="3C855029" w14:textId="27E50228" w:rsidR="00802616" w:rsidRDefault="00802616" w:rsidP="00BD5957">
            <w:pPr>
              <w:pStyle w:val="TableText"/>
            </w:pPr>
            <w:r>
              <w:t>M21-1MR, Part</w:t>
            </w:r>
            <w:r w:rsidR="00BD5957">
              <w:t xml:space="preserve"> II</w:t>
            </w:r>
            <w:r>
              <w:t xml:space="preserve">I, Subpart iv, Chapter 4, Section A, Topic 1, Block </w:t>
            </w:r>
            <w:r w:rsidR="00BD5957">
              <w:t>g (III.iv.4.A.1.g)</w:t>
            </w:r>
            <w: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14:paraId="6160F8ED" w14:textId="77777777" w:rsidR="00802616" w:rsidRDefault="00802616" w:rsidP="00B94332">
            <w:pPr>
              <w:pStyle w:val="TableText"/>
            </w:pPr>
            <w:r>
              <w:t>4-A-5</w:t>
            </w:r>
          </w:p>
        </w:tc>
      </w:tr>
      <w:tr w:rsidR="00C24D50" w14:paraId="308CDB62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43238C4D" w14:textId="5B9C3BAD" w:rsidR="00C24D50" w:rsidRDefault="00B94332" w:rsidP="00B94332">
            <w:pPr>
              <w:pStyle w:val="BulletText1"/>
            </w:pPr>
            <w:r>
              <w:t>To clarify guid</w:t>
            </w:r>
            <w:r w:rsidR="00DF6EE7">
              <w:t>ance</w:t>
            </w:r>
            <w:r>
              <w:t xml:space="preserve"> on separate evaluations based on knee instability</w:t>
            </w:r>
            <w:r w:rsidR="00DF6EE7">
              <w:t>.</w:t>
            </w:r>
          </w:p>
          <w:p w14:paraId="45CA3A44" w14:textId="1A6CB6EA" w:rsidR="00E60BBA" w:rsidRDefault="00E60BBA" w:rsidP="00B94332">
            <w:pPr>
              <w:pStyle w:val="BulletText1"/>
            </w:pPr>
            <w:r>
              <w:t xml:space="preserve">To add guidance on not assigning an evaluation for knee instability under DC 5257 in addition to an evaluation for total knee replacement under DC 5055. </w:t>
            </w:r>
          </w:p>
          <w:p w14:paraId="7A2A29CD" w14:textId="77777777" w:rsidR="00B94332" w:rsidRDefault="00B94332" w:rsidP="00B94332">
            <w:pPr>
              <w:pStyle w:val="BulletText1"/>
            </w:pPr>
            <w:r>
              <w:t xml:space="preserve">To incorporate guidance on separate evaluations for DC 5258 or 5259 and a DC based on limitation of motion. </w:t>
            </w:r>
          </w:p>
          <w:p w14:paraId="3E929B47" w14:textId="77777777" w:rsidR="00E60BBA" w:rsidRPr="00C24D50" w:rsidRDefault="00E60BBA" w:rsidP="00B94332">
            <w:pPr>
              <w:pStyle w:val="BulletText1"/>
            </w:pPr>
            <w:r>
              <w:t>To add cross references</w:t>
            </w:r>
            <w:r w:rsidR="00DF6EE7">
              <w:t>.</w:t>
            </w:r>
          </w:p>
        </w:tc>
        <w:tc>
          <w:tcPr>
            <w:tcW w:w="1420" w:type="pct"/>
            <w:shd w:val="clear" w:color="auto" w:fill="auto"/>
          </w:tcPr>
          <w:p w14:paraId="195BCBBC" w14:textId="77777777" w:rsidR="00C24D50" w:rsidRPr="00C24D50" w:rsidRDefault="00B94332" w:rsidP="00802616">
            <w:pPr>
              <w:pStyle w:val="TableText"/>
            </w:pPr>
            <w:r>
              <w:t>III.iv.4.A.1.l</w:t>
            </w:r>
          </w:p>
        </w:tc>
        <w:tc>
          <w:tcPr>
            <w:tcW w:w="569" w:type="pct"/>
            <w:shd w:val="clear" w:color="auto" w:fill="auto"/>
          </w:tcPr>
          <w:p w14:paraId="71A3B613" w14:textId="77777777" w:rsidR="00715A72" w:rsidRDefault="00CC5C3B" w:rsidP="00B94332">
            <w:pPr>
              <w:pStyle w:val="TableText"/>
            </w:pPr>
            <w:r>
              <w:t>4-A-10</w:t>
            </w:r>
          </w:p>
        </w:tc>
      </w:tr>
    </w:tbl>
    <w:p w14:paraId="26C90868" w14:textId="77777777" w:rsidR="001E2ED4" w:rsidRDefault="001E2ED4" w:rsidP="001E2ED4">
      <w:pPr>
        <w:pStyle w:val="ContinuedOnNextPa"/>
      </w:pPr>
      <w:r>
        <w:t>Continued on next page</w:t>
      </w:r>
    </w:p>
    <w:p w14:paraId="09545467" w14:textId="77777777" w:rsidR="00952CF5" w:rsidRPr="001E2ED4" w:rsidRDefault="003A6F7E" w:rsidP="00952CF5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76846" wp14:editId="6DE82F73">
                <wp:simplePos x="0" y="0"/>
                <wp:positionH relativeFrom="column">
                  <wp:posOffset>2856230</wp:posOffset>
                </wp:positionH>
                <wp:positionV relativeFrom="paragraph">
                  <wp:posOffset>1885950</wp:posOffset>
                </wp:positionV>
                <wp:extent cx="354965" cy="237490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2762" w14:textId="77777777" w:rsidR="00292E48" w:rsidRPr="00292E48" w:rsidRDefault="00292E48" w:rsidP="00AE2D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4.9pt;margin-top:148.5pt;width:27.9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5N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ycKXp9e2AK97DX5ugH2gOaRq9Z2qv1gk1U1L5JZdG6P6lhEK4SX+ZHR2dMSx&#10;HmTTv1cU7iE7pwLQ0JjO1w6qgQAdaHo8UeNjqWHzcprlsylGNZjSy3mWB+oiUhwPa2PdW6Y65Ccl&#10;NsB8ACf7O+t8MKQ4uvi7rBKcVlyIsDDbzY0waE9AJVX4Qvwv3IT0zlL5YyPiuAMxwh3e5qMNrD/l&#10;SZrF6zSfVLPFfJJV2XSSz+PFJE7ydT6Lszy7rb77AJOsaDmlTN5xyY4KTLK/Y/jQC6N2ggZRX+J8&#10;mk5Hhv6YZBy+3yXZcQcNKXhX4sXJiRSe1zeSQtqkcISLcR79HH6oMtTg+A9VCSrwxI8ScMNmABQv&#10;jY2ij6AHo4AvIB1eEZi0ynzDqIeOLLH9uiOGYSTeSdBUnmSZb+GwyKbzFBbm3LI5txBZA1SJHUbj&#10;9MaNbb/Thm9buOmo4mvQYcWDRp6jOqgXui4kc3ghfFufr4PX8zu2+gEAAP//AwBQSwMEFAAGAAgA&#10;AAAhAGORR3vgAAAACwEAAA8AAABkcnMvZG93bnJldi54bWxMj81OwzAQhO9IvIO1SNyoQ5tQGrKp&#10;KiouHJAoSHB0400c4T/ZbhreHnOC42hGM98029loNlGIo7MIt4sCGNnOydEOCO9vTzf3wGISVgrt&#10;LCF8U4Rte3nRiFq6s32l6ZAGlktsrAWCSsnXnMdOkRFx4TzZ7PUuGJGyDAOXQZxzudF8WRR33IjR&#10;5gUlPD0q6r4OJ4PwYdQo9+Hls5d62j/3u8rPwSNeX827B2CJ5vQXhl/8jA5tZjq6k5WRaYSy3GT0&#10;hLDcrPOpnKiKag3siLBalSXwtuH/P7Q/AAAA//8DAFBLAQItABQABgAIAAAAIQC2gziS/gAAAOEB&#10;AAATAAAAAAAAAAAAAAAAAAAAAABbQ29udGVudF9UeXBlc10ueG1sUEsBAi0AFAAGAAgAAAAhADj9&#10;If/WAAAAlAEAAAsAAAAAAAAAAAAAAAAALwEAAF9yZWxzLy5yZWxzUEsBAi0AFAAGAAgAAAAhAPEt&#10;vk2CAgAADwUAAA4AAAAAAAAAAAAAAAAALgIAAGRycy9lMm9Eb2MueG1sUEsBAi0AFAAGAAgAAAAh&#10;AGORR3vgAAAACwEAAA8AAAAAAAAAAAAAAAAA3AQAAGRycy9kb3ducmV2LnhtbFBLBQYAAAAABAAE&#10;APMAAADpBQAAAAA=&#10;" stroked="f">
                <v:textbox style="mso-fit-shape-to-text:t">
                  <w:txbxContent>
                    <w:p w14:paraId="3515C5E8" w14:textId="77777777" w:rsidR="00292E48" w:rsidRPr="00292E48" w:rsidRDefault="00292E48" w:rsidP="00AE2D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2ED4" w:rsidRPr="001E2ED4">
        <w:br w:type="page"/>
      </w:r>
      <w:r w:rsidR="006E38F4">
        <w:lastRenderedPageBreak/>
        <w:fldChar w:fldCharType="begin"/>
      </w:r>
      <w:r w:rsidR="006E38F4">
        <w:instrText xml:space="preserve"> STYLEREF "Map Title" </w:instrText>
      </w:r>
      <w:r w:rsidR="006E38F4">
        <w:fldChar w:fldCharType="separate"/>
      </w:r>
      <w:r w:rsidR="00952CF5" w:rsidRPr="001E2ED4">
        <w:rPr>
          <w:noProof/>
        </w:rPr>
        <w:t>Transmittal Sheet</w:t>
      </w:r>
      <w:r w:rsidR="006E38F4">
        <w:rPr>
          <w:noProof/>
        </w:rPr>
        <w:fldChar w:fldCharType="end"/>
      </w:r>
      <w:r w:rsidR="00952CF5" w:rsidRPr="001E2ED4">
        <w:t xml:space="preserve">, </w:t>
      </w:r>
      <w:r w:rsidR="00952CF5" w:rsidRPr="001E2ED4">
        <w:rPr>
          <w:b w:val="0"/>
          <w:sz w:val="24"/>
        </w:rPr>
        <w:t>Continued</w:t>
      </w:r>
    </w:p>
    <w:p w14:paraId="0336A600" w14:textId="77777777" w:rsidR="00952CF5" w:rsidRDefault="00952CF5" w:rsidP="00952CF5">
      <w:pPr>
        <w:pStyle w:val="BlockLine"/>
      </w:pPr>
    </w:p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0A4129" w14:paraId="38211286" w14:textId="77777777" w:rsidTr="001B31D4">
        <w:trPr>
          <w:trHeight w:val="180"/>
        </w:trPr>
        <w:tc>
          <w:tcPr>
            <w:tcW w:w="3011" w:type="pct"/>
            <w:shd w:val="clear" w:color="auto" w:fill="auto"/>
          </w:tcPr>
          <w:p w14:paraId="628AF26A" w14:textId="77777777" w:rsidR="000A4129" w:rsidRPr="00C24D50" w:rsidRDefault="000A4129" w:rsidP="001B31D4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0782B0FE" w14:textId="77777777" w:rsidR="000A4129" w:rsidRPr="00C24D50" w:rsidRDefault="000A4129" w:rsidP="001B31D4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3BCCBAA5" w14:textId="77777777" w:rsidR="000A4129" w:rsidRDefault="000A4129" w:rsidP="001B31D4">
            <w:pPr>
              <w:pStyle w:val="TableHeaderText"/>
            </w:pPr>
            <w:r>
              <w:t>Page(s)</w:t>
            </w:r>
          </w:p>
        </w:tc>
      </w:tr>
      <w:tr w:rsidR="000A4129" w14:paraId="7F1F6925" w14:textId="77777777" w:rsidTr="001B31D4">
        <w:trPr>
          <w:trHeight w:val="180"/>
        </w:trPr>
        <w:tc>
          <w:tcPr>
            <w:tcW w:w="3011" w:type="pct"/>
            <w:shd w:val="clear" w:color="auto" w:fill="auto"/>
          </w:tcPr>
          <w:p w14:paraId="67D07C90" w14:textId="77777777" w:rsidR="000A4129" w:rsidRDefault="000A4129" w:rsidP="00CC5C3B">
            <w:pPr>
              <w:pStyle w:val="BulletText1"/>
            </w:pPr>
            <w:r>
              <w:t xml:space="preserve">To add a </w:t>
            </w:r>
            <w:r w:rsidR="00CC5C3B">
              <w:t>new block addressing service connection for claimed residuals of a fracture.</w:t>
            </w:r>
          </w:p>
        </w:tc>
        <w:tc>
          <w:tcPr>
            <w:tcW w:w="1420" w:type="pct"/>
            <w:shd w:val="clear" w:color="auto" w:fill="auto"/>
          </w:tcPr>
          <w:p w14:paraId="44479101" w14:textId="5E48BF70" w:rsidR="000A4129" w:rsidRDefault="00BD5957" w:rsidP="00BD5957">
            <w:pPr>
              <w:pStyle w:val="TableText"/>
            </w:pPr>
            <w:r>
              <w:t>III.iv.4.A.1.m</w:t>
            </w:r>
          </w:p>
        </w:tc>
        <w:tc>
          <w:tcPr>
            <w:tcW w:w="569" w:type="pct"/>
            <w:shd w:val="clear" w:color="auto" w:fill="auto"/>
          </w:tcPr>
          <w:p w14:paraId="0892B466" w14:textId="77777777" w:rsidR="000A4129" w:rsidRDefault="00CC5C3B" w:rsidP="001B31D4">
            <w:pPr>
              <w:pStyle w:val="TableText"/>
            </w:pPr>
            <w:r>
              <w:t>4-A-9</w:t>
            </w:r>
          </w:p>
        </w:tc>
      </w:tr>
    </w:tbl>
    <w:p w14:paraId="7311A434" w14:textId="77777777" w:rsid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652DEEE" w14:textId="77777777" w:rsidTr="00237C22">
        <w:tc>
          <w:tcPr>
            <w:tcW w:w="1728" w:type="dxa"/>
          </w:tcPr>
          <w:p w14:paraId="06D551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097458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43EFB3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B777D8" w14:textId="77777777" w:rsidTr="00237C22">
        <w:tc>
          <w:tcPr>
            <w:tcW w:w="1728" w:type="dxa"/>
          </w:tcPr>
          <w:p w14:paraId="6F396ED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95ED90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77D5EB5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F64F47" w14:textId="77777777" w:rsidTr="00237C22">
        <w:tc>
          <w:tcPr>
            <w:tcW w:w="1728" w:type="dxa"/>
          </w:tcPr>
          <w:p w14:paraId="3FA6F2F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2C2A8F9" w14:textId="77777777" w:rsidR="00504F80" w:rsidRPr="00B4163A" w:rsidRDefault="00504F80" w:rsidP="00237C22">
            <w:pPr>
              <w:pStyle w:val="BlockText"/>
            </w:pPr>
          </w:p>
          <w:p w14:paraId="00D90C6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1BCE0B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605F0D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04C11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9115B06" w14:textId="77777777" w:rsidTr="00237C22">
        <w:tc>
          <w:tcPr>
            <w:tcW w:w="1728" w:type="dxa"/>
          </w:tcPr>
          <w:p w14:paraId="614F5D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</w:p>
        </w:tc>
        <w:tc>
          <w:tcPr>
            <w:tcW w:w="7740" w:type="dxa"/>
          </w:tcPr>
          <w:p w14:paraId="3CD3813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9DDBD8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ABE029F" w14:textId="7980FC2F" w:rsidR="007D5B97" w:rsidRDefault="003A6F7E" w:rsidP="00E43B08">
      <w:pPr>
        <w:pStyle w:val="MapTitle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14FCD" wp14:editId="390F6395">
                <wp:simplePos x="0" y="0"/>
                <wp:positionH relativeFrom="column">
                  <wp:posOffset>2842895</wp:posOffset>
                </wp:positionH>
                <wp:positionV relativeFrom="paragraph">
                  <wp:posOffset>4438650</wp:posOffset>
                </wp:positionV>
                <wp:extent cx="406400" cy="23749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D0DC" w14:textId="77777777" w:rsidR="00292E48" w:rsidRPr="00292E48" w:rsidRDefault="00292E48" w:rsidP="00AE2D2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3.85pt;margin-top:349.5pt;width:32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BIhAIAABYFAAAOAAAAZHJzL2Uyb0RvYy54bWysVNuO2yAQfa/Uf0C8J77UudhaZ7WXuqq0&#10;vUi7/QCCcYyKgQKJnVb99w44ybqXh6qqHzAww+HMzBmurodOoAMzlitZ4mQeY8QkVTWXuxJ/eqpm&#10;a4ysI7ImQklW4iOz+Hrz8sVVrwuWqlaJmhkEINIWvS5x65wuosjSlnXEzpVmEoyNMh1xsDS7qDak&#10;B/RORGkcL6NemVobRZm1sHs/GvEm4DcNo+5D01jmkCgxcHNhNGHc+jHaXJFiZ4huOT3RIP/AoiNc&#10;wqUXqHviCNob/htUx6lRVjVuTlUXqabhlIUYIJok/iWax5ZoFmKB5Fh9SZP9f7D0/eGjQbyG2mEk&#10;SQclemKDQ7dqQMnKp6fXtgCvRw1+boB97+pDtfpB0c8WSXXXErljN8aovmWkBnqJPxlNjo441oNs&#10;+3eqhnvI3qkANDSm84CQDQToUKbjpTSeC4XNLF5mMVgomNJXqywPpYtIcT6sjXVvmOqQn5TYQOUD&#10;ODk8WOfJkOLsEsgrweuKCxEWZre9EwYdCKikCl/gDzFO3YT0zlL5YyPiuAMc4Q5v82xD1b/lSZrF&#10;t2k+q5br1SyrssUsX8XrWZzkt/kyzvLsvvruCSZZ0fK6ZvKBS3ZWYJL9XYVPvTBqJ2gQ9SXOF+li&#10;rNCUvZ0GGYfvT0F23EFDCt6VeH1xIoWv62tZQ9ikcISLcR79TD9kGXJw/oesBBX4wo8ScMN2OOkN&#10;wLxCtqo+giyMgrJBheExgUmrzFeMemjMEtsve2IYRuKtBGnlSZb5Tg6LbLFKYWGmlu3UQiQFqBI7&#10;jMbpnRu7f68N37Vw01nMNyDHigepPLM6iRiaL8R0eih8d0/Xwev5Odv8AAAA//8DAFBLAwQUAAYA&#10;CAAAACEApjL4x+AAAAALAQAADwAAAGRycy9kb3ducmV2LnhtbEyPwU7DMAyG70i8Q2QkbiwtdC0r&#10;TaeJiQsHJAYSHLMmbSoaJ0qyrrw95gRH259+f3+zXezEZh3i6FBAvsqAaeycGnEQ8P72dHMPLCaJ&#10;Sk4OtYBvHWHbXl40slbujK96PqSBUQjGWgowKfma89gZbWVcOa+Rbr0LViYaw8BVkGcKtxO/zbKS&#10;WzkifTDS60eju6/DyQr4sGZU+/Dy2atp3j/3u7Vfghfi+mrZPQBLekl/MPzqkzq05HR0J1SRTQKK&#10;oqoIFVBuNlSKiHWe0+YooLorC+Btw/93aH8AAAD//wMAUEsBAi0AFAAGAAgAAAAhALaDOJL+AAAA&#10;4QEAABMAAAAAAAAAAAAAAAAAAAAAAFtDb250ZW50X1R5cGVzXS54bWxQSwECLQAUAAYACAAAACEA&#10;OP0h/9YAAACUAQAACwAAAAAAAAAAAAAAAAAvAQAAX3JlbHMvLnJlbHNQSwECLQAUAAYACAAAACEA&#10;C2wwSIQCAAAWBQAADgAAAAAAAAAAAAAAAAAuAgAAZHJzL2Uyb0RvYy54bWxQSwECLQAUAAYACAAA&#10;ACEApjL4x+AAAAALAQAADwAAAAAAAAAAAAAAAADeBAAAZHJzL2Rvd25yZXYueG1sUEsFBgAAAAAE&#10;AAQA8wAAAOsFAAAAAA==&#10;" stroked="f">
                <v:textbox style="mso-fit-shape-to-text:t">
                  <w:txbxContent>
                    <w:p w14:paraId="3515C5E9" w14:textId="77777777" w:rsidR="00292E48" w:rsidRPr="00292E48" w:rsidRDefault="00292E48" w:rsidP="00AE2D2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38F4">
        <w:fldChar w:fldCharType="begin">
          <w:fldData xml:space="preserve">RABvAGMAVABlAG0AcAAxAFYAYQByAFQAcgBhAGQAaQB0AGkAbwBuAGEAbAA=
</w:fldData>
        </w:fldChar>
      </w:r>
      <w:r w:rsidR="006E38F4">
        <w:instrText xml:space="preserve"> ADDIN  \* MERGEFORMAT </w:instrText>
      </w:r>
      <w:r w:rsidR="006E38F4">
        <w:fldChar w:fldCharType="end"/>
      </w:r>
      <w:r w:rsidR="006E38F4">
        <w:fldChar w:fldCharType="begin">
          <w:fldData xml:space="preserve">RgBvAG4AdABTAGUAdABpAG0AaQBzAHQAeQBsAGUAcwAuAHgAbQBsAA==
</w:fldData>
        </w:fldChar>
      </w:r>
      <w:r w:rsidR="006E38F4">
        <w:instrText xml:space="preserve"> ADDIN  \* MERGEFORMAT </w:instrText>
      </w:r>
      <w:r w:rsidR="006E38F4">
        <w:fldChar w:fldCharType="end"/>
      </w:r>
      <w:bookmarkStart w:id="0" w:name="_GoBack"/>
      <w:bookmarkEnd w:id="0"/>
    </w:p>
    <w:sectPr w:rsidR="007D5B97" w:rsidSect="00237C22">
      <w:footerReference w:type="even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C54D" w14:textId="77777777" w:rsidR="003400CB" w:rsidRDefault="003400CB" w:rsidP="00C765C7">
      <w:r>
        <w:separator/>
      </w:r>
    </w:p>
  </w:endnote>
  <w:endnote w:type="continuationSeparator" w:id="0">
    <w:p w14:paraId="61F507C6" w14:textId="77777777" w:rsidR="003400CB" w:rsidRDefault="003400C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273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6288C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320F" w14:textId="77777777" w:rsidR="003400CB" w:rsidRDefault="003400CB" w:rsidP="00C765C7">
      <w:r>
        <w:separator/>
      </w:r>
    </w:p>
  </w:footnote>
  <w:footnote w:type="continuationSeparator" w:id="0">
    <w:p w14:paraId="1169227A" w14:textId="77777777" w:rsidR="003400CB" w:rsidRDefault="003400C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fspro_2columns"/>
      </v:shape>
    </w:pict>
  </w:numPicBullet>
  <w:numPicBullet w:numPicBulletId="1">
    <w:pict>
      <v:shape id="_x0000_i1043" type="#_x0000_t75" style="width:11.7pt;height:11.7pt" o:bullet="t">
        <v:imagedata r:id="rId2" o:title="advanced"/>
      </v:shape>
    </w:pict>
  </w:numPicBullet>
  <w:numPicBullet w:numPicBulletId="2">
    <w:pict>
      <v:shape id="_x0000_i1044" type="#_x0000_t75" style="width:11.7pt;height:11.7pt" o:bullet="t">
        <v:imagedata r:id="rId3" o:title="continue"/>
      </v:shape>
    </w:pict>
  </w:numPicBullet>
  <w:numPicBullet w:numPicBulletId="3">
    <w:pict>
      <v:shape id="_x0000_i104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6A96"/>
    <w:multiLevelType w:val="hybridMultilevel"/>
    <w:tmpl w:val="87A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F027A1"/>
    <w:multiLevelType w:val="hybridMultilevel"/>
    <w:tmpl w:val="1B7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2716D"/>
    <w:rsid w:val="00033185"/>
    <w:rsid w:val="000359E3"/>
    <w:rsid w:val="0004467D"/>
    <w:rsid w:val="00052278"/>
    <w:rsid w:val="00077E44"/>
    <w:rsid w:val="00090F16"/>
    <w:rsid w:val="00093228"/>
    <w:rsid w:val="00096CEA"/>
    <w:rsid w:val="000A4129"/>
    <w:rsid w:val="000A43B5"/>
    <w:rsid w:val="000A5D26"/>
    <w:rsid w:val="000B145B"/>
    <w:rsid w:val="000B2D03"/>
    <w:rsid w:val="000B3C9B"/>
    <w:rsid w:val="000E015D"/>
    <w:rsid w:val="00100433"/>
    <w:rsid w:val="0010215F"/>
    <w:rsid w:val="00106EEF"/>
    <w:rsid w:val="0011199A"/>
    <w:rsid w:val="00123973"/>
    <w:rsid w:val="00166D45"/>
    <w:rsid w:val="001741A8"/>
    <w:rsid w:val="00186D46"/>
    <w:rsid w:val="00193FB0"/>
    <w:rsid w:val="001B1277"/>
    <w:rsid w:val="001C1DFA"/>
    <w:rsid w:val="001C3AE3"/>
    <w:rsid w:val="001C3EB5"/>
    <w:rsid w:val="001E2ED4"/>
    <w:rsid w:val="001F0D51"/>
    <w:rsid w:val="001F4C61"/>
    <w:rsid w:val="001F7CEA"/>
    <w:rsid w:val="00223E13"/>
    <w:rsid w:val="00237C22"/>
    <w:rsid w:val="00240624"/>
    <w:rsid w:val="00291474"/>
    <w:rsid w:val="00292E48"/>
    <w:rsid w:val="002B5896"/>
    <w:rsid w:val="002B77BF"/>
    <w:rsid w:val="002B7A7E"/>
    <w:rsid w:val="002C1825"/>
    <w:rsid w:val="002C3D78"/>
    <w:rsid w:val="002F5B21"/>
    <w:rsid w:val="002F7397"/>
    <w:rsid w:val="00316A35"/>
    <w:rsid w:val="00332557"/>
    <w:rsid w:val="00332B80"/>
    <w:rsid w:val="0033408F"/>
    <w:rsid w:val="003400CB"/>
    <w:rsid w:val="00341981"/>
    <w:rsid w:val="00342CCC"/>
    <w:rsid w:val="0034344F"/>
    <w:rsid w:val="00366D36"/>
    <w:rsid w:val="00386999"/>
    <w:rsid w:val="00391AA7"/>
    <w:rsid w:val="003A6F7E"/>
    <w:rsid w:val="003B0F65"/>
    <w:rsid w:val="003B2927"/>
    <w:rsid w:val="003B344C"/>
    <w:rsid w:val="003D2342"/>
    <w:rsid w:val="003D6DC1"/>
    <w:rsid w:val="003F6048"/>
    <w:rsid w:val="003F672A"/>
    <w:rsid w:val="0040351B"/>
    <w:rsid w:val="00421403"/>
    <w:rsid w:val="00431B1E"/>
    <w:rsid w:val="00435BA5"/>
    <w:rsid w:val="00455506"/>
    <w:rsid w:val="00455EF7"/>
    <w:rsid w:val="004562CC"/>
    <w:rsid w:val="00457D91"/>
    <w:rsid w:val="00471ECA"/>
    <w:rsid w:val="00482FA3"/>
    <w:rsid w:val="0048559D"/>
    <w:rsid w:val="00494175"/>
    <w:rsid w:val="004A272A"/>
    <w:rsid w:val="004A4374"/>
    <w:rsid w:val="004D1967"/>
    <w:rsid w:val="004F375E"/>
    <w:rsid w:val="00504F80"/>
    <w:rsid w:val="00506485"/>
    <w:rsid w:val="00510F80"/>
    <w:rsid w:val="0051195B"/>
    <w:rsid w:val="00513DA7"/>
    <w:rsid w:val="00516C82"/>
    <w:rsid w:val="0051708D"/>
    <w:rsid w:val="005766E8"/>
    <w:rsid w:val="005778BF"/>
    <w:rsid w:val="005778E7"/>
    <w:rsid w:val="00594258"/>
    <w:rsid w:val="005A7032"/>
    <w:rsid w:val="005C3E9A"/>
    <w:rsid w:val="005D04D3"/>
    <w:rsid w:val="005E4363"/>
    <w:rsid w:val="005F31EB"/>
    <w:rsid w:val="005F49E0"/>
    <w:rsid w:val="0062068D"/>
    <w:rsid w:val="006317AA"/>
    <w:rsid w:val="00641065"/>
    <w:rsid w:val="006434CC"/>
    <w:rsid w:val="006473C3"/>
    <w:rsid w:val="006708D7"/>
    <w:rsid w:val="006837E0"/>
    <w:rsid w:val="006962FB"/>
    <w:rsid w:val="006B2174"/>
    <w:rsid w:val="006B7262"/>
    <w:rsid w:val="006C3E5F"/>
    <w:rsid w:val="006C48FF"/>
    <w:rsid w:val="006E38F4"/>
    <w:rsid w:val="006F6D37"/>
    <w:rsid w:val="0071381A"/>
    <w:rsid w:val="0071423E"/>
    <w:rsid w:val="00715A72"/>
    <w:rsid w:val="00724248"/>
    <w:rsid w:val="00732186"/>
    <w:rsid w:val="00737049"/>
    <w:rsid w:val="0074597E"/>
    <w:rsid w:val="0075522F"/>
    <w:rsid w:val="0076357D"/>
    <w:rsid w:val="00766657"/>
    <w:rsid w:val="00776BE6"/>
    <w:rsid w:val="007822CC"/>
    <w:rsid w:val="007A0C5F"/>
    <w:rsid w:val="007B24EB"/>
    <w:rsid w:val="007D5682"/>
    <w:rsid w:val="007D5B97"/>
    <w:rsid w:val="007E5515"/>
    <w:rsid w:val="00802616"/>
    <w:rsid w:val="0080590C"/>
    <w:rsid w:val="00823BEA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44C74"/>
    <w:rsid w:val="00946DE5"/>
    <w:rsid w:val="00952CF5"/>
    <w:rsid w:val="0096734D"/>
    <w:rsid w:val="00973291"/>
    <w:rsid w:val="009769CD"/>
    <w:rsid w:val="00984FE3"/>
    <w:rsid w:val="009970A1"/>
    <w:rsid w:val="009B6554"/>
    <w:rsid w:val="009C5038"/>
    <w:rsid w:val="009D6E8B"/>
    <w:rsid w:val="009E2772"/>
    <w:rsid w:val="009E6E1A"/>
    <w:rsid w:val="00A315CB"/>
    <w:rsid w:val="00A3579D"/>
    <w:rsid w:val="00A50A12"/>
    <w:rsid w:val="00A55356"/>
    <w:rsid w:val="00A55C28"/>
    <w:rsid w:val="00A606CE"/>
    <w:rsid w:val="00A8520D"/>
    <w:rsid w:val="00AA10EB"/>
    <w:rsid w:val="00AB63D3"/>
    <w:rsid w:val="00AB7DE8"/>
    <w:rsid w:val="00AC2411"/>
    <w:rsid w:val="00AC2993"/>
    <w:rsid w:val="00AC5B0B"/>
    <w:rsid w:val="00AD1876"/>
    <w:rsid w:val="00AD5BCD"/>
    <w:rsid w:val="00AE2D28"/>
    <w:rsid w:val="00AF2CD6"/>
    <w:rsid w:val="00B135AF"/>
    <w:rsid w:val="00B30D2F"/>
    <w:rsid w:val="00B75EEB"/>
    <w:rsid w:val="00B93A3C"/>
    <w:rsid w:val="00B94332"/>
    <w:rsid w:val="00B96287"/>
    <w:rsid w:val="00BD5957"/>
    <w:rsid w:val="00BF7FE3"/>
    <w:rsid w:val="00C24D50"/>
    <w:rsid w:val="00C765C7"/>
    <w:rsid w:val="00C832AD"/>
    <w:rsid w:val="00CA1BFA"/>
    <w:rsid w:val="00CA3CE7"/>
    <w:rsid w:val="00CA4269"/>
    <w:rsid w:val="00CC5C3B"/>
    <w:rsid w:val="00CD2D08"/>
    <w:rsid w:val="00CD70C1"/>
    <w:rsid w:val="00D0000E"/>
    <w:rsid w:val="00D1288F"/>
    <w:rsid w:val="00D13C6B"/>
    <w:rsid w:val="00D31626"/>
    <w:rsid w:val="00D36508"/>
    <w:rsid w:val="00D57B91"/>
    <w:rsid w:val="00D61497"/>
    <w:rsid w:val="00D6557C"/>
    <w:rsid w:val="00D77146"/>
    <w:rsid w:val="00D823AF"/>
    <w:rsid w:val="00DA11C2"/>
    <w:rsid w:val="00DA3A9F"/>
    <w:rsid w:val="00DA736D"/>
    <w:rsid w:val="00DB074F"/>
    <w:rsid w:val="00DB2569"/>
    <w:rsid w:val="00DB2902"/>
    <w:rsid w:val="00DB743E"/>
    <w:rsid w:val="00DC7941"/>
    <w:rsid w:val="00DD33B2"/>
    <w:rsid w:val="00DE0E35"/>
    <w:rsid w:val="00DE45FA"/>
    <w:rsid w:val="00DF44AC"/>
    <w:rsid w:val="00DF6EE7"/>
    <w:rsid w:val="00E13E43"/>
    <w:rsid w:val="00E2529E"/>
    <w:rsid w:val="00E334B2"/>
    <w:rsid w:val="00E36906"/>
    <w:rsid w:val="00E43B08"/>
    <w:rsid w:val="00E60BBA"/>
    <w:rsid w:val="00E964FD"/>
    <w:rsid w:val="00ED4D5E"/>
    <w:rsid w:val="00EE011E"/>
    <w:rsid w:val="00F006B2"/>
    <w:rsid w:val="00F022FE"/>
    <w:rsid w:val="00F30612"/>
    <w:rsid w:val="00F43DFA"/>
    <w:rsid w:val="00F600E0"/>
    <w:rsid w:val="00F62FF9"/>
    <w:rsid w:val="00F65684"/>
    <w:rsid w:val="00F73A6F"/>
    <w:rsid w:val="00F87670"/>
    <w:rsid w:val="00F90609"/>
    <w:rsid w:val="00F9128A"/>
    <w:rsid w:val="00F97452"/>
    <w:rsid w:val="00FA495C"/>
    <w:rsid w:val="00FA4A67"/>
    <w:rsid w:val="00FB657F"/>
    <w:rsid w:val="00FB65BF"/>
    <w:rsid w:val="00FB78B5"/>
    <w:rsid w:val="00FF1C3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7AECDB-0566-45CF-9226-E04A4BD8A9B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F070CC-B1B0-4E9A-B66F-9BA8D243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3041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27</cp:revision>
  <dcterms:created xsi:type="dcterms:W3CDTF">2013-09-14T20:24:00Z</dcterms:created>
  <dcterms:modified xsi:type="dcterms:W3CDTF">2014-01-28T17:05:00Z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