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3AE3A8BD"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M21-1MR, Part </w:t>
      </w:r>
      <w:r w:rsidR="00945950">
        <w:rPr>
          <w:rFonts w:ascii="Times New Roman" w:hAnsi="Times New Roman"/>
          <w:sz w:val="20"/>
        </w:rPr>
        <w:t>III</w:t>
      </w:r>
      <w:r>
        <w:rPr>
          <w:rFonts w:ascii="Times New Roman" w:hAnsi="Times New Roman"/>
          <w:sz w:val="20"/>
        </w:rPr>
        <w:t xml:space="preserve">, Subpart </w:t>
      </w:r>
      <w:r w:rsidR="00E51AEC">
        <w:rPr>
          <w:rFonts w:ascii="Times New Roman" w:hAnsi="Times New Roman"/>
          <w:sz w:val="20"/>
        </w:rPr>
        <w:t>iv</w:t>
      </w:r>
    </w:p>
    <w:p w14:paraId="57C64ADF" w14:textId="00663DC9"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AB05E7">
        <w:rPr>
          <w:b/>
          <w:bCs/>
          <w:sz w:val="20"/>
        </w:rPr>
        <w:t xml:space="preserve">                     May 7, 2015</w:t>
      </w:r>
      <w:bookmarkStart w:id="0" w:name="_GoBack"/>
      <w:bookmarkEnd w:id="0"/>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77777777" w:rsidR="00504F80" w:rsidRDefault="00504F80" w:rsidP="00504F80">
      <w:pPr>
        <w:pStyle w:val="Heading4"/>
      </w:pPr>
      <w:r>
        <w:t xml:space="preserve">Transmittal Sheet </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77F61D2D" w:rsidR="00504F80" w:rsidRDefault="00504F80" w:rsidP="00237C22">
            <w:pPr>
              <w:pStyle w:val="BlockText"/>
            </w:pPr>
            <w:r>
              <w:t xml:space="preserve">The table below describes the changes included in this revision of Veterans Benefits Manual M21-1MR, Part </w:t>
            </w:r>
            <w:r w:rsidR="00BB3345">
              <w:t>III</w:t>
            </w:r>
            <w:r>
              <w:t>, “</w:t>
            </w:r>
            <w:r w:rsidR="00BB3345">
              <w:t>General Claims Process</w:t>
            </w:r>
            <w:r>
              <w:t xml:space="preserve">,” Subpart </w:t>
            </w:r>
            <w:r w:rsidR="00E51AEC">
              <w:t>iv</w:t>
            </w:r>
            <w:r>
              <w:t>, “</w:t>
            </w:r>
            <w:r w:rsidR="00BB3345">
              <w:t xml:space="preserve">General </w:t>
            </w:r>
            <w:r w:rsidR="00E51AEC">
              <w:t>Rating Process</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A" w14:textId="77777777" w:rsidR="00504F80" w:rsidRDefault="00504F80" w:rsidP="00C24D50">
            <w:pPr>
              <w:pStyle w:val="BulletText1"/>
            </w:pPr>
            <w:r>
              <w:t xml:space="preserve">Minor editorial changes have also been made to </w:t>
            </w:r>
          </w:p>
          <w:p w14:paraId="57C64AEC" w14:textId="77777777" w:rsidR="00504F80" w:rsidRDefault="00504F80" w:rsidP="00237C22">
            <w:pPr>
              <w:pStyle w:val="BulletText2"/>
              <w:tabs>
                <w:tab w:val="num" w:pos="547"/>
              </w:tabs>
            </w:pPr>
            <w:r>
              <w:t>update incorrect or obsolete hyperlink references</w:t>
            </w:r>
          </w:p>
          <w:p w14:paraId="57C64AF0" w14:textId="77777777" w:rsidR="00504F80" w:rsidRDefault="00504F80" w:rsidP="00237C22">
            <w:pPr>
              <w:pStyle w:val="BulletText2"/>
              <w:tabs>
                <w:tab w:val="num" w:pos="547"/>
              </w:tabs>
            </w:pPr>
            <w:r>
              <w:t>update obsolete terminology, where appropriate</w:t>
            </w:r>
          </w:p>
          <w:p w14:paraId="26D69614" w14:textId="267ADFB5" w:rsidR="00271962" w:rsidRDefault="00F87F72" w:rsidP="00237C22">
            <w:pPr>
              <w:pStyle w:val="BulletText2"/>
              <w:tabs>
                <w:tab w:val="num" w:pos="547"/>
              </w:tabs>
            </w:pPr>
            <w:r>
              <w:t xml:space="preserve">renumber </w:t>
            </w:r>
            <w:r w:rsidR="00437647">
              <w:t xml:space="preserve">each </w:t>
            </w:r>
            <w:r w:rsidR="00526F0E">
              <w:t>topic</w:t>
            </w:r>
            <w:r w:rsidR="00437647">
              <w:t xml:space="preserve"> based on the standard that the first topic in each section is Topic 1</w:t>
            </w:r>
          </w:p>
          <w:p w14:paraId="57C64AF1" w14:textId="7C99566C" w:rsidR="003E2CA2" w:rsidRDefault="003E2CA2" w:rsidP="00237C22">
            <w:pPr>
              <w:pStyle w:val="BulletText2"/>
              <w:tabs>
                <w:tab w:val="num" w:pos="547"/>
              </w:tabs>
            </w:pPr>
            <w:r>
              <w:t>reassign alphabetical designations to individual blocks</w:t>
            </w:r>
            <w:r w:rsidR="00B0548B">
              <w:t xml:space="preserve"> and repaginate</w:t>
            </w:r>
            <w:r>
              <w:t>, where necessary, to account for new and/or deleted blocks within a topic</w:t>
            </w:r>
          </w:p>
          <w:p w14:paraId="57C64AF2" w14:textId="77777777" w:rsidR="00A557BB" w:rsidRDefault="00A557BB" w:rsidP="00237C22">
            <w:pPr>
              <w:pStyle w:val="BulletText2"/>
              <w:tabs>
                <w:tab w:val="num" w:pos="547"/>
              </w:tabs>
            </w:pPr>
            <w:r>
              <w:t>update section and topic titles to more accurately reflect their content</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1C50E1E9" w:rsidR="00504F80" w:rsidRPr="00EA3A57" w:rsidRDefault="00504F80" w:rsidP="00120103">
            <w:pPr>
              <w:pStyle w:val="BulletText2"/>
            </w:pPr>
            <w:r>
              <w:t>bring the document into conformance with M21-1MR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14:paraId="57C64AFA" w14:textId="77777777" w:rsidTr="003C0413">
        <w:trPr>
          <w:trHeight w:val="180"/>
        </w:trPr>
        <w:tc>
          <w:tcPr>
            <w:tcW w:w="3702" w:type="pct"/>
            <w:shd w:val="clear" w:color="auto" w:fill="auto"/>
          </w:tcPr>
          <w:p w14:paraId="57C64AF7" w14:textId="77777777" w:rsidR="002A1D3E" w:rsidRPr="00C24D50" w:rsidRDefault="002A1D3E" w:rsidP="002F7397">
            <w:pPr>
              <w:pStyle w:val="TableHeaderText"/>
            </w:pPr>
            <w:r w:rsidRPr="00C24D50">
              <w:t>Reason(s) for the Change</w:t>
            </w:r>
          </w:p>
        </w:tc>
        <w:tc>
          <w:tcPr>
            <w:tcW w:w="1298" w:type="pct"/>
            <w:shd w:val="clear" w:color="auto" w:fill="auto"/>
          </w:tcPr>
          <w:p w14:paraId="57C64AF8" w14:textId="77777777" w:rsidR="002A1D3E" w:rsidRPr="00C24D50" w:rsidRDefault="002A1D3E" w:rsidP="002F7397">
            <w:pPr>
              <w:pStyle w:val="TableHeaderText"/>
            </w:pPr>
            <w:r w:rsidRPr="00C24D50">
              <w:t>Citation</w:t>
            </w:r>
          </w:p>
        </w:tc>
      </w:tr>
      <w:tr w:rsidR="00A445CC" w14:paraId="3090A7D9" w14:textId="77777777" w:rsidTr="003C0413">
        <w:trPr>
          <w:trHeight w:val="180"/>
        </w:trPr>
        <w:tc>
          <w:tcPr>
            <w:tcW w:w="3702" w:type="pct"/>
            <w:shd w:val="clear" w:color="auto" w:fill="auto"/>
          </w:tcPr>
          <w:p w14:paraId="50651399" w14:textId="33685FDA" w:rsidR="00A445CC" w:rsidRDefault="00A445CC" w:rsidP="00E51AEC">
            <w:pPr>
              <w:pStyle w:val="TableText"/>
            </w:pPr>
            <w:r>
              <w:t>To add a new Block d to provide a definition and examples of refractive errors.</w:t>
            </w:r>
          </w:p>
        </w:tc>
        <w:tc>
          <w:tcPr>
            <w:tcW w:w="1298" w:type="pct"/>
            <w:shd w:val="clear" w:color="auto" w:fill="auto"/>
          </w:tcPr>
          <w:p w14:paraId="50ADA49B" w14:textId="304DCAC3" w:rsidR="00A445CC" w:rsidRDefault="00A445CC" w:rsidP="002F7397">
            <w:pPr>
              <w:pStyle w:val="TableText"/>
            </w:pPr>
            <w:r>
              <w:t>M21-1, Part III, Subpart iv, Chapter 4, Section B, Topic 1, Block d (III.iv.4.B.1.d)</w:t>
            </w:r>
          </w:p>
        </w:tc>
      </w:tr>
      <w:tr w:rsidR="00A445CC" w14:paraId="38D4BD11" w14:textId="77777777" w:rsidTr="003C0413">
        <w:trPr>
          <w:trHeight w:val="180"/>
        </w:trPr>
        <w:tc>
          <w:tcPr>
            <w:tcW w:w="3702" w:type="pct"/>
            <w:shd w:val="clear" w:color="auto" w:fill="auto"/>
          </w:tcPr>
          <w:p w14:paraId="3CA6882B" w14:textId="77777777" w:rsidR="00A445CC" w:rsidRDefault="00A445CC" w:rsidP="00EF1AAC">
            <w:pPr>
              <w:numPr>
                <w:ilvl w:val="0"/>
                <w:numId w:val="14"/>
              </w:numPr>
              <w:ind w:left="158" w:hanging="187"/>
            </w:pPr>
            <w:r>
              <w:t>To relocate old Block e guidance on reconciling inconsistent findings with refractive error</w:t>
            </w:r>
            <w:r w:rsidR="00EF1AAC">
              <w:t xml:space="preserve"> and instead make it a note under the new Block e.</w:t>
            </w:r>
          </w:p>
          <w:p w14:paraId="55F86F74" w14:textId="77777777" w:rsidR="00EF1AAC" w:rsidRDefault="00EF1AAC" w:rsidP="00EF1AAC">
            <w:pPr>
              <w:numPr>
                <w:ilvl w:val="0"/>
                <w:numId w:val="14"/>
              </w:numPr>
              <w:ind w:left="158" w:hanging="187"/>
            </w:pPr>
            <w:r>
              <w:t>To remove old Block e guidance related to a definition and examples of refractive errors and move to new Block d</w:t>
            </w:r>
          </w:p>
          <w:p w14:paraId="0BB6E5ED" w14:textId="4E1F304F" w:rsidR="00600496" w:rsidRDefault="00600496" w:rsidP="00EF1AAC">
            <w:pPr>
              <w:numPr>
                <w:ilvl w:val="0"/>
                <w:numId w:val="14"/>
              </w:numPr>
              <w:ind w:left="158" w:hanging="187"/>
            </w:pPr>
            <w:r>
              <w:t>To provide guidance to view prior determinations as erroneous or at least not representing best correction when the best corrected vision on any examination by the Department of Veterans Affairs is better than prior determinations.</w:t>
            </w:r>
          </w:p>
        </w:tc>
        <w:tc>
          <w:tcPr>
            <w:tcW w:w="1298" w:type="pct"/>
            <w:shd w:val="clear" w:color="auto" w:fill="auto"/>
          </w:tcPr>
          <w:p w14:paraId="029F6AE6" w14:textId="546601E7" w:rsidR="00A445CC" w:rsidRDefault="00A445CC" w:rsidP="002F7397">
            <w:pPr>
              <w:pStyle w:val="TableText"/>
            </w:pPr>
            <w:r>
              <w:t>III.iv.4.B.1.e</w:t>
            </w:r>
          </w:p>
        </w:tc>
      </w:tr>
      <w:tr w:rsidR="002A1D3E" w14:paraId="57C64B02" w14:textId="77777777" w:rsidTr="003C0413">
        <w:trPr>
          <w:trHeight w:val="180"/>
        </w:trPr>
        <w:tc>
          <w:tcPr>
            <w:tcW w:w="3702" w:type="pct"/>
            <w:shd w:val="clear" w:color="auto" w:fill="auto"/>
          </w:tcPr>
          <w:p w14:paraId="57C64AFF" w14:textId="77DD4BA1" w:rsidR="002A1D3E" w:rsidRPr="00C24D50" w:rsidRDefault="00904429" w:rsidP="002F7397">
            <w:pPr>
              <w:pStyle w:val="TableText"/>
            </w:pPr>
            <w:r>
              <w:t xml:space="preserve">To add </w:t>
            </w:r>
            <w:r w:rsidR="00AD32B6">
              <w:t xml:space="preserve">a new Block f with </w:t>
            </w:r>
            <w:r>
              <w:t>guidance on evaluating visual acuity on the basis of corrected distance vision with central fixation and applicable exceptions.</w:t>
            </w:r>
          </w:p>
        </w:tc>
        <w:tc>
          <w:tcPr>
            <w:tcW w:w="1298" w:type="pct"/>
            <w:shd w:val="clear" w:color="auto" w:fill="auto"/>
          </w:tcPr>
          <w:p w14:paraId="57C64B00" w14:textId="0E1481C0" w:rsidR="002A1D3E" w:rsidRPr="00C24D50" w:rsidRDefault="00904429" w:rsidP="002F7397">
            <w:pPr>
              <w:pStyle w:val="TableText"/>
            </w:pPr>
            <w:r>
              <w:t>III.iv.4.B.1.f</w:t>
            </w:r>
          </w:p>
        </w:tc>
      </w:tr>
      <w:tr w:rsidR="00904429" w14:paraId="2A875629" w14:textId="77777777" w:rsidTr="003C0413">
        <w:trPr>
          <w:trHeight w:val="180"/>
        </w:trPr>
        <w:tc>
          <w:tcPr>
            <w:tcW w:w="3702" w:type="pct"/>
            <w:shd w:val="clear" w:color="auto" w:fill="auto"/>
          </w:tcPr>
          <w:p w14:paraId="611666DC" w14:textId="78A27BC4" w:rsidR="00904429" w:rsidRDefault="00904429" w:rsidP="002F7397">
            <w:pPr>
              <w:pStyle w:val="TableText"/>
            </w:pPr>
            <w:r>
              <w:t xml:space="preserve">To add </w:t>
            </w:r>
            <w:r w:rsidR="00AD32B6">
              <w:t>a new Block g</w:t>
            </w:r>
            <w:r w:rsidR="00EF1AAC">
              <w:t xml:space="preserve"> with</w:t>
            </w:r>
            <w:r w:rsidR="00AD32B6">
              <w:t xml:space="preserve"> </w:t>
            </w:r>
            <w:r>
              <w:t>evaluation guidance related to when the evidence shows anatomical loss of one eye together with inability to wear a prosthesis.</w:t>
            </w:r>
          </w:p>
        </w:tc>
        <w:tc>
          <w:tcPr>
            <w:tcW w:w="1298" w:type="pct"/>
            <w:shd w:val="clear" w:color="auto" w:fill="auto"/>
          </w:tcPr>
          <w:p w14:paraId="3374FFD5" w14:textId="25013D2F" w:rsidR="00904429" w:rsidRDefault="00904429" w:rsidP="002F7397">
            <w:pPr>
              <w:pStyle w:val="TableText"/>
            </w:pPr>
            <w:r>
              <w:t>III.iv.4.B.1.g</w:t>
            </w:r>
          </w:p>
        </w:tc>
      </w:tr>
      <w:tr w:rsidR="002A1D3E" w14:paraId="57C64B06" w14:textId="77777777" w:rsidTr="003C0413">
        <w:trPr>
          <w:trHeight w:val="180"/>
        </w:trPr>
        <w:tc>
          <w:tcPr>
            <w:tcW w:w="3702" w:type="pct"/>
            <w:shd w:val="clear" w:color="auto" w:fill="auto"/>
          </w:tcPr>
          <w:p w14:paraId="4B7AAE08" w14:textId="6BA5C8FD" w:rsidR="008A25C8" w:rsidRDefault="00E51AEC" w:rsidP="00EF1AAC">
            <w:pPr>
              <w:numPr>
                <w:ilvl w:val="0"/>
                <w:numId w:val="15"/>
              </w:numPr>
              <w:ind w:left="158" w:hanging="187"/>
            </w:pPr>
            <w:r>
              <w:t>To add Rating Schedule definition of incapacitating episodes in the context of evaluation of angle-closure glaucoma</w:t>
            </w:r>
            <w:r w:rsidR="008A25C8">
              <w:t>.</w:t>
            </w:r>
            <w:r>
              <w:t xml:space="preserve"> </w:t>
            </w:r>
          </w:p>
          <w:p w14:paraId="57C64B03" w14:textId="2FE527C1" w:rsidR="002A1D3E" w:rsidRPr="00C24D50" w:rsidRDefault="008A25C8" w:rsidP="00EF1AAC">
            <w:pPr>
              <w:numPr>
                <w:ilvl w:val="0"/>
                <w:numId w:val="15"/>
              </w:numPr>
              <w:ind w:left="158" w:hanging="187"/>
            </w:pPr>
            <w:r>
              <w:t xml:space="preserve">To </w:t>
            </w:r>
            <w:r w:rsidR="00E51AEC">
              <w:t>add information related to minimum evaluation of 10 percent when continuous medication is required.</w:t>
            </w:r>
          </w:p>
        </w:tc>
        <w:tc>
          <w:tcPr>
            <w:tcW w:w="1298" w:type="pct"/>
            <w:shd w:val="clear" w:color="auto" w:fill="auto"/>
          </w:tcPr>
          <w:p w14:paraId="57C64B04" w14:textId="68F8AA0E" w:rsidR="002A1D3E" w:rsidRPr="00C24D50" w:rsidRDefault="00E51AEC" w:rsidP="002F7397">
            <w:pPr>
              <w:pStyle w:val="TableText"/>
            </w:pPr>
            <w:r>
              <w:t>III.iv.4.B.2.c</w:t>
            </w:r>
          </w:p>
        </w:tc>
      </w:tr>
      <w:tr w:rsidR="002A1D3E" w14:paraId="57C64B0A" w14:textId="77777777" w:rsidTr="003C0413">
        <w:trPr>
          <w:trHeight w:val="180"/>
        </w:trPr>
        <w:tc>
          <w:tcPr>
            <w:tcW w:w="3702" w:type="pct"/>
            <w:shd w:val="clear" w:color="auto" w:fill="auto"/>
          </w:tcPr>
          <w:p w14:paraId="57C64B07" w14:textId="3059E161" w:rsidR="002A1D3E" w:rsidRPr="00C24D50" w:rsidRDefault="00E51AEC" w:rsidP="002F7397">
            <w:pPr>
              <w:pStyle w:val="TableText"/>
            </w:pPr>
            <w:r>
              <w:lastRenderedPageBreak/>
              <w:t>To</w:t>
            </w:r>
            <w:r w:rsidR="00EF1AAC">
              <w:t xml:space="preserve"> add a new Block d to</w:t>
            </w:r>
            <w:r>
              <w:t xml:space="preserve"> differentiate evaluation guidelines for cataracts based on whether preoperative versus postoperative.</w:t>
            </w:r>
          </w:p>
        </w:tc>
        <w:tc>
          <w:tcPr>
            <w:tcW w:w="1298" w:type="pct"/>
            <w:shd w:val="clear" w:color="auto" w:fill="auto"/>
          </w:tcPr>
          <w:p w14:paraId="57C64B08" w14:textId="0137F805" w:rsidR="002A1D3E" w:rsidRPr="00C24D50" w:rsidRDefault="00E51AEC" w:rsidP="002F7397">
            <w:pPr>
              <w:pStyle w:val="TableText"/>
            </w:pPr>
            <w:r>
              <w:t>III.iv.4.B.2.d</w:t>
            </w:r>
          </w:p>
        </w:tc>
      </w:tr>
      <w:tr w:rsidR="002A1D3E" w14:paraId="57C64B0E" w14:textId="77777777" w:rsidTr="003C0413">
        <w:trPr>
          <w:trHeight w:val="180"/>
        </w:trPr>
        <w:tc>
          <w:tcPr>
            <w:tcW w:w="3702" w:type="pct"/>
            <w:shd w:val="clear" w:color="auto" w:fill="auto"/>
          </w:tcPr>
          <w:p w14:paraId="57C64B0B" w14:textId="032822A1" w:rsidR="002A1D3E" w:rsidRPr="00C24D50" w:rsidRDefault="00E51AEC" w:rsidP="00933BDB">
            <w:pPr>
              <w:pStyle w:val="TableText"/>
            </w:pPr>
            <w:r>
              <w:t>To add</w:t>
            </w:r>
            <w:r w:rsidR="00EF1AAC">
              <w:t xml:space="preserve"> a new Block e to provide</w:t>
            </w:r>
            <w:r>
              <w:t xml:space="preserve"> information on etiologies of dry eye syndrome and consideratio</w:t>
            </w:r>
            <w:r w:rsidR="00904429">
              <w:t>ns to be made when selecting a diagnostic c</w:t>
            </w:r>
            <w:r>
              <w:t>ode.</w:t>
            </w:r>
          </w:p>
        </w:tc>
        <w:tc>
          <w:tcPr>
            <w:tcW w:w="1298" w:type="pct"/>
            <w:shd w:val="clear" w:color="auto" w:fill="auto"/>
          </w:tcPr>
          <w:p w14:paraId="57C64B0C" w14:textId="1D118336" w:rsidR="002A1D3E" w:rsidRPr="00C24D50" w:rsidRDefault="00E51AEC" w:rsidP="00933BDB">
            <w:pPr>
              <w:pStyle w:val="TableText"/>
            </w:pPr>
            <w:r>
              <w:t>III.iv.4.B.2.e</w:t>
            </w:r>
          </w:p>
        </w:tc>
      </w:tr>
      <w:tr w:rsidR="00630BBD" w14:paraId="6C63894A" w14:textId="77777777" w:rsidTr="003C0413">
        <w:trPr>
          <w:trHeight w:val="180"/>
        </w:trPr>
        <w:tc>
          <w:tcPr>
            <w:tcW w:w="3702" w:type="pct"/>
            <w:shd w:val="clear" w:color="auto" w:fill="auto"/>
          </w:tcPr>
          <w:p w14:paraId="799837E7" w14:textId="06393872" w:rsidR="00630BBD" w:rsidRDefault="00630BBD" w:rsidP="00933BDB">
            <w:pPr>
              <w:pStyle w:val="TableText"/>
            </w:pPr>
            <w:r>
              <w:t>To relocate information related to evaluation guidelines for diplopia from old Block d (now Block f) to new Block g.</w:t>
            </w:r>
          </w:p>
        </w:tc>
        <w:tc>
          <w:tcPr>
            <w:tcW w:w="1298" w:type="pct"/>
            <w:shd w:val="clear" w:color="auto" w:fill="auto"/>
          </w:tcPr>
          <w:p w14:paraId="5FA5881C" w14:textId="6F66C809" w:rsidR="00630BBD" w:rsidRDefault="00630BBD" w:rsidP="00933BDB">
            <w:pPr>
              <w:pStyle w:val="TableText"/>
            </w:pPr>
            <w:r>
              <w:t>III.iv.4.B.2.f</w:t>
            </w:r>
          </w:p>
        </w:tc>
      </w:tr>
      <w:tr w:rsidR="00295775" w14:paraId="77BFA3FB" w14:textId="77777777" w:rsidTr="003C0413">
        <w:trPr>
          <w:trHeight w:val="180"/>
        </w:trPr>
        <w:tc>
          <w:tcPr>
            <w:tcW w:w="3702" w:type="pct"/>
            <w:shd w:val="clear" w:color="auto" w:fill="auto"/>
          </w:tcPr>
          <w:p w14:paraId="5C99B13E" w14:textId="19817AD8" w:rsidR="00295775" w:rsidRDefault="00295775" w:rsidP="00933BDB">
            <w:pPr>
              <w:pStyle w:val="TableText"/>
            </w:pPr>
            <w:r>
              <w:t>To provide information related to evaluation guidelines for diplopia.</w:t>
            </w:r>
          </w:p>
        </w:tc>
        <w:tc>
          <w:tcPr>
            <w:tcW w:w="1298" w:type="pct"/>
            <w:shd w:val="clear" w:color="auto" w:fill="auto"/>
          </w:tcPr>
          <w:p w14:paraId="0F31776F" w14:textId="0E02B90A" w:rsidR="00295775" w:rsidRDefault="00295775" w:rsidP="00933BDB">
            <w:pPr>
              <w:pStyle w:val="TableText"/>
            </w:pPr>
            <w:r>
              <w:t>III.iv.4.B.2.g</w:t>
            </w:r>
          </w:p>
        </w:tc>
      </w:tr>
      <w:tr w:rsidR="00855BF5" w14:paraId="3080D350" w14:textId="77777777" w:rsidTr="003C0413">
        <w:trPr>
          <w:trHeight w:val="180"/>
        </w:trPr>
        <w:tc>
          <w:tcPr>
            <w:tcW w:w="3702" w:type="pct"/>
            <w:shd w:val="clear" w:color="auto" w:fill="auto"/>
          </w:tcPr>
          <w:p w14:paraId="4475BB4A" w14:textId="17526B84" w:rsidR="00855BF5" w:rsidRDefault="00855BF5" w:rsidP="00933BDB">
            <w:pPr>
              <w:pStyle w:val="TableText"/>
            </w:pPr>
            <w:r>
              <w:t>To add</w:t>
            </w:r>
            <w:r w:rsidR="00295775">
              <w:t xml:space="preserve"> a new Block h with</w:t>
            </w:r>
            <w:r>
              <w:t xml:space="preserve"> guidance related to retinitis pigmentosa.</w:t>
            </w:r>
          </w:p>
        </w:tc>
        <w:tc>
          <w:tcPr>
            <w:tcW w:w="1298" w:type="pct"/>
            <w:shd w:val="clear" w:color="auto" w:fill="auto"/>
          </w:tcPr>
          <w:p w14:paraId="739EDC92" w14:textId="3E05F9B3" w:rsidR="00855BF5" w:rsidRDefault="00855BF5" w:rsidP="00933BDB">
            <w:pPr>
              <w:pStyle w:val="TableText"/>
            </w:pPr>
            <w:r>
              <w:t>III.iv.4.B.2.h</w:t>
            </w:r>
          </w:p>
        </w:tc>
      </w:tr>
      <w:tr w:rsidR="00DD0F2E" w14:paraId="75E7E27E" w14:textId="77777777" w:rsidTr="003C0413">
        <w:trPr>
          <w:trHeight w:val="180"/>
        </w:trPr>
        <w:tc>
          <w:tcPr>
            <w:tcW w:w="3702" w:type="pct"/>
            <w:shd w:val="clear" w:color="auto" w:fill="auto"/>
          </w:tcPr>
          <w:p w14:paraId="45E3368F" w14:textId="10770145" w:rsidR="00DD0F2E" w:rsidRDefault="00DD0F2E" w:rsidP="00933BDB">
            <w:pPr>
              <w:pStyle w:val="TableText"/>
            </w:pPr>
            <w:r>
              <w:t>To add cross-reference to IV.ii.2.B.2.a for diseases found to represent organic diseases of the nervous system.</w:t>
            </w:r>
          </w:p>
        </w:tc>
        <w:tc>
          <w:tcPr>
            <w:tcW w:w="1298" w:type="pct"/>
            <w:shd w:val="clear" w:color="auto" w:fill="auto"/>
          </w:tcPr>
          <w:p w14:paraId="38B0E903" w14:textId="5BE8E3C6" w:rsidR="00DD0F2E" w:rsidRDefault="00DD0F2E" w:rsidP="00933BDB">
            <w:pPr>
              <w:pStyle w:val="TableText"/>
            </w:pPr>
            <w:r>
              <w:t>III.iv.4.B.3.a</w:t>
            </w:r>
          </w:p>
        </w:tc>
      </w:tr>
      <w:tr w:rsidR="00295775" w14:paraId="66DC9998" w14:textId="77777777" w:rsidTr="003C0413">
        <w:trPr>
          <w:trHeight w:val="180"/>
        </w:trPr>
        <w:tc>
          <w:tcPr>
            <w:tcW w:w="3702" w:type="pct"/>
            <w:shd w:val="clear" w:color="auto" w:fill="auto"/>
          </w:tcPr>
          <w:p w14:paraId="2E6FE3CF" w14:textId="470CC8E6" w:rsidR="00295775" w:rsidRDefault="00295775" w:rsidP="00933BDB">
            <w:pPr>
              <w:pStyle w:val="TableText"/>
            </w:pPr>
            <w:r>
              <w:t>To remove duplicate information related to considering the Veteran’s Military Occupational Specialty in claims for hearing loss as it already appears at 3.c.</w:t>
            </w:r>
          </w:p>
        </w:tc>
        <w:tc>
          <w:tcPr>
            <w:tcW w:w="1298" w:type="pct"/>
            <w:shd w:val="clear" w:color="auto" w:fill="auto"/>
          </w:tcPr>
          <w:p w14:paraId="15833D8A" w14:textId="37FD3A7B" w:rsidR="00295775" w:rsidRDefault="00295775" w:rsidP="00933BDB">
            <w:pPr>
              <w:pStyle w:val="TableText"/>
            </w:pPr>
            <w:r>
              <w:t>III.iv.4.B.3.b</w:t>
            </w:r>
          </w:p>
        </w:tc>
      </w:tr>
      <w:tr w:rsidR="002A1D3E" w14:paraId="57C64B12" w14:textId="77777777" w:rsidTr="003C0413">
        <w:trPr>
          <w:trHeight w:val="180"/>
        </w:trPr>
        <w:tc>
          <w:tcPr>
            <w:tcW w:w="3702" w:type="pct"/>
            <w:shd w:val="clear" w:color="auto" w:fill="auto"/>
          </w:tcPr>
          <w:p w14:paraId="57C64B0F" w14:textId="2E47302D" w:rsidR="002A1D3E" w:rsidRPr="00C24D50" w:rsidRDefault="00295775" w:rsidP="00933BDB">
            <w:pPr>
              <w:pStyle w:val="TableText"/>
            </w:pPr>
            <w:r>
              <w:t>To provide</w:t>
            </w:r>
            <w:r w:rsidR="00DD6837">
              <w:t xml:space="preserve"> guidance related to combat for purposes of conceding noise exposure for hearing loss and as it relates to lay statements as to incurrence.</w:t>
            </w:r>
          </w:p>
        </w:tc>
        <w:tc>
          <w:tcPr>
            <w:tcW w:w="1298" w:type="pct"/>
            <w:shd w:val="clear" w:color="auto" w:fill="auto"/>
          </w:tcPr>
          <w:p w14:paraId="57C64B10" w14:textId="2C337EE5" w:rsidR="002A1D3E" w:rsidRPr="00C24D50" w:rsidRDefault="00DD6837" w:rsidP="00933BDB">
            <w:pPr>
              <w:pStyle w:val="TableText"/>
            </w:pPr>
            <w:r>
              <w:t>III.iv.4.B.3.c</w:t>
            </w:r>
          </w:p>
        </w:tc>
      </w:tr>
      <w:tr w:rsidR="002A1D3E" w14:paraId="57C64B16" w14:textId="77777777" w:rsidTr="003C0413">
        <w:trPr>
          <w:trHeight w:val="180"/>
        </w:trPr>
        <w:tc>
          <w:tcPr>
            <w:tcW w:w="3702" w:type="pct"/>
            <w:shd w:val="clear" w:color="auto" w:fill="auto"/>
          </w:tcPr>
          <w:p w14:paraId="166011C9" w14:textId="5FA5038B" w:rsidR="008A25C8" w:rsidRDefault="00855BF5" w:rsidP="00295775">
            <w:pPr>
              <w:numPr>
                <w:ilvl w:val="0"/>
                <w:numId w:val="12"/>
              </w:numPr>
              <w:ind w:left="158" w:hanging="187"/>
            </w:pPr>
            <w:r>
              <w:t xml:space="preserve">To add </w:t>
            </w:r>
            <w:r w:rsidR="00435E80">
              <w:t>instructions</w:t>
            </w:r>
            <w:r w:rsidR="00904429">
              <w:t xml:space="preserve"> to includ</w:t>
            </w:r>
            <w:r w:rsidR="00435E80">
              <w:t>e</w:t>
            </w:r>
            <w:r w:rsidR="00904429">
              <w:t xml:space="preserve"> information that noise exposure is conceded based on combat in examination requests</w:t>
            </w:r>
            <w:r w:rsidR="00295775">
              <w:t>.</w:t>
            </w:r>
            <w:r w:rsidR="00904429">
              <w:t xml:space="preserve"> </w:t>
            </w:r>
          </w:p>
          <w:p w14:paraId="57C64B13" w14:textId="7E970D94" w:rsidR="002A1D3E" w:rsidRPr="00C24D50" w:rsidRDefault="008A25C8" w:rsidP="00295775">
            <w:pPr>
              <w:numPr>
                <w:ilvl w:val="0"/>
                <w:numId w:val="12"/>
              </w:numPr>
              <w:ind w:left="158" w:hanging="187"/>
            </w:pPr>
            <w:r>
              <w:t xml:space="preserve">To add guidance on </w:t>
            </w:r>
            <w:r w:rsidR="00904429">
              <w:t>how to evaluate</w:t>
            </w:r>
            <w:r w:rsidR="00855BF5">
              <w:t xml:space="preserve"> auditory acuity in claims</w:t>
            </w:r>
            <w:r w:rsidR="00DD6837">
              <w:t xml:space="preserve"> received from a reservist on account of active or inactive duty for training.</w:t>
            </w:r>
          </w:p>
        </w:tc>
        <w:tc>
          <w:tcPr>
            <w:tcW w:w="1298" w:type="pct"/>
            <w:shd w:val="clear" w:color="auto" w:fill="auto"/>
          </w:tcPr>
          <w:p w14:paraId="57C64B14" w14:textId="67C94B78" w:rsidR="002A1D3E" w:rsidRPr="00C24D50" w:rsidRDefault="00DD6837" w:rsidP="00933BDB">
            <w:pPr>
              <w:pStyle w:val="TableText"/>
            </w:pPr>
            <w:r>
              <w:t>III.iv.4.B.3.d</w:t>
            </w:r>
          </w:p>
        </w:tc>
      </w:tr>
      <w:tr w:rsidR="00F01703" w14:paraId="4CEE8D0F" w14:textId="77777777" w:rsidTr="003C0413">
        <w:trPr>
          <w:trHeight w:val="180"/>
        </w:trPr>
        <w:tc>
          <w:tcPr>
            <w:tcW w:w="3702" w:type="pct"/>
            <w:shd w:val="clear" w:color="auto" w:fill="auto"/>
          </w:tcPr>
          <w:p w14:paraId="5E2CE917" w14:textId="343EB4BC" w:rsidR="00F01703" w:rsidRDefault="00904429" w:rsidP="00933BDB">
            <w:pPr>
              <w:pStyle w:val="TableText"/>
            </w:pPr>
            <w:r>
              <w:t>To add guidance that under diagnostic c</w:t>
            </w:r>
            <w:r w:rsidR="00F01703">
              <w:t>ode 6260 tinnitus will be assigned a single 10 percent evaluation, regardless of whether unilateral, bilateral, or in the head.</w:t>
            </w:r>
          </w:p>
        </w:tc>
        <w:tc>
          <w:tcPr>
            <w:tcW w:w="1298" w:type="pct"/>
            <w:shd w:val="clear" w:color="auto" w:fill="auto"/>
          </w:tcPr>
          <w:p w14:paraId="7BF6FA55" w14:textId="65033A50" w:rsidR="00F01703" w:rsidRDefault="00F01703" w:rsidP="00933BDB">
            <w:pPr>
              <w:pStyle w:val="TableText"/>
            </w:pPr>
            <w:r>
              <w:t>III.iv.4.B.3.f</w:t>
            </w:r>
          </w:p>
        </w:tc>
      </w:tr>
      <w:tr w:rsidR="004352D8" w14:paraId="49504E86" w14:textId="77777777" w:rsidTr="003C0413">
        <w:trPr>
          <w:trHeight w:val="180"/>
        </w:trPr>
        <w:tc>
          <w:tcPr>
            <w:tcW w:w="3702" w:type="pct"/>
            <w:shd w:val="clear" w:color="auto" w:fill="auto"/>
          </w:tcPr>
          <w:p w14:paraId="605FBF5C" w14:textId="461051E0" w:rsidR="004352D8" w:rsidRDefault="00904429" w:rsidP="00933BDB">
            <w:pPr>
              <w:pStyle w:val="TableText"/>
            </w:pPr>
            <w:r>
              <w:t>To add</w:t>
            </w:r>
            <w:r w:rsidR="00295775">
              <w:t xml:space="preserve"> a new Block h with</w:t>
            </w:r>
            <w:r>
              <w:t xml:space="preserve"> general guidelines applicable to effective dates for an increased evaluation for hearing loss.</w:t>
            </w:r>
          </w:p>
        </w:tc>
        <w:tc>
          <w:tcPr>
            <w:tcW w:w="1298" w:type="pct"/>
            <w:shd w:val="clear" w:color="auto" w:fill="auto"/>
          </w:tcPr>
          <w:p w14:paraId="543D28BA" w14:textId="5B29C06F" w:rsidR="004352D8" w:rsidRDefault="004352D8" w:rsidP="00933BDB">
            <w:pPr>
              <w:pStyle w:val="TableText"/>
            </w:pPr>
            <w:r>
              <w:t>III.</w:t>
            </w:r>
            <w:r w:rsidR="00904429">
              <w:t>iv.4.B.3</w:t>
            </w:r>
            <w:r>
              <w:t>.h</w:t>
            </w:r>
          </w:p>
        </w:tc>
      </w:tr>
      <w:tr w:rsidR="00641437" w14:paraId="6B8CE595" w14:textId="77777777" w:rsidTr="003C0413">
        <w:trPr>
          <w:trHeight w:val="180"/>
        </w:trPr>
        <w:tc>
          <w:tcPr>
            <w:tcW w:w="3702" w:type="pct"/>
            <w:shd w:val="clear" w:color="auto" w:fill="auto"/>
          </w:tcPr>
          <w:p w14:paraId="2449FC41" w14:textId="218C511B" w:rsidR="00641437" w:rsidRDefault="00641437" w:rsidP="00933BDB">
            <w:pPr>
              <w:pStyle w:val="TableText"/>
            </w:pPr>
            <w:r>
              <w:t xml:space="preserve">To remove old Block i containing outdated and unnecessary guidance on nonorganic hearing impairment due to psychiatric disease when a reduction in a rating for hearing impairment is shown. </w:t>
            </w:r>
          </w:p>
        </w:tc>
        <w:tc>
          <w:tcPr>
            <w:tcW w:w="1298" w:type="pct"/>
            <w:shd w:val="clear" w:color="auto" w:fill="auto"/>
          </w:tcPr>
          <w:p w14:paraId="455F13F1" w14:textId="02A2B2E6" w:rsidR="00641437" w:rsidRDefault="00641437" w:rsidP="00933BDB">
            <w:pPr>
              <w:pStyle w:val="TableText"/>
            </w:pPr>
            <w:r>
              <w:t>III.iv.4.B.3.i</w:t>
            </w:r>
          </w:p>
        </w:tc>
      </w:tr>
      <w:tr w:rsidR="00904429" w14:paraId="063E2A0D" w14:textId="77777777" w:rsidTr="003C0413">
        <w:trPr>
          <w:trHeight w:val="180"/>
        </w:trPr>
        <w:tc>
          <w:tcPr>
            <w:tcW w:w="3702" w:type="pct"/>
            <w:shd w:val="clear" w:color="auto" w:fill="auto"/>
          </w:tcPr>
          <w:p w14:paraId="6B471A2F" w14:textId="093D2F86" w:rsidR="00904429" w:rsidRDefault="00904429" w:rsidP="00933BDB">
            <w:pPr>
              <w:pStyle w:val="TableText"/>
            </w:pPr>
            <w:r>
              <w:t>To add</w:t>
            </w:r>
            <w:r w:rsidR="00295775">
              <w:t xml:space="preserve"> a new Block i with</w:t>
            </w:r>
            <w:r>
              <w:t xml:space="preserve"> guidance related to situations in which an effective date for an increased evaluation for hearing loss may be prior to the date of examination.</w:t>
            </w:r>
          </w:p>
        </w:tc>
        <w:tc>
          <w:tcPr>
            <w:tcW w:w="1298" w:type="pct"/>
            <w:shd w:val="clear" w:color="auto" w:fill="auto"/>
          </w:tcPr>
          <w:p w14:paraId="21C46407" w14:textId="19DFEF78" w:rsidR="00904429" w:rsidRDefault="00904429" w:rsidP="00933BDB">
            <w:pPr>
              <w:pStyle w:val="TableText"/>
            </w:pPr>
            <w:r>
              <w:t>III.iv.4.B.3.i</w:t>
            </w:r>
          </w:p>
        </w:tc>
      </w:tr>
      <w:tr w:rsidR="00641437" w14:paraId="0ABEA1B0" w14:textId="77777777" w:rsidTr="003C0413">
        <w:trPr>
          <w:trHeight w:val="180"/>
        </w:trPr>
        <w:tc>
          <w:tcPr>
            <w:tcW w:w="3702" w:type="pct"/>
            <w:shd w:val="clear" w:color="auto" w:fill="auto"/>
          </w:tcPr>
          <w:p w14:paraId="2AF4714C" w14:textId="11733B21" w:rsidR="00641437" w:rsidRDefault="00641437" w:rsidP="00933BDB">
            <w:pPr>
              <w:pStyle w:val="TableText"/>
            </w:pPr>
            <w:r>
              <w:t>To remove old Block j containing outdated and unnecessary guidance on awarding service connection for functional hearing impairment.</w:t>
            </w:r>
          </w:p>
        </w:tc>
        <w:tc>
          <w:tcPr>
            <w:tcW w:w="1298" w:type="pct"/>
            <w:shd w:val="clear" w:color="auto" w:fill="auto"/>
          </w:tcPr>
          <w:p w14:paraId="7EAB3FE1" w14:textId="4E4D95A8" w:rsidR="00641437" w:rsidRDefault="00641437" w:rsidP="00933BDB">
            <w:pPr>
              <w:pStyle w:val="TableText"/>
            </w:pPr>
            <w:r>
              <w:t>III.iv.4.B.3.j</w:t>
            </w:r>
          </w:p>
        </w:tc>
      </w:tr>
      <w:tr w:rsidR="002A1D3E" w14:paraId="57C64B1A" w14:textId="77777777" w:rsidTr="003C0413">
        <w:trPr>
          <w:trHeight w:val="180"/>
        </w:trPr>
        <w:tc>
          <w:tcPr>
            <w:tcW w:w="3702" w:type="pct"/>
            <w:shd w:val="clear" w:color="auto" w:fill="auto"/>
          </w:tcPr>
          <w:p w14:paraId="57C64B17" w14:textId="312C6D3C" w:rsidR="002A1D3E" w:rsidRPr="00C24D50" w:rsidRDefault="00DD6837" w:rsidP="00DF263E">
            <w:pPr>
              <w:pStyle w:val="TableText"/>
            </w:pPr>
            <w:r>
              <w:t>To</w:t>
            </w:r>
            <w:r w:rsidR="00295775">
              <w:t xml:space="preserve"> add a new Block </w:t>
            </w:r>
            <w:r w:rsidR="00DF263E">
              <w:t>l</w:t>
            </w:r>
            <w:r w:rsidR="00295775">
              <w:t xml:space="preserve"> to</w:t>
            </w:r>
            <w:r>
              <w:t xml:space="preserve"> incorporate Rating Schedule provisions related to evaluating exceptional patterns of hearing impairment</w:t>
            </w:r>
            <w:r w:rsidR="0082264C">
              <w:t>.</w:t>
            </w:r>
          </w:p>
        </w:tc>
        <w:tc>
          <w:tcPr>
            <w:tcW w:w="1298" w:type="pct"/>
            <w:shd w:val="clear" w:color="auto" w:fill="auto"/>
          </w:tcPr>
          <w:p w14:paraId="57C64B18" w14:textId="5DC32301" w:rsidR="002A1D3E" w:rsidRPr="00C24D50" w:rsidRDefault="00DF263E" w:rsidP="00933BDB">
            <w:pPr>
              <w:pStyle w:val="TableText"/>
            </w:pPr>
            <w:r>
              <w:t>III.iv.4.B.3.l</w:t>
            </w:r>
          </w:p>
        </w:tc>
      </w:tr>
      <w:tr w:rsidR="002A1D3E" w14:paraId="57C64B1E" w14:textId="77777777" w:rsidTr="003C0413">
        <w:trPr>
          <w:trHeight w:val="180"/>
        </w:trPr>
        <w:tc>
          <w:tcPr>
            <w:tcW w:w="3702" w:type="pct"/>
            <w:shd w:val="clear" w:color="auto" w:fill="auto"/>
          </w:tcPr>
          <w:p w14:paraId="57C64B1B" w14:textId="2AEF0643" w:rsidR="002A1D3E" w:rsidRDefault="00DD6837" w:rsidP="00DF263E">
            <w:pPr>
              <w:pStyle w:val="TableText"/>
            </w:pPr>
            <w:r>
              <w:t>To</w:t>
            </w:r>
            <w:r w:rsidR="00295775">
              <w:t xml:space="preserve"> add a new Block </w:t>
            </w:r>
            <w:r w:rsidR="00DF263E">
              <w:t>m</w:t>
            </w:r>
            <w:r w:rsidR="00295775">
              <w:t xml:space="preserve"> to</w:t>
            </w:r>
            <w:r>
              <w:t xml:space="preserve"> provide guidance related to evaluating hearing loss when speech discrimination scores are not appropriate or cannot be obtained.</w:t>
            </w:r>
          </w:p>
        </w:tc>
        <w:tc>
          <w:tcPr>
            <w:tcW w:w="1298" w:type="pct"/>
            <w:shd w:val="clear" w:color="auto" w:fill="auto"/>
          </w:tcPr>
          <w:p w14:paraId="57C64B1C" w14:textId="6E2EA3C5" w:rsidR="002A1D3E" w:rsidRDefault="00904429" w:rsidP="00DF263E">
            <w:pPr>
              <w:pStyle w:val="TableText"/>
            </w:pPr>
            <w:r>
              <w:t>III.iv.4.B.3.</w:t>
            </w:r>
            <w:r w:rsidR="00DF263E">
              <w:t>m</w:t>
            </w:r>
          </w:p>
        </w:tc>
      </w:tr>
      <w:tr w:rsidR="00DD6837" w14:paraId="0C3102B8" w14:textId="77777777" w:rsidTr="003C0413">
        <w:trPr>
          <w:trHeight w:val="180"/>
        </w:trPr>
        <w:tc>
          <w:tcPr>
            <w:tcW w:w="3702" w:type="pct"/>
            <w:shd w:val="clear" w:color="auto" w:fill="auto"/>
          </w:tcPr>
          <w:p w14:paraId="448F4B06" w14:textId="7D0EBAA2" w:rsidR="00DD6837" w:rsidRDefault="00DD6837" w:rsidP="00DF263E">
            <w:pPr>
              <w:pStyle w:val="TableText"/>
            </w:pPr>
            <w:r>
              <w:t>To add</w:t>
            </w:r>
            <w:r w:rsidR="00295775">
              <w:t xml:space="preserve"> a new Block </w:t>
            </w:r>
            <w:r w:rsidR="00DF263E">
              <w:t>n</w:t>
            </w:r>
            <w:r w:rsidR="00295775">
              <w:t xml:space="preserve"> with</w:t>
            </w:r>
            <w:r>
              <w:t xml:space="preserve"> guidance that hearing impairment due to Meniere’s disease is not required to meet hearing loss criteria under 38 CFR 3.385.</w:t>
            </w:r>
          </w:p>
        </w:tc>
        <w:tc>
          <w:tcPr>
            <w:tcW w:w="1298" w:type="pct"/>
            <w:shd w:val="clear" w:color="auto" w:fill="auto"/>
          </w:tcPr>
          <w:p w14:paraId="483DF6C7" w14:textId="57CE1D9F" w:rsidR="00DD6837" w:rsidRDefault="00904429" w:rsidP="00DF263E">
            <w:pPr>
              <w:pStyle w:val="TableText"/>
            </w:pPr>
            <w:r>
              <w:t>III.iv.4.B.3.</w:t>
            </w:r>
            <w:r w:rsidR="00DF263E">
              <w:t>n</w:t>
            </w:r>
          </w:p>
        </w:tc>
      </w:tr>
      <w:tr w:rsidR="00197C94" w14:paraId="0B592EF3" w14:textId="77777777" w:rsidTr="003C0413">
        <w:trPr>
          <w:trHeight w:val="180"/>
        </w:trPr>
        <w:tc>
          <w:tcPr>
            <w:tcW w:w="3702" w:type="pct"/>
            <w:shd w:val="clear" w:color="auto" w:fill="auto"/>
          </w:tcPr>
          <w:p w14:paraId="5B8929DD" w14:textId="3222E27B" w:rsidR="00197C94" w:rsidRDefault="00197C94" w:rsidP="00197C94">
            <w:pPr>
              <w:pStyle w:val="TableText"/>
            </w:pPr>
            <w:r>
              <w:t>To add information that where the paired organs criteria do not apply, consider the hearing in the ear for which service connection is not granted to be normal.</w:t>
            </w:r>
          </w:p>
        </w:tc>
        <w:tc>
          <w:tcPr>
            <w:tcW w:w="1298" w:type="pct"/>
            <w:shd w:val="clear" w:color="auto" w:fill="auto"/>
          </w:tcPr>
          <w:p w14:paraId="3817FD32" w14:textId="7AB8E058" w:rsidR="00197C94" w:rsidRDefault="00DF263E" w:rsidP="00933BDB">
            <w:pPr>
              <w:pStyle w:val="TableText"/>
            </w:pPr>
            <w:r>
              <w:t>III.iv.4.B.3.p</w:t>
            </w:r>
          </w:p>
        </w:tc>
      </w:tr>
      <w:tr w:rsidR="00DD6837" w14:paraId="00FC96F0" w14:textId="77777777" w:rsidTr="003C0413">
        <w:trPr>
          <w:trHeight w:val="180"/>
        </w:trPr>
        <w:tc>
          <w:tcPr>
            <w:tcW w:w="3702" w:type="pct"/>
            <w:shd w:val="clear" w:color="auto" w:fill="auto"/>
          </w:tcPr>
          <w:p w14:paraId="3153F5E6" w14:textId="2F75ACD4" w:rsidR="00DD6837" w:rsidRDefault="00DD6837" w:rsidP="00933BDB">
            <w:pPr>
              <w:pStyle w:val="TableText"/>
            </w:pPr>
            <w:r>
              <w:t>To add</w:t>
            </w:r>
            <w:r w:rsidR="00DF263E">
              <w:t xml:space="preserve"> a new Block r</w:t>
            </w:r>
            <w:r w:rsidR="00295775">
              <w:t xml:space="preserve"> with</w:t>
            </w:r>
            <w:r>
              <w:t xml:space="preserve"> hearing loss calculator guidance on input when audiometric values are above 105 decibels.</w:t>
            </w:r>
          </w:p>
        </w:tc>
        <w:tc>
          <w:tcPr>
            <w:tcW w:w="1298" w:type="pct"/>
            <w:shd w:val="clear" w:color="auto" w:fill="auto"/>
          </w:tcPr>
          <w:p w14:paraId="7D0D4427" w14:textId="56329DA9" w:rsidR="00DD6837" w:rsidRDefault="00DF263E" w:rsidP="00933BDB">
            <w:pPr>
              <w:pStyle w:val="TableText"/>
            </w:pPr>
            <w:r>
              <w:t>III.iv.4.B.3.r</w:t>
            </w:r>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7C64B33" w14:textId="658C6F7B"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2B5E8F">
        <w:fldChar w:fldCharType="begin">
          <w:fldData xml:space="preserve">RABvAGMAVABlAG0AcAAxAFYAYQByAFQAcgBhAGQAaQB0AGkAbwBuAGEAbAA=
</w:fldData>
        </w:fldChar>
      </w:r>
      <w:r w:rsidR="002B5E8F">
        <w:instrText xml:space="preserve"> ADDIN  \* MERGEFORMAT </w:instrText>
      </w:r>
      <w:r w:rsidR="002B5E8F">
        <w:fldChar w:fldCharType="end"/>
      </w:r>
      <w:r w:rsidR="002B5E8F">
        <w:fldChar w:fldCharType="begin">
          <w:fldData xml:space="preserve">RgBvAG4AdABTAGUAdABpAG0AaQBzAHQAeQBsAGUAcwAuAHgAbQBsAA==
</w:fldData>
        </w:fldChar>
      </w:r>
      <w:r w:rsidR="002B5E8F">
        <w:instrText xml:space="preserve"> ADDIN  \* MERGEFORMAT </w:instrText>
      </w:r>
      <w:r w:rsidR="002B5E8F">
        <w:fldChar w:fldCharType="end"/>
      </w:r>
      <w:r w:rsidR="00326734">
        <w:fldChar w:fldCharType="begin">
          <w:fldData xml:space="preserve">RABvAGMAVABlAG0AcAAxAFYAYQByAFQAcgBhAGQAaQB0AGkAbwBuAGEAbAA=
</w:fldData>
        </w:fldChar>
      </w:r>
      <w:r w:rsidR="00326734">
        <w:instrText xml:space="preserve"> ADDIN  \* MERGEFORMAT </w:instrText>
      </w:r>
      <w:r w:rsidR="00326734">
        <w:fldChar w:fldCharType="end"/>
      </w:r>
      <w:r w:rsidR="00326734">
        <w:fldChar w:fldCharType="begin">
          <w:fldData xml:space="preserve">RgBvAG4AdABTAGUAdABpAG0AaQBzAHQAeQBsAGUAcwAuAHgAbQBsAA==
</w:fldData>
        </w:fldChar>
      </w:r>
      <w:r w:rsidR="00326734">
        <w:instrText xml:space="preserve"> ADDIN  \* MERGEFORMAT </w:instrText>
      </w:r>
      <w:r w:rsidR="00326734">
        <w:fldChar w:fldCharType="end"/>
      </w:r>
      <w:r w:rsidR="00C01EE4">
        <w:fldChar w:fldCharType="begin">
          <w:fldData xml:space="preserve">RABvAGMAVABlAG0AcAAxAFYAYQByAFQAcgBhAGQAaQB0AGkAbwBuAGEAbAA=
</w:fldData>
        </w:fldChar>
      </w:r>
      <w:r w:rsidR="00C01EE4">
        <w:instrText xml:space="preserve"> ADDIN  \* MERGEFORMAT </w:instrText>
      </w:r>
      <w:r w:rsidR="00C01EE4">
        <w:fldChar w:fldCharType="end"/>
      </w:r>
      <w:r w:rsidR="00C01EE4">
        <w:fldChar w:fldCharType="begin">
          <w:fldData xml:space="preserve">RgBvAG4AdABTAGUAdABpAG0AaQBzAHQAeQBsAGUAcwAuAHgAbQBsAA==
</w:fldData>
        </w:fldChar>
      </w:r>
      <w:r w:rsidR="00C01EE4">
        <w:instrText xml:space="preserve"> ADDIN  \* MERGEFORMAT </w:instrText>
      </w:r>
      <w:r w:rsidR="00C01EE4">
        <w:fldChar w:fldCharType="end"/>
      </w:r>
    </w:p>
    <w:sectPr w:rsidR="007D5B97" w:rsidSect="00237C22">
      <w:footerReference w:type="even" r:id="rId13"/>
      <w:footerReference w:type="default" r:id="rId1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A1F2" w14:textId="77777777" w:rsidR="002F3C43" w:rsidRDefault="002F3C43" w:rsidP="00C765C7">
      <w:r>
        <w:separator/>
      </w:r>
    </w:p>
  </w:endnote>
  <w:endnote w:type="continuationSeparator" w:id="0">
    <w:p w14:paraId="45C1ED21" w14:textId="77777777" w:rsidR="002F3C43" w:rsidRDefault="002F3C43"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5E7">
      <w:rPr>
        <w:rStyle w:val="PageNumber"/>
        <w:noProof/>
      </w:rPr>
      <w:t>iii</w:t>
    </w:r>
    <w:r>
      <w:rPr>
        <w:rStyle w:val="PageNumber"/>
      </w:rPr>
      <w:fldChar w:fldCharType="end"/>
    </w: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5B43" w14:textId="77777777" w:rsidR="002F3C43" w:rsidRDefault="002F3C43" w:rsidP="00C765C7">
      <w:r>
        <w:separator/>
      </w:r>
    </w:p>
  </w:footnote>
  <w:footnote w:type="continuationSeparator" w:id="0">
    <w:p w14:paraId="2E92566B" w14:textId="77777777" w:rsidR="002F3C43" w:rsidRDefault="002F3C43"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D4B50"/>
    <w:multiLevelType w:val="hybridMultilevel"/>
    <w:tmpl w:val="18E0C31E"/>
    <w:lvl w:ilvl="0" w:tplc="6E52AB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54C6"/>
    <w:multiLevelType w:val="hybridMultilevel"/>
    <w:tmpl w:val="004CAF6C"/>
    <w:lvl w:ilvl="0" w:tplc="400ED3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234B4"/>
    <w:multiLevelType w:val="hybridMultilevel"/>
    <w:tmpl w:val="210AC9E2"/>
    <w:lvl w:ilvl="0" w:tplc="400ED3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00CC0"/>
    <w:multiLevelType w:val="hybridMultilevel"/>
    <w:tmpl w:val="951CE8BE"/>
    <w:lvl w:ilvl="0" w:tplc="400ED3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65004C"/>
    <w:multiLevelType w:val="hybridMultilevel"/>
    <w:tmpl w:val="05C49FC8"/>
    <w:lvl w:ilvl="0" w:tplc="6E52AB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4">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9"/>
  </w:num>
  <w:num w:numId="3">
    <w:abstractNumId w:val="0"/>
  </w:num>
  <w:num w:numId="4">
    <w:abstractNumId w:val="12"/>
  </w:num>
  <w:num w:numId="5">
    <w:abstractNumId w:val="8"/>
  </w:num>
  <w:num w:numId="6">
    <w:abstractNumId w:val="7"/>
  </w:num>
  <w:num w:numId="7">
    <w:abstractNumId w:val="13"/>
  </w:num>
  <w:num w:numId="8">
    <w:abstractNumId w:val="6"/>
  </w:num>
  <w:num w:numId="9">
    <w:abstractNumId w:val="5"/>
  </w:num>
  <w:num w:numId="10">
    <w:abstractNumId w:val="11"/>
  </w:num>
  <w:num w:numId="11">
    <w:abstractNumId w:val="1"/>
  </w:num>
  <w:num w:numId="12">
    <w:abstractNumId w:val="10"/>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16E15"/>
    <w:rsid w:val="000252C6"/>
    <w:rsid w:val="000256FB"/>
    <w:rsid w:val="00093228"/>
    <w:rsid w:val="000A7776"/>
    <w:rsid w:val="00100433"/>
    <w:rsid w:val="0010215F"/>
    <w:rsid w:val="00106EEF"/>
    <w:rsid w:val="00120103"/>
    <w:rsid w:val="00123973"/>
    <w:rsid w:val="001253ED"/>
    <w:rsid w:val="00186D46"/>
    <w:rsid w:val="00197C94"/>
    <w:rsid w:val="001C3AE3"/>
    <w:rsid w:val="001C3EB5"/>
    <w:rsid w:val="001D26A4"/>
    <w:rsid w:val="002041BE"/>
    <w:rsid w:val="002220F1"/>
    <w:rsid w:val="00237C22"/>
    <w:rsid w:val="00240624"/>
    <w:rsid w:val="00271962"/>
    <w:rsid w:val="00295775"/>
    <w:rsid w:val="002A1D3E"/>
    <w:rsid w:val="002B5E8F"/>
    <w:rsid w:val="002B7A7E"/>
    <w:rsid w:val="002F3C43"/>
    <w:rsid w:val="002F5B21"/>
    <w:rsid w:val="002F7397"/>
    <w:rsid w:val="00326734"/>
    <w:rsid w:val="00332B80"/>
    <w:rsid w:val="00341981"/>
    <w:rsid w:val="00366D36"/>
    <w:rsid w:val="00386999"/>
    <w:rsid w:val="003B2927"/>
    <w:rsid w:val="003C0413"/>
    <w:rsid w:val="003D47AF"/>
    <w:rsid w:val="003E2CA2"/>
    <w:rsid w:val="003F3021"/>
    <w:rsid w:val="003F6048"/>
    <w:rsid w:val="003F672A"/>
    <w:rsid w:val="00401EAD"/>
    <w:rsid w:val="0040351B"/>
    <w:rsid w:val="0041026E"/>
    <w:rsid w:val="00421403"/>
    <w:rsid w:val="00422836"/>
    <w:rsid w:val="004352D8"/>
    <w:rsid w:val="00435BA5"/>
    <w:rsid w:val="00435E80"/>
    <w:rsid w:val="00437647"/>
    <w:rsid w:val="00450FD6"/>
    <w:rsid w:val="00455EF7"/>
    <w:rsid w:val="004562CC"/>
    <w:rsid w:val="00471ECA"/>
    <w:rsid w:val="00482FA3"/>
    <w:rsid w:val="0048559D"/>
    <w:rsid w:val="00494175"/>
    <w:rsid w:val="004F375E"/>
    <w:rsid w:val="00504F80"/>
    <w:rsid w:val="00506485"/>
    <w:rsid w:val="00513DA7"/>
    <w:rsid w:val="00516C82"/>
    <w:rsid w:val="00526F0E"/>
    <w:rsid w:val="00594258"/>
    <w:rsid w:val="005E4363"/>
    <w:rsid w:val="00600496"/>
    <w:rsid w:val="00600DC7"/>
    <w:rsid w:val="0062068D"/>
    <w:rsid w:val="00630BBD"/>
    <w:rsid w:val="006317AA"/>
    <w:rsid w:val="00641437"/>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64C"/>
    <w:rsid w:val="00822A16"/>
    <w:rsid w:val="00855BF5"/>
    <w:rsid w:val="0086475B"/>
    <w:rsid w:val="00875AFA"/>
    <w:rsid w:val="0088609E"/>
    <w:rsid w:val="008A25C8"/>
    <w:rsid w:val="008B4CB5"/>
    <w:rsid w:val="008B6330"/>
    <w:rsid w:val="008C723F"/>
    <w:rsid w:val="008D12C3"/>
    <w:rsid w:val="008D458B"/>
    <w:rsid w:val="008E22CF"/>
    <w:rsid w:val="008E5824"/>
    <w:rsid w:val="008E589A"/>
    <w:rsid w:val="008F14EA"/>
    <w:rsid w:val="008F1D5B"/>
    <w:rsid w:val="00904429"/>
    <w:rsid w:val="00916AE6"/>
    <w:rsid w:val="00933BDB"/>
    <w:rsid w:val="00945950"/>
    <w:rsid w:val="009769CD"/>
    <w:rsid w:val="00997D98"/>
    <w:rsid w:val="009C22C8"/>
    <w:rsid w:val="009E6E1A"/>
    <w:rsid w:val="00A315CB"/>
    <w:rsid w:val="00A3579D"/>
    <w:rsid w:val="00A445CC"/>
    <w:rsid w:val="00A55356"/>
    <w:rsid w:val="00A557BB"/>
    <w:rsid w:val="00A8520D"/>
    <w:rsid w:val="00AB05E7"/>
    <w:rsid w:val="00AC2993"/>
    <w:rsid w:val="00AD0EDC"/>
    <w:rsid w:val="00AD32B6"/>
    <w:rsid w:val="00AF2CD6"/>
    <w:rsid w:val="00B0548B"/>
    <w:rsid w:val="00B30D2F"/>
    <w:rsid w:val="00B50AD7"/>
    <w:rsid w:val="00B64F2F"/>
    <w:rsid w:val="00B93A3C"/>
    <w:rsid w:val="00B96287"/>
    <w:rsid w:val="00BB3345"/>
    <w:rsid w:val="00BF7FE3"/>
    <w:rsid w:val="00C01EE4"/>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0F2E"/>
    <w:rsid w:val="00DD6837"/>
    <w:rsid w:val="00DE0E35"/>
    <w:rsid w:val="00DF263E"/>
    <w:rsid w:val="00DF44AC"/>
    <w:rsid w:val="00E2529E"/>
    <w:rsid w:val="00E36906"/>
    <w:rsid w:val="00E51AEC"/>
    <w:rsid w:val="00E648E9"/>
    <w:rsid w:val="00E74B55"/>
    <w:rsid w:val="00E964FD"/>
    <w:rsid w:val="00ED4D5E"/>
    <w:rsid w:val="00ED71C8"/>
    <w:rsid w:val="00EF1AAC"/>
    <w:rsid w:val="00F006B2"/>
    <w:rsid w:val="00F01703"/>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3262-7E72-4827-AF20-6F4868708AA5}">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b438dcf7-3998-4283-b7fc-0ec6fa8e430f"/>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02F850E1-33B4-4147-BDF8-4AD2D97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5.xml><?xml version="1.0" encoding="utf-8"?>
<ds:datastoreItem xmlns:ds="http://schemas.openxmlformats.org/officeDocument/2006/customXml" ds:itemID="{9C90C162-254F-49C7-8C92-AC64AB47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 Sheet</Template>
  <TotalTime>153</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M21-1III_iv_4_SecB_TS </vt:lpstr>
    </vt:vector>
  </TitlesOfParts>
  <Company>Department of Veterans Affairs</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M21-1III_iv_4_SecB_TS </dc:title>
  <dc:creator>capktibb</dc:creator>
  <cp:lastModifiedBy>Amy Hamma</cp:lastModifiedBy>
  <cp:revision>6</cp:revision>
  <dcterms:created xsi:type="dcterms:W3CDTF">2014-07-22T17:54:00Z</dcterms:created>
  <dcterms:modified xsi:type="dcterms:W3CDTF">2015-05-07T20:08:00Z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