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BD728" w14:textId="77777777" w:rsidR="001F15FE" w:rsidRPr="00920DFF" w:rsidRDefault="001F15FE" w:rsidP="00B02775">
      <w:pPr>
        <w:pStyle w:val="Heading2"/>
        <w:spacing w:after="0"/>
      </w:pPr>
      <w:proofErr w:type="gramStart"/>
      <w:r w:rsidRPr="00920DFF">
        <w:t>Section D.</w:t>
      </w:r>
      <w:proofErr w:type="gramEnd"/>
      <w:r w:rsidRPr="00920DFF">
        <w:t xml:space="preserve">  Examination Reports</w:t>
      </w:r>
    </w:p>
    <w:p w14:paraId="543E4999" w14:textId="77777777" w:rsidR="00845218" w:rsidRPr="00920DFF" w:rsidRDefault="00845218" w:rsidP="00783CD4">
      <w:pPr>
        <w:pStyle w:val="Heading4"/>
        <w:spacing w:after="0"/>
      </w:pPr>
    </w:p>
    <w:p w14:paraId="5CEBD729" w14:textId="77777777" w:rsidR="001F15FE" w:rsidRPr="00920DFF" w:rsidRDefault="001F15FE" w:rsidP="00783CD4">
      <w:pPr>
        <w:pStyle w:val="Heading4"/>
        <w:spacing w:after="0"/>
      </w:pPr>
      <w:r w:rsidRPr="00920DFF">
        <w:fldChar w:fldCharType="begin"/>
      </w:r>
      <w:r w:rsidRPr="00920DFF">
        <w:instrText xml:space="preserve"> PRIVATE INFOTYPE="OTHER" </w:instrText>
      </w:r>
      <w:r w:rsidRPr="00920DFF">
        <w:fldChar w:fldCharType="end"/>
      </w:r>
      <w:r w:rsidRPr="00920DFF">
        <w:t>Overview</w:t>
      </w:r>
    </w:p>
    <w:p w14:paraId="5CEBD72A" w14:textId="77777777" w:rsidR="001F15FE" w:rsidRPr="00920DFF" w:rsidRDefault="001F15FE">
      <w:pPr>
        <w:pStyle w:val="BlockLine"/>
      </w:pPr>
    </w:p>
    <w:tbl>
      <w:tblPr>
        <w:tblW w:w="0" w:type="auto"/>
        <w:tblLayout w:type="fixed"/>
        <w:tblLook w:val="0000" w:firstRow="0" w:lastRow="0" w:firstColumn="0" w:lastColumn="0" w:noHBand="0" w:noVBand="0"/>
      </w:tblPr>
      <w:tblGrid>
        <w:gridCol w:w="1728"/>
        <w:gridCol w:w="7740"/>
      </w:tblGrid>
      <w:tr w:rsidR="001F15FE" w:rsidRPr="00920DFF" w14:paraId="5CEBD72D" w14:textId="3F3D363D">
        <w:trPr>
          <w:cantSplit/>
        </w:trPr>
        <w:tc>
          <w:tcPr>
            <w:tcW w:w="1728" w:type="dxa"/>
          </w:tcPr>
          <w:p w14:paraId="5CEBD72B" w14:textId="27C7402A" w:rsidR="001F15FE" w:rsidRPr="00920DFF" w:rsidRDefault="00C23C37">
            <w:pPr>
              <w:pStyle w:val="Heading5"/>
            </w:pPr>
            <w:r w:rsidRPr="00920DFF">
              <w:t>In T</w:t>
            </w:r>
            <w:r w:rsidR="001F15FE" w:rsidRPr="00920DFF">
              <w:t>his Section</w:t>
            </w:r>
          </w:p>
        </w:tc>
        <w:tc>
          <w:tcPr>
            <w:tcW w:w="7740" w:type="dxa"/>
          </w:tcPr>
          <w:p w14:paraId="5CEBD72C" w14:textId="36DF3DEB" w:rsidR="00AF00CF" w:rsidRPr="00920DFF" w:rsidRDefault="00AF00CF" w:rsidP="005D7C2B">
            <w:pPr>
              <w:pStyle w:val="BlockText"/>
            </w:pPr>
            <w:r w:rsidRPr="00920DFF">
              <w:t>This section contains the following topics</w:t>
            </w:r>
            <w:r w:rsidR="00920DFF">
              <w:t>:</w:t>
            </w:r>
          </w:p>
        </w:tc>
      </w:tr>
    </w:tbl>
    <w:p w14:paraId="29C4DED2" w14:textId="77777777" w:rsidR="005D7C2B" w:rsidRPr="00920DFF" w:rsidRDefault="005D7C2B" w:rsidP="005D7C2B"/>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390"/>
      </w:tblGrid>
      <w:tr w:rsidR="005D7C2B" w:rsidRPr="00920DFF" w14:paraId="058020EF" w14:textId="77777777" w:rsidTr="005D7C2B">
        <w:tc>
          <w:tcPr>
            <w:tcW w:w="1350" w:type="dxa"/>
            <w:shd w:val="clear" w:color="auto" w:fill="auto"/>
          </w:tcPr>
          <w:p w14:paraId="7265834A" w14:textId="00A4DF1B" w:rsidR="005D7C2B" w:rsidRPr="00920DFF" w:rsidRDefault="005D7C2B" w:rsidP="005D7C2B">
            <w:pPr>
              <w:jc w:val="center"/>
              <w:rPr>
                <w:b/>
              </w:rPr>
            </w:pPr>
            <w:r w:rsidRPr="00920DFF">
              <w:rPr>
                <w:b/>
              </w:rPr>
              <w:t>Topic</w:t>
            </w:r>
          </w:p>
        </w:tc>
        <w:tc>
          <w:tcPr>
            <w:tcW w:w="6390" w:type="dxa"/>
            <w:shd w:val="clear" w:color="auto" w:fill="auto"/>
          </w:tcPr>
          <w:p w14:paraId="3B6AA671" w14:textId="500FC6DB" w:rsidR="005D7C2B" w:rsidRPr="00920DFF" w:rsidRDefault="005D7C2B" w:rsidP="00EB2FD8">
            <w:pPr>
              <w:jc w:val="center"/>
              <w:rPr>
                <w:b/>
              </w:rPr>
            </w:pPr>
            <w:r w:rsidRPr="00920DFF">
              <w:rPr>
                <w:b/>
              </w:rPr>
              <w:t>Topic Title</w:t>
            </w:r>
          </w:p>
        </w:tc>
      </w:tr>
      <w:tr w:rsidR="00137CBD" w:rsidRPr="00920DFF" w14:paraId="3DBCA838" w14:textId="77777777" w:rsidTr="005D7C2B">
        <w:tc>
          <w:tcPr>
            <w:tcW w:w="1350" w:type="dxa"/>
            <w:shd w:val="clear" w:color="auto" w:fill="auto"/>
          </w:tcPr>
          <w:p w14:paraId="33048BEC" w14:textId="7176D17D" w:rsidR="00137CBD" w:rsidRPr="00920DFF" w:rsidRDefault="00137CBD" w:rsidP="005D7C2B">
            <w:pPr>
              <w:jc w:val="center"/>
            </w:pPr>
            <w:r w:rsidRPr="00920DFF">
              <w:t>1</w:t>
            </w:r>
          </w:p>
        </w:tc>
        <w:tc>
          <w:tcPr>
            <w:tcW w:w="6390" w:type="dxa"/>
            <w:shd w:val="clear" w:color="auto" w:fill="auto"/>
          </w:tcPr>
          <w:p w14:paraId="50789A1A" w14:textId="7668B2DC" w:rsidR="00137CBD" w:rsidRPr="00920DFF" w:rsidRDefault="00137CBD" w:rsidP="005D7C2B">
            <w:r w:rsidRPr="00920DFF">
              <w:t>Locating Examination Reports</w:t>
            </w:r>
          </w:p>
        </w:tc>
      </w:tr>
      <w:tr w:rsidR="005D7C2B" w:rsidRPr="00920DFF" w14:paraId="3137D241" w14:textId="77777777" w:rsidTr="005D7C2B">
        <w:tc>
          <w:tcPr>
            <w:tcW w:w="1350" w:type="dxa"/>
            <w:shd w:val="clear" w:color="auto" w:fill="auto"/>
          </w:tcPr>
          <w:p w14:paraId="1665E614" w14:textId="290AD08C" w:rsidR="005D7C2B" w:rsidRPr="00920DFF" w:rsidRDefault="00137CBD" w:rsidP="00EB2FD8">
            <w:pPr>
              <w:jc w:val="center"/>
            </w:pPr>
            <w:r w:rsidRPr="00920DFF">
              <w:t>2</w:t>
            </w:r>
            <w:r w:rsidR="005D7C2B" w:rsidRPr="00920DFF">
              <w:t xml:space="preserve"> (old </w:t>
            </w:r>
            <w:r w:rsidR="00DC7C09" w:rsidRPr="00920DFF">
              <w:t>1</w:t>
            </w:r>
            <w:r w:rsidR="005D7C2B" w:rsidRPr="00920DFF">
              <w:t>8)</w:t>
            </w:r>
          </w:p>
        </w:tc>
        <w:tc>
          <w:tcPr>
            <w:tcW w:w="6390" w:type="dxa"/>
            <w:shd w:val="clear" w:color="auto" w:fill="auto"/>
          </w:tcPr>
          <w:p w14:paraId="5E384EE7" w14:textId="6C5F0A84" w:rsidR="005D7C2B" w:rsidRPr="00920DFF" w:rsidRDefault="005D7C2B" w:rsidP="00F47C34">
            <w:r w:rsidRPr="00920DFF">
              <w:t>Examination Report</w:t>
            </w:r>
            <w:r w:rsidR="00F47C34" w:rsidRPr="00920DFF">
              <w:t xml:space="preserve"> Requirements</w:t>
            </w:r>
          </w:p>
        </w:tc>
      </w:tr>
      <w:tr w:rsidR="005D7C2B" w:rsidRPr="00920DFF" w14:paraId="2B1D6ECB" w14:textId="77777777" w:rsidTr="005D7C2B">
        <w:tc>
          <w:tcPr>
            <w:tcW w:w="1350" w:type="dxa"/>
            <w:shd w:val="clear" w:color="auto" w:fill="auto"/>
          </w:tcPr>
          <w:p w14:paraId="34A483C0" w14:textId="740C6DB1" w:rsidR="005D7C2B" w:rsidRPr="00920DFF" w:rsidRDefault="00C115C0" w:rsidP="005D7C2B">
            <w:pPr>
              <w:jc w:val="center"/>
            </w:pPr>
            <w:r w:rsidRPr="00920DFF">
              <w:t>3</w:t>
            </w:r>
          </w:p>
        </w:tc>
        <w:tc>
          <w:tcPr>
            <w:tcW w:w="6390" w:type="dxa"/>
            <w:shd w:val="clear" w:color="auto" w:fill="auto"/>
          </w:tcPr>
          <w:p w14:paraId="265F250F" w14:textId="5DF64599" w:rsidR="005D7C2B" w:rsidRPr="00920DFF" w:rsidRDefault="00764DA6" w:rsidP="005D7C2B">
            <w:r w:rsidRPr="00920DFF">
              <w:t xml:space="preserve">Handling </w:t>
            </w:r>
            <w:r w:rsidR="005D7C2B" w:rsidRPr="00920DFF">
              <w:t>Examinations Insufficient For Rating Purposes</w:t>
            </w:r>
          </w:p>
        </w:tc>
      </w:tr>
      <w:tr w:rsidR="00DC7C09" w:rsidRPr="00920DFF" w14:paraId="0F24D086" w14:textId="77777777" w:rsidTr="005D7C2B">
        <w:tc>
          <w:tcPr>
            <w:tcW w:w="1350" w:type="dxa"/>
            <w:shd w:val="clear" w:color="auto" w:fill="auto"/>
          </w:tcPr>
          <w:p w14:paraId="22293835" w14:textId="73ABA8D5" w:rsidR="00DC7C09" w:rsidRPr="00920DFF" w:rsidRDefault="00C115C0" w:rsidP="005D7C2B">
            <w:pPr>
              <w:jc w:val="center"/>
            </w:pPr>
            <w:r w:rsidRPr="00920DFF">
              <w:t>4</w:t>
            </w:r>
          </w:p>
        </w:tc>
        <w:tc>
          <w:tcPr>
            <w:tcW w:w="6390" w:type="dxa"/>
            <w:shd w:val="clear" w:color="auto" w:fill="auto"/>
          </w:tcPr>
          <w:p w14:paraId="225E1A54" w14:textId="58DF59CF" w:rsidR="00DC7C09" w:rsidRPr="00920DFF" w:rsidRDefault="00CE32FE" w:rsidP="00CE32FE">
            <w:r w:rsidRPr="00920DFF">
              <w:t xml:space="preserve">Reviewing Examination Reports for Rating Criteria </w:t>
            </w:r>
          </w:p>
        </w:tc>
      </w:tr>
    </w:tbl>
    <w:p w14:paraId="626114D9" w14:textId="07C82955" w:rsidR="005D7C2B" w:rsidRPr="00920DFF" w:rsidRDefault="005D7C2B" w:rsidP="005D7C2B">
      <w:pPr>
        <w:tabs>
          <w:tab w:val="left" w:pos="9360"/>
        </w:tabs>
        <w:ind w:left="1714"/>
      </w:pPr>
      <w:r w:rsidRPr="00920DFF">
        <w:rPr>
          <w:u w:val="single"/>
        </w:rPr>
        <w:tab/>
      </w:r>
    </w:p>
    <w:p w14:paraId="24E6592E" w14:textId="33F7EF23" w:rsidR="005D7C2B" w:rsidRPr="00920DFF" w:rsidRDefault="005D7C2B" w:rsidP="005D7C2B">
      <w:pPr>
        <w:ind w:left="1714"/>
      </w:pPr>
    </w:p>
    <w:p w14:paraId="499DD8BF" w14:textId="6390DCB6" w:rsidR="005D7C2B" w:rsidRPr="00920DFF" w:rsidRDefault="005D7C2B">
      <w:r w:rsidRPr="00920DFF">
        <w:br w:type="page"/>
      </w:r>
    </w:p>
    <w:p w14:paraId="477015C6" w14:textId="77777777" w:rsidR="005D7C2B" w:rsidRPr="00920DFF" w:rsidRDefault="005D7C2B" w:rsidP="005D7C2B"/>
    <w:p w14:paraId="6A09342C" w14:textId="2FD38C78" w:rsidR="00C503BF" w:rsidRPr="00920DFF" w:rsidRDefault="00C503BF">
      <w:pPr>
        <w:pStyle w:val="Heading4"/>
      </w:pPr>
      <w:bookmarkStart w:id="0" w:name="_18.__Reviewing"/>
      <w:bookmarkStart w:id="1" w:name="_1.__Locating"/>
      <w:bookmarkEnd w:id="0"/>
      <w:bookmarkEnd w:id="1"/>
      <w:r w:rsidRPr="00920DFF">
        <w:t>1.  Locating Examination Reports</w:t>
      </w:r>
    </w:p>
    <w:p w14:paraId="22FB2590" w14:textId="0EB774DD" w:rsidR="00460E88" w:rsidRPr="00920DFF" w:rsidRDefault="00460E88" w:rsidP="00460E88">
      <w:pPr>
        <w:tabs>
          <w:tab w:val="left" w:pos="9360"/>
        </w:tabs>
        <w:ind w:left="1714"/>
      </w:pPr>
      <w:r w:rsidRPr="00920DFF">
        <w:rPr>
          <w:u w:val="single"/>
        </w:rPr>
        <w:tab/>
      </w:r>
    </w:p>
    <w:p w14:paraId="7EDB05A8" w14:textId="77777777" w:rsidR="00460E88" w:rsidRPr="00920DFF" w:rsidRDefault="00460E88" w:rsidP="00460E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503BF" w:rsidRPr="00920DFF" w14:paraId="031FD232" w14:textId="77777777" w:rsidTr="00C503BF">
        <w:tc>
          <w:tcPr>
            <w:tcW w:w="1728" w:type="dxa"/>
            <w:shd w:val="clear" w:color="auto" w:fill="auto"/>
          </w:tcPr>
          <w:p w14:paraId="0FD13ACA" w14:textId="76CF672E" w:rsidR="00C503BF" w:rsidRPr="00920DFF" w:rsidRDefault="00C503BF" w:rsidP="00C503BF">
            <w:pPr>
              <w:rPr>
                <w:b/>
                <w:sz w:val="22"/>
              </w:rPr>
            </w:pPr>
            <w:r w:rsidRPr="00920DFF">
              <w:rPr>
                <w:b/>
                <w:sz w:val="22"/>
              </w:rPr>
              <w:t>Change Date</w:t>
            </w:r>
          </w:p>
        </w:tc>
        <w:tc>
          <w:tcPr>
            <w:tcW w:w="7740" w:type="dxa"/>
            <w:shd w:val="clear" w:color="auto" w:fill="auto"/>
          </w:tcPr>
          <w:p w14:paraId="68C90709" w14:textId="1FCCE01B" w:rsidR="00C503BF" w:rsidRPr="00920DFF" w:rsidRDefault="00AC79DD" w:rsidP="00C503BF">
            <w:r w:rsidRPr="00920DFF">
              <w:t>July 22, 2015</w:t>
            </w:r>
          </w:p>
        </w:tc>
      </w:tr>
    </w:tbl>
    <w:p w14:paraId="1CA829E3" w14:textId="2749DF7E" w:rsidR="00C503BF" w:rsidRPr="00920DFF" w:rsidRDefault="00C503BF" w:rsidP="00C503BF">
      <w:pPr>
        <w:tabs>
          <w:tab w:val="left" w:pos="9360"/>
        </w:tabs>
        <w:ind w:left="1714"/>
      </w:pPr>
      <w:r w:rsidRPr="00920DFF">
        <w:rPr>
          <w:u w:val="single"/>
        </w:rPr>
        <w:tab/>
      </w:r>
    </w:p>
    <w:p w14:paraId="272CB0A0" w14:textId="2DAF472D" w:rsidR="00C503BF" w:rsidRPr="00920DFF" w:rsidRDefault="00C503BF" w:rsidP="00C503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503BF" w:rsidRPr="00920DFF" w14:paraId="6EC2CDED" w14:textId="77777777" w:rsidTr="00C503BF">
        <w:tc>
          <w:tcPr>
            <w:tcW w:w="1728" w:type="dxa"/>
            <w:shd w:val="clear" w:color="auto" w:fill="auto"/>
          </w:tcPr>
          <w:p w14:paraId="31ACDFB6" w14:textId="21DB11BE" w:rsidR="00C503BF" w:rsidRPr="00920DFF" w:rsidRDefault="00172EC3" w:rsidP="00C503BF">
            <w:pPr>
              <w:rPr>
                <w:b/>
                <w:sz w:val="22"/>
              </w:rPr>
            </w:pPr>
            <w:r w:rsidRPr="00920DFF">
              <w:rPr>
                <w:b/>
                <w:sz w:val="22"/>
              </w:rPr>
              <w:t xml:space="preserve">a.  </w:t>
            </w:r>
            <w:r w:rsidR="00B148A7" w:rsidRPr="00920DFF">
              <w:rPr>
                <w:b/>
                <w:sz w:val="22"/>
              </w:rPr>
              <w:t>Where to F</w:t>
            </w:r>
            <w:r w:rsidR="00C503BF" w:rsidRPr="00920DFF">
              <w:rPr>
                <w:b/>
                <w:sz w:val="22"/>
              </w:rPr>
              <w:t>ind Examination Reports</w:t>
            </w:r>
          </w:p>
        </w:tc>
        <w:tc>
          <w:tcPr>
            <w:tcW w:w="7740" w:type="dxa"/>
            <w:shd w:val="clear" w:color="auto" w:fill="auto"/>
          </w:tcPr>
          <w:p w14:paraId="5B28C54A" w14:textId="5597712A" w:rsidR="00C503BF" w:rsidRPr="00920DFF" w:rsidRDefault="00C503BF" w:rsidP="00C503BF">
            <w:r w:rsidRPr="00920DFF">
              <w:t>Ex</w:t>
            </w:r>
            <w:r w:rsidR="008D346C" w:rsidRPr="00920DFF">
              <w:t>amination reports completed by</w:t>
            </w:r>
            <w:r w:rsidRPr="00920DFF">
              <w:t xml:space="preserve"> </w:t>
            </w:r>
            <w:r w:rsidR="006A52FE" w:rsidRPr="00920DFF">
              <w:t xml:space="preserve">the </w:t>
            </w:r>
            <w:r w:rsidRPr="00920DFF">
              <w:t>Department of Veterans Affairs (VA)</w:t>
            </w:r>
            <w:r w:rsidR="005329A9" w:rsidRPr="00920DFF">
              <w:t xml:space="preserve"> examination facilities</w:t>
            </w:r>
            <w:r w:rsidRPr="00920DFF">
              <w:t xml:space="preserve"> are located in</w:t>
            </w:r>
            <w:r w:rsidR="009C71C6" w:rsidRPr="00920DFF">
              <w:t xml:space="preserve"> </w:t>
            </w:r>
            <w:r w:rsidR="00B61339" w:rsidRPr="00920DFF">
              <w:t xml:space="preserve">the </w:t>
            </w:r>
            <w:r w:rsidR="009C71C6" w:rsidRPr="00920DFF">
              <w:t>Compensation and Pension Record Interchange</w:t>
            </w:r>
            <w:r w:rsidRPr="00920DFF">
              <w:t xml:space="preserve"> </w:t>
            </w:r>
            <w:r w:rsidR="009C71C6" w:rsidRPr="00920DFF">
              <w:t>(</w:t>
            </w:r>
            <w:r w:rsidRPr="00920DFF">
              <w:t>CAPRI</w:t>
            </w:r>
            <w:r w:rsidR="009C71C6" w:rsidRPr="00920DFF">
              <w:t>)</w:t>
            </w:r>
            <w:r w:rsidR="00A65A69" w:rsidRPr="00920DFF">
              <w:t>.  These</w:t>
            </w:r>
            <w:r w:rsidR="004063D3" w:rsidRPr="00920DFF">
              <w:t xml:space="preserve"> are automatically uploaded into</w:t>
            </w:r>
            <w:r w:rsidR="00EB2FD8" w:rsidRPr="00920DFF">
              <w:t xml:space="preserve"> </w:t>
            </w:r>
            <w:r w:rsidR="004063D3" w:rsidRPr="00920DFF">
              <w:t>Veterans Business Management System (VBMS)</w:t>
            </w:r>
            <w:r w:rsidRPr="00920DFF">
              <w:t>.</w:t>
            </w:r>
            <w:r w:rsidR="00AF6797" w:rsidRPr="00920DFF">
              <w:t xml:space="preserve">  Depending on the template used by the examination provider, a few examination reports still</w:t>
            </w:r>
            <w:r w:rsidR="00845218" w:rsidRPr="00920DFF">
              <w:t xml:space="preserve"> get uploaded into Virtual VA, which</w:t>
            </w:r>
            <w:r w:rsidR="00AF6797" w:rsidRPr="00920DFF">
              <w:t xml:space="preserve"> is accessible through VBMS.</w:t>
            </w:r>
          </w:p>
          <w:p w14:paraId="2AE265DE" w14:textId="77777777" w:rsidR="00C503BF" w:rsidRPr="00920DFF" w:rsidRDefault="00C503BF" w:rsidP="00C503BF"/>
          <w:p w14:paraId="4A6AC55F" w14:textId="2DDD4115" w:rsidR="00C503BF" w:rsidRPr="00920DFF" w:rsidRDefault="00C503BF" w:rsidP="00C503BF">
            <w:r w:rsidRPr="00920DFF">
              <w:t xml:space="preserve">Examination reports completed by a VA contract examiner </w:t>
            </w:r>
            <w:r w:rsidR="00EB2FD8" w:rsidRPr="00920DFF">
              <w:t>are</w:t>
            </w:r>
            <w:r w:rsidRPr="00920DFF">
              <w:t xml:space="preserve"> located in </w:t>
            </w:r>
            <w:r w:rsidR="00335E98" w:rsidRPr="00920DFF">
              <w:t xml:space="preserve">either </w:t>
            </w:r>
            <w:r w:rsidR="00A65A69" w:rsidRPr="00920DFF">
              <w:t>VBMS or</w:t>
            </w:r>
            <w:r w:rsidR="00335E98" w:rsidRPr="00920DFF">
              <w:t xml:space="preserve"> </w:t>
            </w:r>
            <w:r w:rsidRPr="00920DFF">
              <w:t>Virtual VA</w:t>
            </w:r>
            <w:r w:rsidR="00A65A69" w:rsidRPr="00920DFF">
              <w:t xml:space="preserve">.  They are also available </w:t>
            </w:r>
            <w:r w:rsidR="00EB2FD8" w:rsidRPr="00920DFF">
              <w:t>in</w:t>
            </w:r>
            <w:r w:rsidR="00A65A69" w:rsidRPr="00920DFF">
              <w:t xml:space="preserve"> </w:t>
            </w:r>
            <w:r w:rsidR="00335E98" w:rsidRPr="00920DFF">
              <w:t>the vendor’s web</w:t>
            </w:r>
            <w:r w:rsidR="00F86351" w:rsidRPr="00920DFF">
              <w:t xml:space="preserve"> </w:t>
            </w:r>
            <w:r w:rsidR="00335E98" w:rsidRPr="00920DFF">
              <w:t>site</w:t>
            </w:r>
            <w:r w:rsidR="007430C9" w:rsidRPr="00920DFF">
              <w:t xml:space="preserve"> as follows</w:t>
            </w:r>
          </w:p>
          <w:p w14:paraId="3701E7C8" w14:textId="77777777" w:rsidR="00C503BF" w:rsidRPr="00920DFF" w:rsidRDefault="00C503BF" w:rsidP="00C503BF"/>
          <w:p w14:paraId="0381FB5B" w14:textId="308736BB" w:rsidR="007430C9" w:rsidRPr="00920DFF" w:rsidRDefault="007430C9" w:rsidP="007633DD">
            <w:pPr>
              <w:pStyle w:val="ListParagraph"/>
              <w:numPr>
                <w:ilvl w:val="0"/>
                <w:numId w:val="75"/>
              </w:numPr>
              <w:ind w:left="158" w:hanging="187"/>
            </w:pPr>
            <w:r w:rsidRPr="00920DFF">
              <w:t>For Quality, Timeliness, Customer (QTC)</w:t>
            </w:r>
            <w:r w:rsidR="00845218" w:rsidRPr="00920DFF">
              <w:t xml:space="preserve"> service</w:t>
            </w:r>
            <w:r w:rsidRPr="00920DFF">
              <w:t xml:space="preserve">, go to  </w:t>
            </w:r>
            <w:hyperlink r:id="rId13" w:history="1">
              <w:r w:rsidRPr="00920DFF">
                <w:rPr>
                  <w:rStyle w:val="Hyperlink"/>
                </w:rPr>
                <w:t>QTC Exam Track</w:t>
              </w:r>
            </w:hyperlink>
          </w:p>
          <w:p w14:paraId="2001561A" w14:textId="21406ABF" w:rsidR="007430C9" w:rsidRPr="00920DFF" w:rsidRDefault="007430C9" w:rsidP="007633DD">
            <w:pPr>
              <w:pStyle w:val="ListParagraph"/>
              <w:numPr>
                <w:ilvl w:val="0"/>
                <w:numId w:val="75"/>
              </w:numPr>
              <w:ind w:left="158" w:hanging="187"/>
            </w:pPr>
            <w:r w:rsidRPr="00920DFF">
              <w:t xml:space="preserve">For Veterans Evaluation Services (VES), go to </w:t>
            </w:r>
            <w:hyperlink r:id="rId14" w:history="1">
              <w:r w:rsidRPr="00920DFF">
                <w:rPr>
                  <w:rStyle w:val="Hyperlink"/>
                </w:rPr>
                <w:t>VES Exams</w:t>
              </w:r>
            </w:hyperlink>
            <w:r w:rsidRPr="00920DFF">
              <w:t>.</w:t>
            </w:r>
          </w:p>
          <w:p w14:paraId="297224F6" w14:textId="77777777" w:rsidR="00A65A69" w:rsidRPr="00920DFF" w:rsidRDefault="00A65A69" w:rsidP="00A65A69"/>
          <w:p w14:paraId="4E5FC22E" w14:textId="48F4FC2E" w:rsidR="00A65A69" w:rsidRPr="00920DFF" w:rsidRDefault="00A65A69" w:rsidP="00A65A69">
            <w:r w:rsidRPr="00920DFF">
              <w:rPr>
                <w:b/>
                <w:i/>
              </w:rPr>
              <w:t>Important</w:t>
            </w:r>
            <w:r w:rsidRPr="00920DFF">
              <w:t>:  Access to vendor web</w:t>
            </w:r>
            <w:r w:rsidR="00F86351" w:rsidRPr="00920DFF">
              <w:t xml:space="preserve"> </w:t>
            </w:r>
            <w:r w:rsidRPr="00920DFF">
              <w:t>sites ha</w:t>
            </w:r>
            <w:r w:rsidR="00291F21" w:rsidRPr="00920DFF">
              <w:t>s</w:t>
            </w:r>
            <w:r w:rsidRPr="00920DFF">
              <w:t xml:space="preserve"> to be requested </w:t>
            </w:r>
            <w:r w:rsidR="00291F21" w:rsidRPr="00920DFF">
              <w:t xml:space="preserve">by Regional Office (RO) management.  A designated RO </w:t>
            </w:r>
            <w:r w:rsidR="00C96220" w:rsidRPr="00920DFF">
              <w:t>c</w:t>
            </w:r>
            <w:r w:rsidR="00291F21" w:rsidRPr="00920DFF">
              <w:t xml:space="preserve">ontract </w:t>
            </w:r>
            <w:r w:rsidR="00C96220" w:rsidRPr="00920DFF">
              <w:t>e</w:t>
            </w:r>
            <w:r w:rsidR="00291F21" w:rsidRPr="00920DFF">
              <w:t xml:space="preserve">xamination </w:t>
            </w:r>
            <w:r w:rsidR="00C96220" w:rsidRPr="00920DFF">
              <w:t>c</w:t>
            </w:r>
            <w:r w:rsidR="00291F21" w:rsidRPr="00920DFF">
              <w:t>oordinator</w:t>
            </w:r>
            <w:r w:rsidR="00C96220" w:rsidRPr="00920DFF">
              <w:t xml:space="preserve"> or liaison</w:t>
            </w:r>
            <w:r w:rsidR="00291F21" w:rsidRPr="00920DFF">
              <w:t xml:space="preserve"> may be assigned to monitor contract examinations.</w:t>
            </w:r>
          </w:p>
          <w:p w14:paraId="2C947833" w14:textId="77777777" w:rsidR="007430C9" w:rsidRPr="00920DFF" w:rsidRDefault="007430C9" w:rsidP="00C503BF"/>
          <w:p w14:paraId="69477CD9" w14:textId="08F47077" w:rsidR="00C75FD8" w:rsidRPr="00920DFF" w:rsidRDefault="00C503BF" w:rsidP="00DB2BB1">
            <w:r w:rsidRPr="00920DFF">
              <w:rPr>
                <w:b/>
                <w:i/>
              </w:rPr>
              <w:t>Note</w:t>
            </w:r>
            <w:r w:rsidR="003E0473" w:rsidRPr="00920DFF">
              <w:rPr>
                <w:b/>
                <w:i/>
              </w:rPr>
              <w:t>s</w:t>
            </w:r>
            <w:r w:rsidR="008423B6" w:rsidRPr="00920DFF">
              <w:t>:</w:t>
            </w:r>
          </w:p>
          <w:p w14:paraId="683A3E7C" w14:textId="350A87B5" w:rsidR="003E0473" w:rsidRPr="00920DFF" w:rsidRDefault="003E0473" w:rsidP="007633DD">
            <w:pPr>
              <w:pStyle w:val="ListParagraph"/>
              <w:numPr>
                <w:ilvl w:val="0"/>
                <w:numId w:val="85"/>
              </w:numPr>
              <w:ind w:left="158" w:hanging="187"/>
            </w:pPr>
            <w:r w:rsidRPr="00920DFF">
              <w:t xml:space="preserve">Examinations contracted by the Veterans Health Administration (VHA) are located in a specific SharePoint site for VHA contracted C&amp;P disability examinations.  </w:t>
            </w:r>
            <w:r w:rsidR="007A089D" w:rsidRPr="00920DFF">
              <w:t>Due to limited access, e</w:t>
            </w:r>
            <w:r w:rsidRPr="00920DFF">
              <w:t xml:space="preserve">ach RO has designated individuals </w:t>
            </w:r>
            <w:r w:rsidR="002651C9" w:rsidRPr="00920DFF">
              <w:t>with</w:t>
            </w:r>
            <w:r w:rsidRPr="00920DFF">
              <w:t xml:space="preserve"> access to the site.</w:t>
            </w:r>
          </w:p>
          <w:p w14:paraId="500F1C70" w14:textId="46CC6DCB" w:rsidR="00C75FD8" w:rsidRPr="00920DFF" w:rsidRDefault="004E1DCC" w:rsidP="007633DD">
            <w:pPr>
              <w:pStyle w:val="ListParagraph"/>
              <w:numPr>
                <w:ilvl w:val="0"/>
                <w:numId w:val="60"/>
              </w:numPr>
              <w:ind w:left="158" w:hanging="187"/>
            </w:pPr>
            <w:r w:rsidRPr="00920DFF">
              <w:t>Print examination reports on yellow paper when processing claims in the paper environment.</w:t>
            </w:r>
          </w:p>
        </w:tc>
      </w:tr>
    </w:tbl>
    <w:p w14:paraId="7D07C220" w14:textId="15A192D7" w:rsidR="00C503BF" w:rsidRPr="00920DFF" w:rsidRDefault="00B46E0B" w:rsidP="00B46E0B">
      <w:pPr>
        <w:tabs>
          <w:tab w:val="left" w:pos="9360"/>
        </w:tabs>
        <w:ind w:left="1714"/>
      </w:pPr>
      <w:r w:rsidRPr="00920DFF">
        <w:rPr>
          <w:u w:val="single"/>
        </w:rPr>
        <w:tab/>
      </w:r>
    </w:p>
    <w:p w14:paraId="728AFC79" w14:textId="59049AE7" w:rsidR="00B46E0B" w:rsidRPr="00920DFF" w:rsidRDefault="00B46E0B" w:rsidP="00B46E0B">
      <w:pPr>
        <w:ind w:left="1714"/>
      </w:pPr>
    </w:p>
    <w:p w14:paraId="34CBEA62" w14:textId="37FC422A" w:rsidR="00B46E0B" w:rsidRPr="00920DFF" w:rsidRDefault="00B46E0B">
      <w:r w:rsidRPr="00920DFF">
        <w:br w:type="page"/>
      </w:r>
    </w:p>
    <w:p w14:paraId="6383264A" w14:textId="77777777" w:rsidR="00C503BF" w:rsidRPr="00920DFF" w:rsidRDefault="00C503BF" w:rsidP="00C503BF"/>
    <w:p w14:paraId="3374FBE9" w14:textId="14DC66A5" w:rsidR="00460E88" w:rsidRPr="00920DFF" w:rsidRDefault="00137CBD">
      <w:pPr>
        <w:pStyle w:val="Heading4"/>
        <w:rPr>
          <w:b w:val="0"/>
        </w:rPr>
      </w:pPr>
      <w:bookmarkStart w:id="2" w:name="_2.__Examination"/>
      <w:bookmarkEnd w:id="2"/>
      <w:r w:rsidRPr="00920DFF">
        <w:t>2</w:t>
      </w:r>
      <w:r w:rsidR="001F15FE" w:rsidRPr="00920DFF">
        <w:t>.  Examination Report</w:t>
      </w:r>
      <w:r w:rsidR="00F47C34" w:rsidRPr="00920DFF">
        <w:t xml:space="preserve"> Requirements</w:t>
      </w:r>
    </w:p>
    <w:p w14:paraId="20D496AB" w14:textId="2C6E33DE" w:rsidR="00460E88" w:rsidRPr="00920DFF" w:rsidRDefault="00460E88" w:rsidP="00460E88">
      <w:pPr>
        <w:pStyle w:val="Heading4"/>
        <w:tabs>
          <w:tab w:val="left" w:pos="9360"/>
        </w:tabs>
        <w:ind w:left="1714"/>
        <w:rPr>
          <w:rFonts w:ascii="Times New Roman" w:hAnsi="Times New Roman" w:cs="Times New Roman"/>
          <w:b w:val="0"/>
          <w:sz w:val="24"/>
        </w:rPr>
      </w:pPr>
      <w:r w:rsidRPr="00920DFF">
        <w:rPr>
          <w:rFonts w:ascii="Times New Roman" w:hAnsi="Times New Roman" w:cs="Times New Roman"/>
          <w:b w:val="0"/>
          <w:sz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A40B6" w:rsidRPr="00920DFF" w14:paraId="2B57391E" w14:textId="77777777" w:rsidTr="00530C06">
        <w:tc>
          <w:tcPr>
            <w:tcW w:w="1728" w:type="dxa"/>
            <w:shd w:val="clear" w:color="auto" w:fill="auto"/>
          </w:tcPr>
          <w:p w14:paraId="11837F28" w14:textId="77777777" w:rsidR="004A40B6" w:rsidRPr="00920DFF" w:rsidRDefault="004A40B6" w:rsidP="00530C06">
            <w:pPr>
              <w:pStyle w:val="Heading5"/>
            </w:pPr>
            <w:r w:rsidRPr="00920DFF">
              <w:t>Introduction</w:t>
            </w:r>
          </w:p>
        </w:tc>
        <w:tc>
          <w:tcPr>
            <w:tcW w:w="7740" w:type="dxa"/>
            <w:shd w:val="clear" w:color="auto" w:fill="auto"/>
          </w:tcPr>
          <w:p w14:paraId="7CB1D5D5" w14:textId="77777777" w:rsidR="004A40B6" w:rsidRPr="00920DFF" w:rsidRDefault="004A40B6" w:rsidP="00530C06">
            <w:r w:rsidRPr="00920DFF">
              <w:t>This topic contains information about reviewing examination reports, including</w:t>
            </w:r>
          </w:p>
          <w:p w14:paraId="3EAE4A8A" w14:textId="3E391424" w:rsidR="004A40B6" w:rsidRPr="00920DFF" w:rsidRDefault="004A40B6" w:rsidP="004A40B6"/>
          <w:p w14:paraId="3F6E634E" w14:textId="63EAE516" w:rsidR="004A40B6" w:rsidRPr="00920DFF" w:rsidRDefault="00C16186" w:rsidP="007633DD">
            <w:pPr>
              <w:pStyle w:val="ListParagraph"/>
              <w:numPr>
                <w:ilvl w:val="0"/>
                <w:numId w:val="7"/>
              </w:numPr>
              <w:ind w:left="158" w:hanging="187"/>
            </w:pPr>
            <w:r w:rsidRPr="00920DFF">
              <w:t>who must sign examination reports</w:t>
            </w:r>
          </w:p>
          <w:p w14:paraId="08E472A4" w14:textId="2486DC4C" w:rsidR="004A40B6" w:rsidRPr="00920DFF" w:rsidRDefault="00C16186" w:rsidP="007633DD">
            <w:pPr>
              <w:pStyle w:val="ListParagraph"/>
              <w:numPr>
                <w:ilvl w:val="0"/>
                <w:numId w:val="7"/>
              </w:numPr>
              <w:ind w:left="158" w:hanging="187"/>
            </w:pPr>
            <w:r w:rsidRPr="00920DFF">
              <w:t>ensuring examiners are qualified</w:t>
            </w:r>
          </w:p>
          <w:p w14:paraId="3F0EC61C" w14:textId="1BDDB6C1" w:rsidR="004A40B6" w:rsidRPr="00920DFF" w:rsidRDefault="00C16186" w:rsidP="007633DD">
            <w:pPr>
              <w:pStyle w:val="ListParagraph"/>
              <w:numPr>
                <w:ilvl w:val="0"/>
                <w:numId w:val="7"/>
              </w:numPr>
              <w:ind w:left="158" w:hanging="187"/>
            </w:pPr>
            <w:r w:rsidRPr="00920DFF">
              <w:t>telehealth examinations</w:t>
            </w:r>
          </w:p>
          <w:p w14:paraId="34D2F36B" w14:textId="39CFF770" w:rsidR="004A40B6" w:rsidRPr="00920DFF" w:rsidRDefault="00A30738" w:rsidP="007633DD">
            <w:pPr>
              <w:pStyle w:val="ListParagraph"/>
              <w:numPr>
                <w:ilvl w:val="0"/>
                <w:numId w:val="30"/>
              </w:numPr>
              <w:ind w:left="158" w:hanging="187"/>
            </w:pPr>
            <w:r w:rsidRPr="00920DFF">
              <w:t>Disability</w:t>
            </w:r>
            <w:r w:rsidR="00C16186" w:rsidRPr="00920DFF">
              <w:t xml:space="preserve"> Benefits Questionnaires (DBQs) completed by VA or non-VA health care providers</w:t>
            </w:r>
          </w:p>
          <w:p w14:paraId="1BD12225" w14:textId="6B962F70" w:rsidR="004A40B6" w:rsidRPr="00920DFF" w:rsidRDefault="00C16186" w:rsidP="007633DD">
            <w:pPr>
              <w:pStyle w:val="ListParagraph"/>
              <w:numPr>
                <w:ilvl w:val="0"/>
                <w:numId w:val="7"/>
              </w:numPr>
              <w:ind w:left="158" w:hanging="187"/>
            </w:pPr>
            <w:r w:rsidRPr="00920DFF">
              <w:t>DBQs completed by Veterans who are physicians/health care providers</w:t>
            </w:r>
          </w:p>
          <w:p w14:paraId="4117A9DA" w14:textId="7A545B93" w:rsidR="004A40B6" w:rsidRPr="00920DFF" w:rsidRDefault="00A54AF4" w:rsidP="007633DD">
            <w:pPr>
              <w:pStyle w:val="ListParagraph"/>
              <w:numPr>
                <w:ilvl w:val="0"/>
                <w:numId w:val="7"/>
              </w:numPr>
              <w:ind w:left="158" w:hanging="187"/>
            </w:pPr>
            <w:r w:rsidRPr="00920DFF">
              <w:t>qualification requirements of examiners – initial mental disorder examinations</w:t>
            </w:r>
          </w:p>
          <w:p w14:paraId="43DBE3D1" w14:textId="591F2A82" w:rsidR="004A40B6" w:rsidRPr="00920DFF" w:rsidRDefault="00A54AF4" w:rsidP="007633DD">
            <w:pPr>
              <w:pStyle w:val="ListParagraph"/>
              <w:numPr>
                <w:ilvl w:val="0"/>
                <w:numId w:val="7"/>
              </w:numPr>
              <w:ind w:left="158" w:hanging="187"/>
            </w:pPr>
            <w:r w:rsidRPr="00920DFF">
              <w:t>qualification requirements of examiners – review or increased evaluation mental disorder examinations</w:t>
            </w:r>
          </w:p>
          <w:p w14:paraId="65BF97AC" w14:textId="74BBF436" w:rsidR="004A40B6" w:rsidRPr="00920DFF" w:rsidRDefault="00A54AF4" w:rsidP="007633DD">
            <w:pPr>
              <w:pStyle w:val="ListParagraph"/>
              <w:numPr>
                <w:ilvl w:val="0"/>
                <w:numId w:val="7"/>
              </w:numPr>
              <w:ind w:left="158" w:hanging="187"/>
            </w:pPr>
            <w:r w:rsidRPr="00920DFF">
              <w:t>qualification requirements of examiners – Traumatic Brain Injury (TBI) examinations</w:t>
            </w:r>
          </w:p>
          <w:p w14:paraId="022A9E05" w14:textId="417B024C" w:rsidR="004A40B6" w:rsidRPr="00920DFF" w:rsidRDefault="00A54AF4" w:rsidP="007633DD">
            <w:pPr>
              <w:pStyle w:val="ListParagraph"/>
              <w:numPr>
                <w:ilvl w:val="0"/>
                <w:numId w:val="7"/>
              </w:numPr>
              <w:ind w:left="158" w:hanging="187"/>
            </w:pPr>
            <w:r w:rsidRPr="00920DFF">
              <w:t xml:space="preserve"> qualification requirements of examiners – hearing loss and tinnitus</w:t>
            </w:r>
          </w:p>
          <w:p w14:paraId="0CFF3EE2" w14:textId="60E01B51" w:rsidR="00AF6797" w:rsidRPr="00920DFF" w:rsidRDefault="00A54AF4" w:rsidP="007633DD">
            <w:pPr>
              <w:pStyle w:val="ListParagraph"/>
              <w:numPr>
                <w:ilvl w:val="0"/>
                <w:numId w:val="7"/>
              </w:numPr>
              <w:ind w:left="158" w:hanging="187"/>
            </w:pPr>
            <w:r w:rsidRPr="00920DFF">
              <w:t>requirements  for examination reports</w:t>
            </w:r>
          </w:p>
          <w:p w14:paraId="79822B6B" w14:textId="1598D32D" w:rsidR="004A40B6" w:rsidRPr="00920DFF" w:rsidRDefault="00356A9B" w:rsidP="007633DD">
            <w:pPr>
              <w:pStyle w:val="ListParagraph"/>
              <w:numPr>
                <w:ilvl w:val="0"/>
                <w:numId w:val="7"/>
              </w:numPr>
              <w:ind w:left="158" w:hanging="187"/>
            </w:pPr>
            <w:r w:rsidRPr="00920DFF">
              <w:t>requirements for Acceptable Clinical Evidence (ACE) examination reports</w:t>
            </w:r>
          </w:p>
          <w:p w14:paraId="11C8A11C" w14:textId="5ACA5523" w:rsidR="004A40B6" w:rsidRPr="00920DFF" w:rsidRDefault="00356A9B" w:rsidP="007633DD">
            <w:pPr>
              <w:pStyle w:val="ListParagraph"/>
              <w:numPr>
                <w:ilvl w:val="0"/>
                <w:numId w:val="7"/>
              </w:numPr>
              <w:ind w:left="158" w:hanging="187"/>
            </w:pPr>
            <w:r w:rsidRPr="00920DFF">
              <w:t>evaluating disability diagnoses</w:t>
            </w:r>
          </w:p>
          <w:p w14:paraId="68B45779" w14:textId="28F3AE1C" w:rsidR="00AF6797" w:rsidRPr="00920DFF" w:rsidRDefault="00AF6797" w:rsidP="007633DD">
            <w:pPr>
              <w:pStyle w:val="ListParagraph"/>
              <w:numPr>
                <w:ilvl w:val="0"/>
                <w:numId w:val="7"/>
              </w:numPr>
              <w:ind w:left="158" w:hanging="187"/>
            </w:pPr>
            <w:r w:rsidRPr="00920DFF">
              <w:t>questions about competency and/or validity of examinations</w:t>
            </w:r>
          </w:p>
          <w:p w14:paraId="58D95E9A" w14:textId="1084E36C" w:rsidR="004A40B6" w:rsidRPr="00920DFF" w:rsidRDefault="00356A9B" w:rsidP="007633DD">
            <w:pPr>
              <w:pStyle w:val="ListParagraph"/>
              <w:numPr>
                <w:ilvl w:val="0"/>
                <w:numId w:val="7"/>
              </w:numPr>
              <w:ind w:left="158" w:hanging="187"/>
            </w:pPr>
            <w:r w:rsidRPr="00920DFF">
              <w:t>handling unusual cases</w:t>
            </w:r>
          </w:p>
          <w:p w14:paraId="79C08330" w14:textId="77777777" w:rsidR="005175CD" w:rsidRPr="00920DFF" w:rsidRDefault="00356A9B" w:rsidP="007633DD">
            <w:pPr>
              <w:pStyle w:val="ListParagraph"/>
              <w:numPr>
                <w:ilvl w:val="0"/>
                <w:numId w:val="7"/>
              </w:numPr>
              <w:ind w:left="158" w:hanging="187"/>
            </w:pPr>
            <w:r w:rsidRPr="00920DFF">
              <w:t>accepting a fee-based examiner’s report</w:t>
            </w:r>
            <w:r w:rsidR="005175CD" w:rsidRPr="00920DFF">
              <w:t>, and</w:t>
            </w:r>
          </w:p>
          <w:p w14:paraId="260F12F6" w14:textId="0E0F5A7E" w:rsidR="004A40B6" w:rsidRPr="00920DFF" w:rsidRDefault="005175CD" w:rsidP="007633DD">
            <w:pPr>
              <w:pStyle w:val="ListParagraph"/>
              <w:numPr>
                <w:ilvl w:val="0"/>
                <w:numId w:val="7"/>
              </w:numPr>
              <w:ind w:left="158" w:hanging="187"/>
            </w:pPr>
            <w:r w:rsidRPr="00920DFF">
              <w:t>examiner statements that an opinion would be speculative</w:t>
            </w:r>
            <w:r w:rsidR="004A40B6" w:rsidRPr="00920DFF">
              <w:t>.</w:t>
            </w:r>
          </w:p>
        </w:tc>
      </w:tr>
    </w:tbl>
    <w:p w14:paraId="5CEBD743" w14:textId="4F24AA34" w:rsidR="001F15FE" w:rsidRPr="00920DFF" w:rsidRDefault="001F15FE">
      <w:pPr>
        <w:pStyle w:val="BlockLine"/>
      </w:pPr>
    </w:p>
    <w:tbl>
      <w:tblPr>
        <w:tblW w:w="0" w:type="auto"/>
        <w:tblLayout w:type="fixed"/>
        <w:tblLook w:val="0000" w:firstRow="0" w:lastRow="0" w:firstColumn="0" w:lastColumn="0" w:noHBand="0" w:noVBand="0"/>
      </w:tblPr>
      <w:tblGrid>
        <w:gridCol w:w="1728"/>
        <w:gridCol w:w="7740"/>
      </w:tblGrid>
      <w:tr w:rsidR="001F15FE" w:rsidRPr="00920DFF" w14:paraId="5CEBD746" w14:textId="77777777">
        <w:trPr>
          <w:cantSplit/>
        </w:trPr>
        <w:tc>
          <w:tcPr>
            <w:tcW w:w="1728" w:type="dxa"/>
          </w:tcPr>
          <w:p w14:paraId="5CEBD744" w14:textId="77777777" w:rsidR="001F15FE" w:rsidRPr="00920DFF" w:rsidRDefault="001F15FE">
            <w:pPr>
              <w:pStyle w:val="Heading5"/>
            </w:pPr>
            <w:r w:rsidRPr="00920DFF">
              <w:t>Change Date</w:t>
            </w:r>
          </w:p>
        </w:tc>
        <w:tc>
          <w:tcPr>
            <w:tcW w:w="7740" w:type="dxa"/>
          </w:tcPr>
          <w:p w14:paraId="5CEBD745" w14:textId="549326C8" w:rsidR="001F15FE" w:rsidRPr="00920DFF" w:rsidRDefault="00AC79DD">
            <w:pPr>
              <w:pStyle w:val="BlockText"/>
            </w:pPr>
            <w:r w:rsidRPr="00920DFF">
              <w:t>July 22, 2015</w:t>
            </w:r>
          </w:p>
        </w:tc>
      </w:tr>
    </w:tbl>
    <w:p w14:paraId="5CEBD747" w14:textId="77777777" w:rsidR="001F15FE" w:rsidRPr="00920DFF" w:rsidRDefault="0014508B">
      <w:pPr>
        <w:pStyle w:val="BlockLine"/>
      </w:pPr>
      <w:r w:rsidRPr="00920DFF">
        <w:fldChar w:fldCharType="begin"/>
      </w:r>
      <w:r w:rsidRPr="00920DFF">
        <w:instrText xml:space="preserve"> PRIVATE INFOTYPE="PRINCIPLE" </w:instrText>
      </w:r>
      <w:r w:rsidRPr="00920DFF">
        <w:fldChar w:fldCharType="end"/>
      </w:r>
    </w:p>
    <w:tbl>
      <w:tblPr>
        <w:tblW w:w="0" w:type="auto"/>
        <w:tblLayout w:type="fixed"/>
        <w:tblLook w:val="0000" w:firstRow="0" w:lastRow="0" w:firstColumn="0" w:lastColumn="0" w:noHBand="0" w:noVBand="0"/>
      </w:tblPr>
      <w:tblGrid>
        <w:gridCol w:w="1728"/>
        <w:gridCol w:w="7740"/>
      </w:tblGrid>
      <w:tr w:rsidR="001F15FE" w:rsidRPr="00920DFF" w14:paraId="5CEBD752" w14:textId="77777777" w:rsidTr="004E5168">
        <w:tc>
          <w:tcPr>
            <w:tcW w:w="1728" w:type="dxa"/>
          </w:tcPr>
          <w:p w14:paraId="5CEBD748" w14:textId="77777777" w:rsidR="001F15FE" w:rsidRPr="00920DFF" w:rsidRDefault="001F15FE">
            <w:pPr>
              <w:pStyle w:val="Heading5"/>
            </w:pPr>
            <w:bookmarkStart w:id="3" w:name="_a.__Who"/>
            <w:bookmarkEnd w:id="3"/>
            <w:r w:rsidRPr="00920DFF">
              <w:t xml:space="preserve">a.  </w:t>
            </w:r>
            <w:bookmarkStart w:id="4" w:name="a"/>
            <w:r w:rsidRPr="00920DFF">
              <w:t>Who Must Sign Examination Reports</w:t>
            </w:r>
            <w:bookmarkEnd w:id="4"/>
          </w:p>
        </w:tc>
        <w:tc>
          <w:tcPr>
            <w:tcW w:w="7740" w:type="dxa"/>
          </w:tcPr>
          <w:p w14:paraId="5CEBD749" w14:textId="1592633C" w:rsidR="00936AE0" w:rsidRPr="00920DFF" w:rsidRDefault="00936AE0" w:rsidP="00DB45FA">
            <w:r w:rsidRPr="00920DFF">
              <w:t xml:space="preserve">All examination </w:t>
            </w:r>
            <w:proofErr w:type="gramStart"/>
            <w:r w:rsidRPr="00920DFF">
              <w:t>reports</w:t>
            </w:r>
            <w:r w:rsidR="00574227" w:rsidRPr="00920DFF">
              <w:t xml:space="preserve"> </w:t>
            </w:r>
            <w:r w:rsidRPr="00920DFF">
              <w:t xml:space="preserve"> </w:t>
            </w:r>
            <w:r w:rsidRPr="00920DFF">
              <w:rPr>
                <w:i/>
              </w:rPr>
              <w:t>must</w:t>
            </w:r>
            <w:proofErr w:type="gramEnd"/>
            <w:r w:rsidRPr="00920DFF">
              <w:t xml:space="preserve"> be signed by </w:t>
            </w:r>
            <w:r w:rsidR="00DB45FA" w:rsidRPr="00920DFF">
              <w:t xml:space="preserve">the examining </w:t>
            </w:r>
            <w:r w:rsidR="00AB1521" w:rsidRPr="00920DFF">
              <w:t>health care provider</w:t>
            </w:r>
            <w:r w:rsidR="00DB45FA" w:rsidRPr="00920DFF">
              <w:t>.</w:t>
            </w:r>
            <w:r w:rsidRPr="00920DFF">
              <w:t xml:space="preserve"> </w:t>
            </w:r>
          </w:p>
          <w:p w14:paraId="099EC380" w14:textId="77777777" w:rsidR="00645FF2" w:rsidRPr="00920DFF" w:rsidRDefault="00645FF2" w:rsidP="00DB45FA"/>
          <w:p w14:paraId="5CEBD751" w14:textId="1F5545E7" w:rsidR="001F15FE" w:rsidRPr="00920DFF" w:rsidRDefault="00756ECF" w:rsidP="001020F1">
            <w:pPr>
              <w:pStyle w:val="BulletText1"/>
              <w:numPr>
                <w:ilvl w:val="0"/>
                <w:numId w:val="0"/>
              </w:numPr>
            </w:pPr>
            <w:r w:rsidRPr="00920DFF">
              <w:rPr>
                <w:b/>
                <w:i/>
              </w:rPr>
              <w:t>Note</w:t>
            </w:r>
            <w:r w:rsidR="003E0473" w:rsidRPr="00920DFF">
              <w:t xml:space="preserve">:  </w:t>
            </w:r>
            <w:r w:rsidR="00936AE0" w:rsidRPr="00920DFF">
              <w:t xml:space="preserve">Examination reports transmitted </w:t>
            </w:r>
            <w:r w:rsidR="00EB02F7" w:rsidRPr="00920DFF">
              <w:t xml:space="preserve">electronically by either the </w:t>
            </w:r>
            <w:r w:rsidR="00936AE0" w:rsidRPr="00920DFF">
              <w:t xml:space="preserve">VA medical center or </w:t>
            </w:r>
            <w:r w:rsidR="00EB02F7" w:rsidRPr="00920DFF">
              <w:t xml:space="preserve">by a </w:t>
            </w:r>
            <w:r w:rsidR="00936AE0" w:rsidRPr="00920DFF">
              <w:t>contract examination</w:t>
            </w:r>
            <w:r w:rsidR="00EB02F7" w:rsidRPr="00920DFF">
              <w:t xml:space="preserve"> provider</w:t>
            </w:r>
            <w:r w:rsidR="00936AE0" w:rsidRPr="00920DFF">
              <w:t xml:space="preserve"> </w:t>
            </w:r>
            <w:r w:rsidRPr="00920DFF">
              <w:t>must be digitally-signed.</w:t>
            </w:r>
            <w:r w:rsidR="00936AE0" w:rsidRPr="00920DFF">
              <w:t xml:space="preserve"> </w:t>
            </w:r>
          </w:p>
        </w:tc>
      </w:tr>
    </w:tbl>
    <w:p w14:paraId="5CEBD755" w14:textId="77777777" w:rsidR="001F15FE" w:rsidRPr="00920DFF" w:rsidRDefault="0014508B">
      <w:pPr>
        <w:pStyle w:val="BlockLine"/>
      </w:pPr>
      <w:r w:rsidRPr="00920DFF">
        <w:fldChar w:fldCharType="begin"/>
      </w:r>
      <w:r w:rsidRPr="00920DFF">
        <w:instrText xml:space="preserve"> PRIVATE INFOTYPE="PRINCIPLE" </w:instrText>
      </w:r>
      <w:r w:rsidRPr="00920DFF">
        <w:fldChar w:fldCharType="end"/>
      </w:r>
      <w:r w:rsidR="001F15FE" w:rsidRPr="00920DFF">
        <w:t xml:space="preserve"> </w:t>
      </w:r>
    </w:p>
    <w:tbl>
      <w:tblPr>
        <w:tblW w:w="0" w:type="auto"/>
        <w:tblLayout w:type="fixed"/>
        <w:tblLook w:val="0000" w:firstRow="0" w:lastRow="0" w:firstColumn="0" w:lastColumn="0" w:noHBand="0" w:noVBand="0"/>
      </w:tblPr>
      <w:tblGrid>
        <w:gridCol w:w="1728"/>
        <w:gridCol w:w="7740"/>
      </w:tblGrid>
      <w:tr w:rsidR="001F15FE" w:rsidRPr="00920DFF" w14:paraId="5CEBD75C" w14:textId="77777777" w:rsidTr="004E5168">
        <w:tc>
          <w:tcPr>
            <w:tcW w:w="1728" w:type="dxa"/>
          </w:tcPr>
          <w:p w14:paraId="5CEBD756" w14:textId="77777777" w:rsidR="001F15FE" w:rsidRPr="00920DFF" w:rsidRDefault="001F15FE">
            <w:pPr>
              <w:pStyle w:val="Heading5"/>
            </w:pPr>
            <w:bookmarkStart w:id="5" w:name="_b.__Ensuring"/>
            <w:bookmarkEnd w:id="5"/>
            <w:r w:rsidRPr="00920DFF">
              <w:t>b</w:t>
            </w:r>
            <w:bookmarkStart w:id="6" w:name="b"/>
            <w:r w:rsidRPr="00920DFF">
              <w:t>.  Ensuring Examiners Are Qualified</w:t>
            </w:r>
            <w:bookmarkEnd w:id="6"/>
          </w:p>
        </w:tc>
        <w:tc>
          <w:tcPr>
            <w:tcW w:w="7740" w:type="dxa"/>
          </w:tcPr>
          <w:p w14:paraId="5CEBD757" w14:textId="77777777" w:rsidR="001F15FE" w:rsidRPr="00920DFF" w:rsidRDefault="001F15FE">
            <w:pPr>
              <w:pStyle w:val="BlockText"/>
            </w:pPr>
            <w:r w:rsidRPr="00920DFF">
              <w:t>VA medical facilities (or the medical examination contractor) are responsible for ensuring that examiners are adequately qualified.</w:t>
            </w:r>
          </w:p>
          <w:p w14:paraId="5CEBD758" w14:textId="77777777" w:rsidR="001F15FE" w:rsidRPr="00920DFF" w:rsidRDefault="001F15FE">
            <w:pPr>
              <w:pStyle w:val="BlockText"/>
            </w:pPr>
          </w:p>
          <w:p w14:paraId="5CEBD759" w14:textId="0E809CF7" w:rsidR="001F15FE" w:rsidRPr="00920DFF" w:rsidRDefault="001F15FE">
            <w:pPr>
              <w:pStyle w:val="BlockText"/>
            </w:pPr>
            <w:r w:rsidRPr="00920DFF">
              <w:t xml:space="preserve">Veterans Service Center (VSC) employees are </w:t>
            </w:r>
            <w:r w:rsidRPr="00920DFF">
              <w:rPr>
                <w:i/>
              </w:rPr>
              <w:t>not</w:t>
            </w:r>
            <w:r w:rsidRPr="00920DFF">
              <w:t xml:space="preserve"> expected to routinely review the credentials of clinical personnel to determine the acceptability of their reports</w:t>
            </w:r>
            <w:r w:rsidR="00E927C9" w:rsidRPr="00920DFF">
              <w:t>, unless there is contradictory evidence of record.</w:t>
            </w:r>
          </w:p>
          <w:p w14:paraId="780282DC" w14:textId="77777777" w:rsidR="00874172" w:rsidRPr="00920DFF" w:rsidRDefault="00874172">
            <w:pPr>
              <w:pStyle w:val="BlockText"/>
            </w:pPr>
          </w:p>
          <w:p w14:paraId="378BBA24" w14:textId="72DA42E4" w:rsidR="001F15FE" w:rsidRPr="00920DFF" w:rsidRDefault="001F15FE" w:rsidP="006656B4">
            <w:pPr>
              <w:pStyle w:val="BlockText"/>
            </w:pPr>
            <w:r w:rsidRPr="00920DFF">
              <w:t xml:space="preserve">The </w:t>
            </w:r>
            <w:r w:rsidR="00B07E6A" w:rsidRPr="00920DFF">
              <w:t>examination provider</w:t>
            </w:r>
            <w:r w:rsidR="006656B4" w:rsidRPr="00920DFF">
              <w:t>'s certification and signature block on</w:t>
            </w:r>
            <w:r w:rsidRPr="00920DFF">
              <w:t xml:space="preserve"> </w:t>
            </w:r>
            <w:r w:rsidR="006656B4" w:rsidRPr="00920DFF">
              <w:t xml:space="preserve">the </w:t>
            </w:r>
            <w:r w:rsidR="00B6180C" w:rsidRPr="00920DFF">
              <w:t>Disability Benefits Questionnaire (</w:t>
            </w:r>
            <w:r w:rsidR="006656B4" w:rsidRPr="00920DFF">
              <w:t>DBQ</w:t>
            </w:r>
            <w:r w:rsidR="00B6180C" w:rsidRPr="00920DFF">
              <w:t>)</w:t>
            </w:r>
            <w:r w:rsidR="006656B4" w:rsidRPr="00920DFF">
              <w:t xml:space="preserve"> or </w:t>
            </w:r>
            <w:r w:rsidRPr="00920DFF">
              <w:t xml:space="preserve">examination report </w:t>
            </w:r>
            <w:r w:rsidR="006656B4" w:rsidRPr="00920DFF">
              <w:t xml:space="preserve">received from a health care provider </w:t>
            </w:r>
            <w:r w:rsidR="00B02D7A" w:rsidRPr="00920DFF">
              <w:t>must contain the following</w:t>
            </w:r>
            <w:r w:rsidRPr="00920DFF">
              <w:t xml:space="preserve"> </w:t>
            </w:r>
          </w:p>
          <w:p w14:paraId="0AAD8322" w14:textId="7C26DE6D" w:rsidR="006656B4" w:rsidRPr="00920DFF" w:rsidRDefault="006656B4" w:rsidP="007633DD">
            <w:pPr>
              <w:pStyle w:val="ListParagraph"/>
              <w:numPr>
                <w:ilvl w:val="0"/>
                <w:numId w:val="62"/>
              </w:numPr>
              <w:ind w:left="158" w:hanging="187"/>
            </w:pPr>
            <w:r w:rsidRPr="00920DFF">
              <w:t>signature</w:t>
            </w:r>
          </w:p>
          <w:p w14:paraId="3343149A" w14:textId="5EB2242E" w:rsidR="00B07E6A" w:rsidRPr="00920DFF" w:rsidRDefault="006656B4" w:rsidP="007633DD">
            <w:pPr>
              <w:pStyle w:val="ListParagraph"/>
              <w:numPr>
                <w:ilvl w:val="0"/>
                <w:numId w:val="62"/>
              </w:numPr>
              <w:ind w:left="158" w:hanging="187"/>
            </w:pPr>
            <w:r w:rsidRPr="00920DFF">
              <w:t>printed name</w:t>
            </w:r>
            <w:r w:rsidR="000F6DAD" w:rsidRPr="00920DFF">
              <w:t xml:space="preserve"> and</w:t>
            </w:r>
            <w:r w:rsidR="00B07E6A" w:rsidRPr="00920DFF">
              <w:t xml:space="preserve"> credential</w:t>
            </w:r>
            <w:r w:rsidR="0025320A" w:rsidRPr="00920DFF">
              <w:t>s</w:t>
            </w:r>
          </w:p>
          <w:p w14:paraId="1482B27F" w14:textId="40CC1566" w:rsidR="006656B4" w:rsidRPr="00920DFF" w:rsidRDefault="006656B4" w:rsidP="007633DD">
            <w:pPr>
              <w:pStyle w:val="ListParagraph"/>
              <w:numPr>
                <w:ilvl w:val="0"/>
                <w:numId w:val="62"/>
              </w:numPr>
              <w:ind w:left="158" w:hanging="187"/>
            </w:pPr>
            <w:r w:rsidRPr="00920DFF">
              <w:t xml:space="preserve">phone number and preferably a fax number </w:t>
            </w:r>
          </w:p>
          <w:p w14:paraId="703C3F8B" w14:textId="7490E3E7" w:rsidR="006656B4" w:rsidRPr="00920DFF" w:rsidRDefault="006656B4" w:rsidP="007633DD">
            <w:pPr>
              <w:pStyle w:val="ListParagraph"/>
              <w:numPr>
                <w:ilvl w:val="0"/>
                <w:numId w:val="62"/>
              </w:numPr>
              <w:ind w:left="158" w:hanging="187"/>
            </w:pPr>
            <w:r w:rsidRPr="00920DFF">
              <w:t>medical license number, and</w:t>
            </w:r>
          </w:p>
          <w:p w14:paraId="7C977B74" w14:textId="77777777" w:rsidR="006656B4" w:rsidRPr="00920DFF" w:rsidRDefault="006656B4" w:rsidP="007633DD">
            <w:pPr>
              <w:pStyle w:val="ListParagraph"/>
              <w:numPr>
                <w:ilvl w:val="0"/>
                <w:numId w:val="62"/>
              </w:numPr>
              <w:ind w:left="158" w:hanging="187"/>
            </w:pPr>
            <w:r w:rsidRPr="00920DFF">
              <w:t>address.</w:t>
            </w:r>
          </w:p>
          <w:p w14:paraId="3837651B" w14:textId="77777777" w:rsidR="00EE4E6A" w:rsidRPr="00920DFF" w:rsidRDefault="00EE4E6A" w:rsidP="00EE4E6A"/>
          <w:p w14:paraId="2CE96C69" w14:textId="77777777" w:rsidR="000F6DAD" w:rsidRPr="00920DFF" w:rsidRDefault="00857FA2" w:rsidP="00EE4E6A">
            <w:r w:rsidRPr="00920DFF">
              <w:rPr>
                <w:b/>
                <w:i/>
              </w:rPr>
              <w:t>Note</w:t>
            </w:r>
            <w:r w:rsidR="000F6DAD" w:rsidRPr="00920DFF">
              <w:rPr>
                <w:b/>
                <w:i/>
              </w:rPr>
              <w:t>s</w:t>
            </w:r>
            <w:r w:rsidRPr="00920DFF">
              <w:t xml:space="preserve">:  </w:t>
            </w:r>
          </w:p>
          <w:p w14:paraId="4BC1FA42" w14:textId="2D31416A" w:rsidR="000F6DAD" w:rsidRPr="00920DFF" w:rsidRDefault="000F6DAD" w:rsidP="007633DD">
            <w:pPr>
              <w:pStyle w:val="ListParagraph"/>
              <w:numPr>
                <w:ilvl w:val="0"/>
                <w:numId w:val="86"/>
              </w:numPr>
              <w:ind w:left="158" w:hanging="187"/>
            </w:pPr>
            <w:r w:rsidRPr="00920DFF">
              <w:t>The specialty of the exam provider must be indicated, if a specialist examination is required or requested, as in TBI examinations.</w:t>
            </w:r>
          </w:p>
          <w:p w14:paraId="7141B951" w14:textId="11F0C33A" w:rsidR="00B07E6A" w:rsidRPr="00920DFF" w:rsidRDefault="00857FA2" w:rsidP="007633DD">
            <w:pPr>
              <w:pStyle w:val="ListParagraph"/>
              <w:numPr>
                <w:ilvl w:val="0"/>
                <w:numId w:val="86"/>
              </w:numPr>
              <w:ind w:left="158" w:hanging="187"/>
            </w:pPr>
            <w:r w:rsidRPr="00920DFF">
              <w:t>The SIGNATURE BLOCK should contain a legible signature and examiner’s credentials.</w:t>
            </w:r>
          </w:p>
          <w:p w14:paraId="78333998" w14:textId="58FCE719" w:rsidR="00B02D7A" w:rsidRPr="00920DFF" w:rsidRDefault="00B02D7A" w:rsidP="007633DD">
            <w:pPr>
              <w:pStyle w:val="ListParagraph"/>
              <w:numPr>
                <w:ilvl w:val="0"/>
                <w:numId w:val="86"/>
              </w:numPr>
              <w:ind w:left="158" w:hanging="187"/>
            </w:pPr>
            <w:r w:rsidRPr="00920DFF">
              <w:t>Health care providers participating in the Clinicians in Residence program at ROs</w:t>
            </w:r>
            <w:r w:rsidR="00526ECE" w:rsidRPr="00920DFF">
              <w:t xml:space="preserve"> must be registered and certified VHA clinicians.</w:t>
            </w:r>
          </w:p>
          <w:p w14:paraId="7A3043C2" w14:textId="77777777" w:rsidR="00B97583" w:rsidRPr="00920DFF" w:rsidRDefault="00B97583" w:rsidP="00EE4E6A"/>
          <w:p w14:paraId="6F439EBA" w14:textId="5DE29D4F" w:rsidR="00EE4E6A" w:rsidRPr="00920DFF" w:rsidRDefault="00EE4E6A" w:rsidP="00EE4E6A">
            <w:r w:rsidRPr="00920DFF">
              <w:rPr>
                <w:b/>
                <w:i/>
              </w:rPr>
              <w:t>References</w:t>
            </w:r>
            <w:r w:rsidRPr="00920DFF">
              <w:t xml:space="preserve">:  For more information </w:t>
            </w:r>
            <w:r w:rsidR="00785980" w:rsidRPr="00920DFF">
              <w:t>on</w:t>
            </w:r>
            <w:r w:rsidRPr="00920DFF">
              <w:t xml:space="preserve"> </w:t>
            </w:r>
          </w:p>
          <w:p w14:paraId="455F9EB2" w14:textId="353F19A8" w:rsidR="00EE4E6A" w:rsidRPr="00920DFF" w:rsidRDefault="00EE4E6A" w:rsidP="007633DD">
            <w:pPr>
              <w:pStyle w:val="ListParagraph"/>
              <w:numPr>
                <w:ilvl w:val="0"/>
                <w:numId w:val="63"/>
              </w:numPr>
              <w:ind w:left="158" w:hanging="187"/>
            </w:pPr>
            <w:r w:rsidRPr="00920DFF">
              <w:t>DBQs completed by VA or Non-VA health care providers, see M21-1, Part III, Subpart iv, 3.D.2.d, and</w:t>
            </w:r>
          </w:p>
          <w:p w14:paraId="5CEBD75B" w14:textId="729642BB" w:rsidR="00785980" w:rsidRPr="00920DFF" w:rsidRDefault="005842CC" w:rsidP="007633DD">
            <w:pPr>
              <w:pStyle w:val="ListParagraph"/>
              <w:numPr>
                <w:ilvl w:val="0"/>
                <w:numId w:val="63"/>
              </w:numPr>
              <w:ind w:left="158" w:hanging="187"/>
            </w:pPr>
            <w:r w:rsidRPr="00920DFF">
              <w:t>requirements for DBQ providers, see M21-1, Part III, Subpart iv, 3.A.3.e.</w:t>
            </w:r>
          </w:p>
        </w:tc>
      </w:tr>
    </w:tbl>
    <w:p w14:paraId="4B02FB63" w14:textId="6A142691" w:rsidR="00F75785" w:rsidRPr="00920DFF" w:rsidRDefault="00F75785" w:rsidP="00F75785">
      <w:pPr>
        <w:tabs>
          <w:tab w:val="left" w:pos="9360"/>
        </w:tabs>
        <w:ind w:left="1714"/>
        <w:rPr>
          <w:u w:val="single"/>
        </w:rPr>
      </w:pPr>
      <w:r w:rsidRPr="00920DFF">
        <w:rPr>
          <w:u w:val="single"/>
        </w:rPr>
        <w:tab/>
      </w:r>
    </w:p>
    <w:p w14:paraId="6A6A755F" w14:textId="77777777" w:rsidR="004E5168" w:rsidRPr="00920DFF" w:rsidRDefault="004E5168" w:rsidP="00F75785">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17A86" w:rsidRPr="00920DFF" w14:paraId="370A4938" w14:textId="77777777" w:rsidTr="00C17A86">
        <w:tc>
          <w:tcPr>
            <w:tcW w:w="1728" w:type="dxa"/>
            <w:shd w:val="clear" w:color="auto" w:fill="auto"/>
          </w:tcPr>
          <w:p w14:paraId="2A21973C" w14:textId="15D4B34D" w:rsidR="00C17A86" w:rsidRPr="00920DFF" w:rsidRDefault="00C17A86" w:rsidP="00D70D50">
            <w:pPr>
              <w:pStyle w:val="Heading5"/>
            </w:pPr>
            <w:bookmarkStart w:id="7" w:name="_c.__Telehealth"/>
            <w:bookmarkEnd w:id="7"/>
            <w:proofErr w:type="gramStart"/>
            <w:r w:rsidRPr="00920DFF">
              <w:t>c.  Telehealth</w:t>
            </w:r>
            <w:proofErr w:type="gramEnd"/>
            <w:r w:rsidRPr="00920DFF">
              <w:t xml:space="preserve"> Examinations</w:t>
            </w:r>
          </w:p>
        </w:tc>
        <w:tc>
          <w:tcPr>
            <w:tcW w:w="7740" w:type="dxa"/>
            <w:shd w:val="clear" w:color="auto" w:fill="auto"/>
          </w:tcPr>
          <w:p w14:paraId="2E83B52B" w14:textId="77777777" w:rsidR="00C17A86" w:rsidRPr="00920DFF" w:rsidRDefault="00C17A86" w:rsidP="00C17A86">
            <w:pPr>
              <w:pStyle w:val="BulletText1"/>
              <w:numPr>
                <w:ilvl w:val="0"/>
                <w:numId w:val="0"/>
              </w:numPr>
            </w:pPr>
            <w:r w:rsidRPr="00920DFF">
              <w:t>When VHA elects to conduct a videoconference examination (</w:t>
            </w:r>
            <w:r w:rsidRPr="00920DFF">
              <w:rPr>
                <w:i/>
              </w:rPr>
              <w:t>telehealth examination</w:t>
            </w:r>
            <w:r w:rsidRPr="00920DFF">
              <w:t>)</w:t>
            </w:r>
            <w:r w:rsidRPr="00920DFF">
              <w:rPr>
                <w:i/>
              </w:rPr>
              <w:t xml:space="preserve"> </w:t>
            </w:r>
            <w:r w:rsidRPr="00920DFF">
              <w:t>in lieu of an in-person examination, the Rating Veteran Service Representative (RVSR) or Decision Review Officer (DRO) must assess the report for sufficiency under the same standards applicable to in-person  examinations</w:t>
            </w:r>
            <w:r w:rsidR="00D70D50" w:rsidRPr="00920DFF">
              <w:t>.</w:t>
            </w:r>
          </w:p>
          <w:p w14:paraId="1C1BD33B" w14:textId="77777777" w:rsidR="00D70D50" w:rsidRPr="00920DFF" w:rsidRDefault="00D70D50" w:rsidP="00C17A86">
            <w:pPr>
              <w:pStyle w:val="BulletText1"/>
              <w:numPr>
                <w:ilvl w:val="0"/>
                <w:numId w:val="0"/>
              </w:numPr>
            </w:pPr>
          </w:p>
          <w:p w14:paraId="65B39FE7" w14:textId="5835C604" w:rsidR="00D70D50" w:rsidRPr="00920DFF" w:rsidRDefault="00D70D50" w:rsidP="00C17A86">
            <w:pPr>
              <w:pStyle w:val="BulletText1"/>
              <w:numPr>
                <w:ilvl w:val="0"/>
                <w:numId w:val="0"/>
              </w:numPr>
            </w:pPr>
            <w:r w:rsidRPr="00920DFF">
              <w:rPr>
                <w:b/>
                <w:i/>
              </w:rPr>
              <w:t>Reference</w:t>
            </w:r>
            <w:r w:rsidRPr="00920DFF">
              <w:t xml:space="preserve">:  For more information on telehealth examinations, see </w:t>
            </w:r>
            <w:hyperlink r:id="rId15" w:history="1">
              <w:r w:rsidRPr="00920DFF">
                <w:rPr>
                  <w:rStyle w:val="Hyperlink"/>
                  <w:i/>
                </w:rPr>
                <w:t xml:space="preserve">the Office of Disability and Medical Assessment (DMA) </w:t>
              </w:r>
              <w:r w:rsidR="00572D9F" w:rsidRPr="00920DFF">
                <w:rPr>
                  <w:rStyle w:val="Hyperlink"/>
                  <w:i/>
                </w:rPr>
                <w:t>Expansion of Telehealth for Compensation a</w:t>
              </w:r>
              <w:r w:rsidRPr="00920DFF">
                <w:rPr>
                  <w:rStyle w:val="Hyperlink"/>
                  <w:i/>
                </w:rPr>
                <w:t xml:space="preserve">nd Pension (C&amp;P) </w:t>
              </w:r>
              <w:r w:rsidR="00572D9F" w:rsidRPr="00920DFF">
                <w:rPr>
                  <w:rStyle w:val="Hyperlink"/>
                  <w:i/>
                </w:rPr>
                <w:t xml:space="preserve">Examinations </w:t>
              </w:r>
              <w:r w:rsidRPr="00920DFF">
                <w:rPr>
                  <w:rStyle w:val="Hyperlink"/>
                  <w:i/>
                </w:rPr>
                <w:t>Fact Sheet</w:t>
              </w:r>
            </w:hyperlink>
            <w:r w:rsidR="00FC1560" w:rsidRPr="00920DFF">
              <w:t>.</w:t>
            </w:r>
          </w:p>
        </w:tc>
      </w:tr>
    </w:tbl>
    <w:p w14:paraId="445AA1E5" w14:textId="0DCA11DC" w:rsidR="00C17A86" w:rsidRPr="00920DFF" w:rsidRDefault="00C17A86" w:rsidP="00C17A86">
      <w:pPr>
        <w:tabs>
          <w:tab w:val="left" w:pos="9360"/>
        </w:tabs>
        <w:ind w:left="1714"/>
      </w:pPr>
      <w:r w:rsidRPr="00920DFF">
        <w:rPr>
          <w:u w:val="single"/>
        </w:rPr>
        <w:tab/>
      </w:r>
    </w:p>
    <w:p w14:paraId="55ED82BD" w14:textId="186D6FC5" w:rsidR="0055244A" w:rsidRPr="00920DFF" w:rsidRDefault="0055244A" w:rsidP="00F757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5244A" w:rsidRPr="00920DFF" w14:paraId="181481F3" w14:textId="77777777" w:rsidTr="0055244A">
        <w:tc>
          <w:tcPr>
            <w:tcW w:w="1728" w:type="dxa"/>
            <w:shd w:val="clear" w:color="auto" w:fill="auto"/>
          </w:tcPr>
          <w:p w14:paraId="5CC10935" w14:textId="6044C3C6" w:rsidR="0055244A" w:rsidRPr="00920DFF" w:rsidRDefault="00B26D7A" w:rsidP="00D70D50">
            <w:pPr>
              <w:pStyle w:val="Heading5"/>
            </w:pPr>
            <w:bookmarkStart w:id="8" w:name="_d.__DBQs"/>
            <w:bookmarkEnd w:id="8"/>
            <w:r w:rsidRPr="00920DFF">
              <w:t>d</w:t>
            </w:r>
            <w:r w:rsidR="0055244A" w:rsidRPr="00920DFF">
              <w:t>.  DBQs Completed by VA or Non-VA</w:t>
            </w:r>
            <w:r w:rsidR="003A40B7" w:rsidRPr="00920DFF">
              <w:t xml:space="preserve"> Health Care</w:t>
            </w:r>
            <w:r w:rsidR="0055244A" w:rsidRPr="00920DFF">
              <w:t xml:space="preserve"> Providers</w:t>
            </w:r>
          </w:p>
        </w:tc>
        <w:tc>
          <w:tcPr>
            <w:tcW w:w="7740" w:type="dxa"/>
            <w:shd w:val="clear" w:color="auto" w:fill="auto"/>
          </w:tcPr>
          <w:p w14:paraId="65A43A7A" w14:textId="0155FCD1" w:rsidR="00EC60B1" w:rsidRPr="00920DFF" w:rsidRDefault="00EC60B1" w:rsidP="0055244A">
            <w:pPr>
              <w:pStyle w:val="BlockText"/>
            </w:pPr>
            <w:r w:rsidRPr="00920DFF">
              <w:t>Review DBQs which are completed by</w:t>
            </w:r>
            <w:r w:rsidR="00E362F1" w:rsidRPr="00920DFF">
              <w:t xml:space="preserve"> VA or non-VA </w:t>
            </w:r>
            <w:r w:rsidRPr="00920DFF">
              <w:t xml:space="preserve"> health care providers to ensure</w:t>
            </w:r>
          </w:p>
          <w:p w14:paraId="766EF921" w14:textId="77777777" w:rsidR="00E362F1" w:rsidRPr="00920DFF" w:rsidRDefault="00E362F1" w:rsidP="0055244A">
            <w:pPr>
              <w:pStyle w:val="BlockText"/>
            </w:pPr>
          </w:p>
          <w:p w14:paraId="4DC8729D" w14:textId="3F33E48B" w:rsidR="00EC60B1" w:rsidRPr="00920DFF" w:rsidRDefault="00EC60B1" w:rsidP="007633DD">
            <w:pPr>
              <w:pStyle w:val="ListParagraph"/>
              <w:numPr>
                <w:ilvl w:val="0"/>
                <w:numId w:val="33"/>
              </w:numPr>
              <w:ind w:left="158" w:hanging="187"/>
            </w:pPr>
            <w:r w:rsidRPr="00920DFF">
              <w:t xml:space="preserve">the health care provider meets </w:t>
            </w:r>
            <w:r w:rsidR="007922D5" w:rsidRPr="00920DFF">
              <w:t>any</w:t>
            </w:r>
            <w:r w:rsidRPr="00920DFF">
              <w:t xml:space="preserve"> </w:t>
            </w:r>
            <w:r w:rsidR="00BE77F3" w:rsidRPr="00920DFF">
              <w:t>specialty</w:t>
            </w:r>
            <w:r w:rsidR="003A40B7" w:rsidRPr="00920DFF">
              <w:t xml:space="preserve"> </w:t>
            </w:r>
            <w:r w:rsidRPr="00920DFF">
              <w:t xml:space="preserve">requirement for the </w:t>
            </w:r>
            <w:r w:rsidR="005842CC" w:rsidRPr="00920DFF">
              <w:t>examination conducted</w:t>
            </w:r>
            <w:r w:rsidRPr="00920DFF">
              <w:t xml:space="preserve">, and </w:t>
            </w:r>
          </w:p>
          <w:p w14:paraId="5E16BEFE" w14:textId="63509479" w:rsidR="00B97FC4" w:rsidRPr="00920DFF" w:rsidRDefault="00EC60B1" w:rsidP="007633DD">
            <w:pPr>
              <w:pStyle w:val="ListParagraph"/>
              <w:numPr>
                <w:ilvl w:val="0"/>
                <w:numId w:val="32"/>
              </w:numPr>
              <w:ind w:left="158" w:hanging="187"/>
            </w:pPr>
            <w:r w:rsidRPr="00920DFF">
              <w:t>the DBQ is sufficient for rating purposes.</w:t>
            </w:r>
          </w:p>
          <w:p w14:paraId="29AA05D8" w14:textId="77777777" w:rsidR="00B97FC4" w:rsidRPr="00920DFF" w:rsidRDefault="00B97FC4" w:rsidP="0055244A">
            <w:pPr>
              <w:pStyle w:val="BlockText"/>
            </w:pPr>
          </w:p>
          <w:p w14:paraId="300608A4" w14:textId="408647EA" w:rsidR="00EC60B1" w:rsidRPr="00920DFF" w:rsidRDefault="005D5984" w:rsidP="0055244A">
            <w:pPr>
              <w:pStyle w:val="BlockText"/>
            </w:pPr>
            <w:r w:rsidRPr="00920DFF">
              <w:t xml:space="preserve">If a </w:t>
            </w:r>
            <w:r w:rsidR="003A40B7" w:rsidRPr="00920DFF">
              <w:t xml:space="preserve">Veteran submits a </w:t>
            </w:r>
            <w:r w:rsidRPr="00920DFF">
              <w:t>DBQ completed by a health care provider</w:t>
            </w:r>
            <w:r w:rsidR="003A40B7" w:rsidRPr="00920DFF">
              <w:t xml:space="preserve"> and it</w:t>
            </w:r>
            <w:r w:rsidRPr="00920DFF">
              <w:t xml:space="preserve"> is insufficient for rating purposes, then the RVSR will determine if</w:t>
            </w:r>
          </w:p>
          <w:p w14:paraId="7EBB6718" w14:textId="77777777" w:rsidR="00E362F1" w:rsidRPr="00920DFF" w:rsidRDefault="00E362F1" w:rsidP="0055244A">
            <w:pPr>
              <w:pStyle w:val="BlockText"/>
            </w:pPr>
          </w:p>
          <w:p w14:paraId="4454EE58" w14:textId="22F5D5A7" w:rsidR="005D5984" w:rsidRPr="00920DFF" w:rsidRDefault="005D5984" w:rsidP="007633DD">
            <w:pPr>
              <w:pStyle w:val="ListParagraph"/>
              <w:numPr>
                <w:ilvl w:val="0"/>
                <w:numId w:val="34"/>
              </w:numPr>
              <w:ind w:left="158" w:hanging="187"/>
            </w:pPr>
            <w:r w:rsidRPr="00920DFF">
              <w:t>development is required to the health care provider</w:t>
            </w:r>
            <w:r w:rsidR="00DF78BD" w:rsidRPr="00920DFF">
              <w:t xml:space="preserve"> (such as validation of results by the treatment provider, obtaining medical records)</w:t>
            </w:r>
            <w:r w:rsidRPr="00920DFF">
              <w:t>, or</w:t>
            </w:r>
          </w:p>
          <w:p w14:paraId="2DDBC758" w14:textId="6CDCE2C3" w:rsidR="005D5984" w:rsidRPr="00920DFF" w:rsidRDefault="005D5984" w:rsidP="007633DD">
            <w:pPr>
              <w:pStyle w:val="ListParagraph"/>
              <w:numPr>
                <w:ilvl w:val="0"/>
                <w:numId w:val="34"/>
              </w:numPr>
              <w:ind w:left="158" w:hanging="187"/>
            </w:pPr>
            <w:r w:rsidRPr="00920DFF">
              <w:t xml:space="preserve">an additional VA examination </w:t>
            </w:r>
            <w:r w:rsidR="000F3C11" w:rsidRPr="00920DFF">
              <w:t xml:space="preserve">or medical opinion </w:t>
            </w:r>
            <w:r w:rsidRPr="00920DFF">
              <w:t>is to be requested.</w:t>
            </w:r>
          </w:p>
          <w:p w14:paraId="25827A55" w14:textId="77777777" w:rsidR="0055244A" w:rsidRPr="00920DFF" w:rsidRDefault="0055244A" w:rsidP="00F75785"/>
          <w:p w14:paraId="432681E9" w14:textId="77777777" w:rsidR="00CC77BD" w:rsidRPr="00920DFF" w:rsidRDefault="005D5984" w:rsidP="00F75785">
            <w:r w:rsidRPr="00920DFF">
              <w:rPr>
                <w:b/>
                <w:i/>
              </w:rPr>
              <w:t>Note</w:t>
            </w:r>
            <w:r w:rsidR="00CC77BD" w:rsidRPr="00920DFF">
              <w:rPr>
                <w:b/>
                <w:i/>
              </w:rPr>
              <w:t>s</w:t>
            </w:r>
            <w:r w:rsidRPr="00920DFF">
              <w:t xml:space="preserve">:  </w:t>
            </w:r>
          </w:p>
          <w:p w14:paraId="6F292DFC" w14:textId="5AD07EBE" w:rsidR="00CC77BD" w:rsidRPr="00920DFF" w:rsidRDefault="005D5984" w:rsidP="007633DD">
            <w:pPr>
              <w:pStyle w:val="ListParagraph"/>
              <w:numPr>
                <w:ilvl w:val="0"/>
                <w:numId w:val="88"/>
              </w:numPr>
              <w:ind w:left="158" w:hanging="187"/>
            </w:pPr>
            <w:r w:rsidRPr="00920DFF">
              <w:t>If a Veteran submits a DBQ which is not approved for public</w:t>
            </w:r>
            <w:r w:rsidR="00E362F1" w:rsidRPr="00920DFF">
              <w:t xml:space="preserve"> use,  review the report</w:t>
            </w:r>
            <w:r w:rsidRPr="00920DFF">
              <w:t xml:space="preserve"> </w:t>
            </w:r>
            <w:r w:rsidR="00FA3BC2" w:rsidRPr="00920DFF">
              <w:t>to determine if it is sufficient for rating purposes.</w:t>
            </w:r>
            <w:r w:rsidR="00A22DBE" w:rsidRPr="00920DFF">
              <w:t xml:space="preserve"> If additional examination requirements are needed such as an </w:t>
            </w:r>
            <w:r w:rsidR="00BE2771" w:rsidRPr="00920DFF">
              <w:t>Service Treatment Records (</w:t>
            </w:r>
            <w:r w:rsidR="00A22DBE" w:rsidRPr="00920DFF">
              <w:t>STRs</w:t>
            </w:r>
            <w:r w:rsidR="00BE2771" w:rsidRPr="00920DFF">
              <w:t>)</w:t>
            </w:r>
            <w:r w:rsidR="00A22DBE" w:rsidRPr="00920DFF">
              <w:t xml:space="preserve"> review, then ask a VA examiner to perform only those missing requirements. </w:t>
            </w:r>
          </w:p>
          <w:p w14:paraId="7B222BC3" w14:textId="5B4BCE6F" w:rsidR="005D5984" w:rsidRPr="00920DFF" w:rsidRDefault="007C6767" w:rsidP="007633DD">
            <w:pPr>
              <w:pStyle w:val="ListParagraph"/>
              <w:numPr>
                <w:ilvl w:val="0"/>
                <w:numId w:val="88"/>
              </w:numPr>
              <w:ind w:left="158" w:hanging="187"/>
            </w:pPr>
            <w:r w:rsidRPr="00920DFF">
              <w:t>DBQs completed by a licensed health care provider, to include a nurse practitioner or physician’s assistant, are acceptable for VA examinations.</w:t>
            </w:r>
          </w:p>
          <w:p w14:paraId="6C90693D" w14:textId="77777777" w:rsidR="005D5984" w:rsidRPr="00920DFF" w:rsidRDefault="005D5984" w:rsidP="00F75785"/>
          <w:p w14:paraId="7A4C669E" w14:textId="77777777" w:rsidR="00AD66C8" w:rsidRPr="00920DFF" w:rsidRDefault="001D1C63" w:rsidP="00F75785">
            <w:r w:rsidRPr="00920DFF">
              <w:rPr>
                <w:b/>
                <w:i/>
              </w:rPr>
              <w:t>References</w:t>
            </w:r>
            <w:r w:rsidRPr="00920DFF">
              <w:t>:  For more information on</w:t>
            </w:r>
          </w:p>
          <w:p w14:paraId="7D3BC386" w14:textId="138BF2D4" w:rsidR="001D1C63" w:rsidRPr="00920DFF" w:rsidRDefault="00EA29EE" w:rsidP="007633DD">
            <w:pPr>
              <w:pStyle w:val="ListParagraph"/>
              <w:numPr>
                <w:ilvl w:val="0"/>
                <w:numId w:val="31"/>
              </w:numPr>
              <w:ind w:left="158" w:hanging="187"/>
            </w:pPr>
            <w:r w:rsidRPr="00920DFF">
              <w:t xml:space="preserve">DBQs approved for public use, see </w:t>
            </w:r>
            <w:hyperlink r:id="rId16" w:history="1">
              <w:r w:rsidRPr="00920DFF">
                <w:rPr>
                  <w:rStyle w:val="Hyperlink"/>
                </w:rPr>
                <w:t>DBQ Switchboard</w:t>
              </w:r>
            </w:hyperlink>
          </w:p>
          <w:p w14:paraId="60844177" w14:textId="0D61E6C3" w:rsidR="005842CC" w:rsidRPr="00920DFF" w:rsidRDefault="00B65534" w:rsidP="007633DD">
            <w:pPr>
              <w:pStyle w:val="ListParagraph"/>
              <w:numPr>
                <w:ilvl w:val="0"/>
                <w:numId w:val="31"/>
              </w:numPr>
              <w:ind w:left="158" w:hanging="187"/>
            </w:pPr>
            <w:r w:rsidRPr="00920DFF">
              <w:t>requirements for examination reports, see M21-1, Part III, Subpart iv, 3.D.</w:t>
            </w:r>
            <w:r w:rsidR="00145BCF" w:rsidRPr="00920DFF">
              <w:t>2.j</w:t>
            </w:r>
          </w:p>
          <w:p w14:paraId="26D81B9D" w14:textId="60DD2714" w:rsidR="00046E42" w:rsidRPr="00920DFF" w:rsidRDefault="009B329B" w:rsidP="007633DD">
            <w:pPr>
              <w:pStyle w:val="ListParagraph"/>
              <w:numPr>
                <w:ilvl w:val="0"/>
                <w:numId w:val="31"/>
              </w:numPr>
              <w:ind w:left="158" w:hanging="187"/>
            </w:pPr>
            <w:r w:rsidRPr="00920DFF">
              <w:t>use and acceptance of DBQs for VA examinations and opinions</w:t>
            </w:r>
            <w:r w:rsidR="005842CC" w:rsidRPr="00920DFF">
              <w:t>, see M21-1, Part III, Subpart iv, 3.A.3.</w:t>
            </w:r>
            <w:r w:rsidR="00AD4A3B" w:rsidRPr="00920DFF">
              <w:t>b</w:t>
            </w:r>
          </w:p>
          <w:p w14:paraId="464789E3" w14:textId="1BEDDFAC" w:rsidR="002F32DB" w:rsidRPr="00920DFF" w:rsidRDefault="002F32DB" w:rsidP="007633DD">
            <w:pPr>
              <w:pStyle w:val="ListParagraph"/>
              <w:numPr>
                <w:ilvl w:val="0"/>
                <w:numId w:val="31"/>
              </w:numPr>
              <w:ind w:left="158" w:hanging="187"/>
            </w:pPr>
            <w:r w:rsidRPr="00920DFF">
              <w:t>special</w:t>
            </w:r>
            <w:r w:rsidR="00046E42" w:rsidRPr="00920DFF">
              <w:t>ty requirements for mental exam</w:t>
            </w:r>
            <w:r w:rsidRPr="00920DFF">
              <w:t>ination provider</w:t>
            </w:r>
            <w:r w:rsidR="00046E42" w:rsidRPr="00920DFF">
              <w:t>s, see M21-1, Part III, Subpart iv, 3.D.2.f and g</w:t>
            </w:r>
          </w:p>
          <w:p w14:paraId="24EA77D8" w14:textId="04EA3658" w:rsidR="002F32DB" w:rsidRPr="00920DFF" w:rsidRDefault="002F32DB" w:rsidP="007633DD">
            <w:pPr>
              <w:pStyle w:val="ListParagraph"/>
              <w:numPr>
                <w:ilvl w:val="0"/>
                <w:numId w:val="31"/>
              </w:numPr>
              <w:ind w:left="158" w:hanging="187"/>
            </w:pPr>
            <w:r w:rsidRPr="00920DFF">
              <w:t>specialty requirements for traumatic brain injury (TBI) examinations, see M21-1, Part III, Subpart iv, 3.D.2.h, and</w:t>
            </w:r>
          </w:p>
          <w:p w14:paraId="748B1E40" w14:textId="28337D66" w:rsidR="00B65534" w:rsidRPr="00920DFF" w:rsidRDefault="002F32DB" w:rsidP="007633DD">
            <w:pPr>
              <w:pStyle w:val="ListParagraph"/>
              <w:numPr>
                <w:ilvl w:val="0"/>
                <w:numId w:val="31"/>
              </w:numPr>
              <w:ind w:left="158" w:hanging="187"/>
            </w:pPr>
            <w:r w:rsidRPr="00920DFF">
              <w:t>specialty requirements for audiology examinations, see M21-1, Part III, Subpart iv, 3.D.2.i.</w:t>
            </w:r>
            <w:r w:rsidR="00145BCF" w:rsidRPr="00920DFF">
              <w:t>.</w:t>
            </w:r>
          </w:p>
        </w:tc>
      </w:tr>
    </w:tbl>
    <w:p w14:paraId="018EADB0" w14:textId="52045B7B" w:rsidR="0055244A" w:rsidRPr="00920DFF" w:rsidRDefault="0055244A" w:rsidP="0055244A">
      <w:pPr>
        <w:tabs>
          <w:tab w:val="left" w:pos="9360"/>
        </w:tabs>
        <w:ind w:left="1714"/>
      </w:pPr>
      <w:r w:rsidRPr="00920DFF">
        <w:rPr>
          <w:u w:val="single"/>
        </w:rPr>
        <w:tab/>
      </w:r>
    </w:p>
    <w:p w14:paraId="13BD81B4" w14:textId="77777777" w:rsidR="0055244A" w:rsidRPr="00920DFF" w:rsidRDefault="0055244A" w:rsidP="00F757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7673"/>
      </w:tblGrid>
      <w:tr w:rsidR="00F75785" w:rsidRPr="00920DFF" w14:paraId="7CBBC8CA" w14:textId="77777777" w:rsidTr="00910443">
        <w:tc>
          <w:tcPr>
            <w:tcW w:w="1728" w:type="dxa"/>
            <w:shd w:val="clear" w:color="auto" w:fill="auto"/>
          </w:tcPr>
          <w:p w14:paraId="6B718C00" w14:textId="3965AA3D" w:rsidR="00F75785" w:rsidRPr="00920DFF" w:rsidRDefault="00B26D7A" w:rsidP="00910443">
            <w:pPr>
              <w:pStyle w:val="Heading5"/>
            </w:pPr>
            <w:bookmarkStart w:id="9" w:name="_e.__DBQs"/>
            <w:bookmarkEnd w:id="9"/>
            <w:proofErr w:type="gramStart"/>
            <w:r w:rsidRPr="00920DFF">
              <w:t>e</w:t>
            </w:r>
            <w:r w:rsidR="00F75785" w:rsidRPr="00920DFF">
              <w:t>.</w:t>
            </w:r>
            <w:r w:rsidR="002F32DB" w:rsidRPr="00920DFF">
              <w:t xml:space="preserve"> </w:t>
            </w:r>
            <w:r w:rsidR="00F75785" w:rsidRPr="00920DFF">
              <w:t xml:space="preserve"> DBQs</w:t>
            </w:r>
            <w:proofErr w:type="gramEnd"/>
            <w:r w:rsidR="0076446D" w:rsidRPr="00920DFF">
              <w:t xml:space="preserve"> Completed by Veterans Who a</w:t>
            </w:r>
            <w:r w:rsidR="00F75785" w:rsidRPr="00920DFF">
              <w:t>re Physicians/Health Care Providers</w:t>
            </w:r>
          </w:p>
        </w:tc>
        <w:tc>
          <w:tcPr>
            <w:tcW w:w="7740" w:type="dxa"/>
            <w:shd w:val="clear" w:color="auto" w:fill="auto"/>
          </w:tcPr>
          <w:p w14:paraId="07AB6919" w14:textId="6A76B9D3" w:rsidR="0050674E" w:rsidRPr="00920DFF" w:rsidRDefault="00F75785" w:rsidP="0050674E">
            <w:r w:rsidRPr="00920DFF">
              <w:t xml:space="preserve">VA cannot summarily discount otherwise competent medical evidence </w:t>
            </w:r>
            <w:r w:rsidR="0050674E" w:rsidRPr="00920DFF">
              <w:t>from a</w:t>
            </w:r>
            <w:r w:rsidRPr="00920DFF">
              <w:t xml:space="preserve"> Veteran </w:t>
            </w:r>
            <w:r w:rsidR="0050674E" w:rsidRPr="00920DFF">
              <w:t xml:space="preserve">who </w:t>
            </w:r>
            <w:r w:rsidRPr="00920DFF">
              <w:t xml:space="preserve">is </w:t>
            </w:r>
            <w:r w:rsidR="0050674E" w:rsidRPr="00920DFF">
              <w:t>a physician or health care provider</w:t>
            </w:r>
            <w:r w:rsidR="00B66B0B" w:rsidRPr="00920DFF">
              <w:t>.</w:t>
            </w:r>
            <w:r w:rsidR="0050674E" w:rsidRPr="00920DFF">
              <w:t xml:space="preserve">  The DBQ reports completed by these individuals will be reviewed under the same criteria for reviewing DBQs submitted by a health care provider.</w:t>
            </w:r>
          </w:p>
          <w:p w14:paraId="4223EDB8" w14:textId="77777777" w:rsidR="00FC0BEE" w:rsidRPr="00920DFF" w:rsidRDefault="00FC0BEE" w:rsidP="00F75785"/>
          <w:p w14:paraId="5CACE431" w14:textId="2824FE77" w:rsidR="00F75785" w:rsidRPr="00920DFF" w:rsidRDefault="00FC0BEE" w:rsidP="00F75785">
            <w:r w:rsidRPr="00920DFF">
              <w:t>In effect, VA claims adjudicators must subject the evidence of record to some degree of scrutiny to determine its probative worth.  It is improper in VA practice to “exclude” evidence; its probative value is to be weighed, and the reasons and bases for the assessment of its probative value clearly articulated.</w:t>
            </w:r>
          </w:p>
          <w:p w14:paraId="379E2054" w14:textId="77777777" w:rsidR="00F752DD" w:rsidRPr="00920DFF" w:rsidRDefault="00F752DD" w:rsidP="00F75785"/>
          <w:p w14:paraId="484AF561" w14:textId="22352ED7" w:rsidR="00F752DD" w:rsidRPr="00920DFF" w:rsidRDefault="00F752DD" w:rsidP="00B850B2">
            <w:r w:rsidRPr="00920DFF">
              <w:rPr>
                <w:b/>
                <w:i/>
              </w:rPr>
              <w:t>Note</w:t>
            </w:r>
            <w:r w:rsidR="00E811B1" w:rsidRPr="00920DFF">
              <w:t xml:space="preserve">:  Exercise the same weighing of probative value for internal-use </w:t>
            </w:r>
            <w:proofErr w:type="gramStart"/>
            <w:r w:rsidR="00E811B1" w:rsidRPr="00920DFF">
              <w:t>DBQs  that</w:t>
            </w:r>
            <w:proofErr w:type="gramEnd"/>
            <w:r w:rsidR="00E811B1" w:rsidRPr="00920DFF">
              <w:t xml:space="preserve"> are completed by an external non-VA provider.</w:t>
            </w:r>
          </w:p>
          <w:p w14:paraId="376EC2D8" w14:textId="77777777" w:rsidR="0026451A" w:rsidRPr="00920DFF" w:rsidRDefault="0026451A" w:rsidP="00B850B2">
            <w:r w:rsidRPr="00920DFF">
              <w:t xml:space="preserve"> </w:t>
            </w:r>
          </w:p>
          <w:p w14:paraId="57918962" w14:textId="3472A11D" w:rsidR="00B850B2" w:rsidRPr="00920DFF" w:rsidRDefault="0026451A" w:rsidP="00B850B2">
            <w:r w:rsidRPr="00920DFF">
              <w:rPr>
                <w:b/>
                <w:i/>
              </w:rPr>
              <w:t>Important</w:t>
            </w:r>
            <w:r w:rsidRPr="00920DFF">
              <w:t xml:space="preserve">:  </w:t>
            </w:r>
            <w:r w:rsidR="00720A0A" w:rsidRPr="00920DFF">
              <w:t>Ensure t</w:t>
            </w:r>
            <w:r w:rsidRPr="00920DFF">
              <w:t xml:space="preserve">he </w:t>
            </w:r>
            <w:r w:rsidRPr="00920DFF">
              <w:rPr>
                <w:i/>
              </w:rPr>
              <w:t>Disability Benefits Questionnaire (DBQ) – Veteran Provided</w:t>
            </w:r>
            <w:r w:rsidRPr="00920DFF">
              <w:t xml:space="preserve"> </w:t>
            </w:r>
            <w:r w:rsidR="00CD2CBA" w:rsidRPr="00920DFF">
              <w:t xml:space="preserve">DOCUMENT </w:t>
            </w:r>
            <w:r w:rsidRPr="00920DFF">
              <w:t xml:space="preserve">TYPE under VBMS </w:t>
            </w:r>
            <w:r w:rsidR="00720A0A" w:rsidRPr="00920DFF">
              <w:t xml:space="preserve">UNSOLICITED </w:t>
            </w:r>
            <w:r w:rsidRPr="00920DFF">
              <w:t xml:space="preserve">EVIDENCE tab </w:t>
            </w:r>
            <w:r w:rsidR="00720A0A" w:rsidRPr="00920DFF">
              <w:t>has been updated</w:t>
            </w:r>
            <w:r w:rsidRPr="00920DFF">
              <w:t xml:space="preserve"> for </w:t>
            </w:r>
            <w:r w:rsidR="00B850B2" w:rsidRPr="00920DFF">
              <w:t xml:space="preserve">DBQs submitted </w:t>
            </w:r>
            <w:r w:rsidR="00720A0A" w:rsidRPr="00920DFF">
              <w:t>from</w:t>
            </w:r>
            <w:r w:rsidR="00B850B2" w:rsidRPr="00920DFF">
              <w:t xml:space="preserve"> non-VA providers.  </w:t>
            </w:r>
          </w:p>
          <w:p w14:paraId="60A33472" w14:textId="77777777" w:rsidR="00E811B1" w:rsidRPr="00920DFF" w:rsidRDefault="00E811B1" w:rsidP="00E811B1">
            <w:pPr>
              <w:ind w:left="720"/>
              <w:rPr>
                <w:rFonts w:ascii="Calibri" w:eastAsia="Calibri" w:hAnsi="Calibri"/>
              </w:rPr>
            </w:pPr>
          </w:p>
          <w:p w14:paraId="3200053F" w14:textId="77777777" w:rsidR="009B461E" w:rsidRPr="00920DFF" w:rsidRDefault="009B461E" w:rsidP="00F75785">
            <w:pPr>
              <w:rPr>
                <w:b/>
                <w:i/>
              </w:rPr>
            </w:pPr>
          </w:p>
          <w:p w14:paraId="1D30F62F" w14:textId="1ACADE21" w:rsidR="00F75785" w:rsidRPr="00920DFF" w:rsidRDefault="00F75785" w:rsidP="00F75785">
            <w:r w:rsidRPr="00920DFF">
              <w:rPr>
                <w:b/>
                <w:i/>
              </w:rPr>
              <w:t>References</w:t>
            </w:r>
            <w:r w:rsidRPr="00920DFF">
              <w:t>:</w:t>
            </w:r>
            <w:r w:rsidR="002B2C2C" w:rsidRPr="00920DFF">
              <w:t xml:space="preserve">  For more information on</w:t>
            </w:r>
          </w:p>
          <w:p w14:paraId="67695049" w14:textId="6D759719" w:rsidR="002B2C2C" w:rsidRPr="00920DFF" w:rsidRDefault="002B2C2C" w:rsidP="007633DD">
            <w:pPr>
              <w:pStyle w:val="ListParagraph"/>
              <w:numPr>
                <w:ilvl w:val="0"/>
                <w:numId w:val="5"/>
              </w:numPr>
              <w:ind w:left="158" w:hanging="187"/>
            </w:pPr>
            <w:r w:rsidRPr="00920DFF">
              <w:t>reviewing DBQs</w:t>
            </w:r>
            <w:r w:rsidR="00C379F1" w:rsidRPr="00920DFF">
              <w:t xml:space="preserve"> completed by health care providers</w:t>
            </w:r>
            <w:r w:rsidRPr="00920DFF">
              <w:t>, see M21-1, Part III</w:t>
            </w:r>
            <w:r w:rsidR="00AD4A3B" w:rsidRPr="00920DFF">
              <w:t xml:space="preserve">, Subpart </w:t>
            </w:r>
            <w:r w:rsidRPr="00920DFF">
              <w:t>iv</w:t>
            </w:r>
            <w:r w:rsidR="00AD4A3B" w:rsidRPr="00920DFF">
              <w:t>,</w:t>
            </w:r>
            <w:r w:rsidRPr="00920DFF">
              <w:t>3.D</w:t>
            </w:r>
            <w:r w:rsidR="00C379F1" w:rsidRPr="00920DFF">
              <w:t>.</w:t>
            </w:r>
            <w:r w:rsidR="00145BCF" w:rsidRPr="00920DFF">
              <w:t>2</w:t>
            </w:r>
            <w:r w:rsidR="00C379F1" w:rsidRPr="00920DFF">
              <w:t>.</w:t>
            </w:r>
            <w:r w:rsidR="00145BCF" w:rsidRPr="00920DFF">
              <w:t>d</w:t>
            </w:r>
            <w:r w:rsidRPr="00920DFF">
              <w:t xml:space="preserve"> </w:t>
            </w:r>
          </w:p>
          <w:p w14:paraId="07FC4B25" w14:textId="41F767CC" w:rsidR="00AD4A3B" w:rsidRPr="00920DFF" w:rsidRDefault="00AD4A3B" w:rsidP="007633DD">
            <w:pPr>
              <w:pStyle w:val="ListParagraph"/>
              <w:numPr>
                <w:ilvl w:val="0"/>
                <w:numId w:val="5"/>
              </w:numPr>
              <w:ind w:left="158" w:hanging="187"/>
            </w:pPr>
            <w:r w:rsidRPr="00920DFF">
              <w:t>evidentiary concepts, see M21-1, Part III, Subpart iv, 5.2</w:t>
            </w:r>
          </w:p>
          <w:p w14:paraId="2133704A" w14:textId="569060A4" w:rsidR="00F75785" w:rsidRPr="00920DFF" w:rsidRDefault="00F75785" w:rsidP="007633DD">
            <w:pPr>
              <w:pStyle w:val="ListParagraph"/>
              <w:numPr>
                <w:ilvl w:val="0"/>
                <w:numId w:val="5"/>
              </w:numPr>
              <w:ind w:left="158" w:hanging="187"/>
            </w:pPr>
            <w:r w:rsidRPr="00920DFF">
              <w:t xml:space="preserve">competent medical evidence, see </w:t>
            </w:r>
            <w:hyperlink r:id="rId17" w:history="1">
              <w:r w:rsidRPr="00920DFF">
                <w:rPr>
                  <w:rStyle w:val="Hyperlink"/>
                </w:rPr>
                <w:t>38 CRF 3.159(a)(1)</w:t>
              </w:r>
            </w:hyperlink>
          </w:p>
          <w:p w14:paraId="44255551" w14:textId="07DA0C48" w:rsidR="00365B14" w:rsidRPr="00920DFF" w:rsidRDefault="00365B14" w:rsidP="007633DD">
            <w:pPr>
              <w:pStyle w:val="ListParagraph"/>
              <w:numPr>
                <w:ilvl w:val="0"/>
                <w:numId w:val="8"/>
              </w:numPr>
              <w:ind w:left="158" w:hanging="187"/>
            </w:pPr>
            <w:r w:rsidRPr="00920DFF">
              <w:t xml:space="preserve">written testimony submitted by the claimant, see </w:t>
            </w:r>
            <w:hyperlink r:id="rId18" w:history="1">
              <w:r w:rsidRPr="00920DFF">
                <w:rPr>
                  <w:rStyle w:val="Hyperlink"/>
                </w:rPr>
                <w:t>38 CFR  3.200(b)</w:t>
              </w:r>
            </w:hyperlink>
            <w:r w:rsidR="00380D3C" w:rsidRPr="00920DFF">
              <w:t xml:space="preserve">, </w:t>
            </w:r>
            <w:r w:rsidR="00AE5F6A" w:rsidRPr="00920DFF">
              <w:t>and</w:t>
            </w:r>
          </w:p>
          <w:p w14:paraId="7E14BDA1" w14:textId="7E14A044" w:rsidR="00F75785" w:rsidRPr="00920DFF" w:rsidRDefault="00FC0BEE" w:rsidP="007633DD">
            <w:pPr>
              <w:pStyle w:val="ListParagraph"/>
              <w:numPr>
                <w:ilvl w:val="0"/>
                <w:numId w:val="6"/>
              </w:numPr>
              <w:ind w:left="158" w:hanging="187"/>
            </w:pPr>
            <w:r w:rsidRPr="00920DFF">
              <w:t xml:space="preserve">case law supporting adequacy of examination completed by </w:t>
            </w:r>
            <w:r w:rsidR="005A5160" w:rsidRPr="00920DFF">
              <w:t xml:space="preserve">a </w:t>
            </w:r>
            <w:r w:rsidRPr="00920DFF">
              <w:t>Veteran</w:t>
            </w:r>
            <w:r w:rsidR="005A5160" w:rsidRPr="00920DFF">
              <w:t>-health care provider</w:t>
            </w:r>
            <w:r w:rsidRPr="00920DFF">
              <w:t xml:space="preserve">, see </w:t>
            </w:r>
            <w:hyperlink r:id="rId19" w:history="1">
              <w:r w:rsidRPr="00920DFF">
                <w:rPr>
                  <w:rStyle w:val="Hyperlink"/>
                  <w:i/>
                </w:rPr>
                <w:t>Pond v. West, U.S. Vet.App. No. 97-1780 (April 21, 1999)</w:t>
              </w:r>
            </w:hyperlink>
            <w:r w:rsidRPr="00920DFF">
              <w:t xml:space="preserve"> and, </w:t>
            </w:r>
            <w:hyperlink r:id="rId20" w:history="1">
              <w:r w:rsidRPr="00920DFF">
                <w:rPr>
                  <w:rStyle w:val="Hyperlink"/>
                  <w:i/>
                </w:rPr>
                <w:t>Pellerin v. Derwinski, 2 Vet.App. 450 (1992)</w:t>
              </w:r>
            </w:hyperlink>
            <w:r w:rsidR="00FC1560" w:rsidRPr="00920DFF">
              <w:t>.</w:t>
            </w:r>
          </w:p>
        </w:tc>
      </w:tr>
    </w:tbl>
    <w:p w14:paraId="5CEBD767" w14:textId="5E418EEC" w:rsidR="001F15FE" w:rsidRPr="00920DFF" w:rsidRDefault="001F15FE">
      <w:pPr>
        <w:pStyle w:val="BlockLine"/>
      </w:pPr>
      <w:r w:rsidRPr="00920DFF">
        <w:t xml:space="preserve"> </w:t>
      </w:r>
    </w:p>
    <w:tbl>
      <w:tblPr>
        <w:tblW w:w="0" w:type="auto"/>
        <w:tblLayout w:type="fixed"/>
        <w:tblLook w:val="0000" w:firstRow="0" w:lastRow="0" w:firstColumn="0" w:lastColumn="0" w:noHBand="0" w:noVBand="0"/>
      </w:tblPr>
      <w:tblGrid>
        <w:gridCol w:w="1728"/>
        <w:gridCol w:w="7740"/>
      </w:tblGrid>
      <w:tr w:rsidR="001F15FE" w:rsidRPr="00920DFF" w14:paraId="5CEBD774" w14:textId="77777777" w:rsidTr="00256F89">
        <w:tc>
          <w:tcPr>
            <w:tcW w:w="1728" w:type="dxa"/>
          </w:tcPr>
          <w:p w14:paraId="5CEBD768" w14:textId="0C40BF8E" w:rsidR="001F15FE" w:rsidRPr="00920DFF" w:rsidRDefault="00B26D7A">
            <w:pPr>
              <w:pStyle w:val="Heading5"/>
            </w:pPr>
            <w:bookmarkStart w:id="10" w:name="_f.__Qualification"/>
            <w:bookmarkEnd w:id="10"/>
            <w:proofErr w:type="gramStart"/>
            <w:r w:rsidRPr="00920DFF">
              <w:t>f</w:t>
            </w:r>
            <w:r w:rsidR="001F15FE" w:rsidRPr="00920DFF">
              <w:t xml:space="preserve">.  </w:t>
            </w:r>
            <w:bookmarkStart w:id="11" w:name="d"/>
            <w:r w:rsidR="001F15FE" w:rsidRPr="00920DFF">
              <w:t>Qualification</w:t>
            </w:r>
            <w:proofErr w:type="gramEnd"/>
            <w:r w:rsidR="001F15FE" w:rsidRPr="00920DFF">
              <w:t xml:space="preserve"> Requirements of Examiners – Initial Mental Disorder Examinations</w:t>
            </w:r>
            <w:bookmarkEnd w:id="11"/>
          </w:p>
        </w:tc>
        <w:tc>
          <w:tcPr>
            <w:tcW w:w="7740" w:type="dxa"/>
          </w:tcPr>
          <w:p w14:paraId="5CEBD769" w14:textId="2B015273" w:rsidR="001F15FE" w:rsidRPr="00920DFF" w:rsidRDefault="001F15FE">
            <w:pPr>
              <w:pStyle w:val="BlockText"/>
            </w:pPr>
            <w:r w:rsidRPr="00920DFF">
              <w:t>Mental health professionals with the following credentials are qualified to perform initial compensation and pension (C&amp;P) mental disorder examinations</w:t>
            </w:r>
          </w:p>
          <w:p w14:paraId="5CEBD76A" w14:textId="77777777" w:rsidR="001F15FE" w:rsidRPr="00920DFF" w:rsidRDefault="001F15FE">
            <w:pPr>
              <w:pStyle w:val="BlockText"/>
            </w:pPr>
          </w:p>
          <w:p w14:paraId="5CEBD76B" w14:textId="77777777" w:rsidR="001F15FE" w:rsidRPr="00920DFF" w:rsidRDefault="001F15FE">
            <w:pPr>
              <w:pStyle w:val="BulletText1"/>
            </w:pPr>
            <w:r w:rsidRPr="00920DFF">
              <w:t>board-certified or board-eligible psychiatrists</w:t>
            </w:r>
          </w:p>
          <w:p w14:paraId="5CEBD76C" w14:textId="6CC4D187" w:rsidR="001F15FE" w:rsidRPr="00920DFF" w:rsidRDefault="001F15FE">
            <w:pPr>
              <w:pStyle w:val="BulletText1"/>
            </w:pPr>
            <w:r w:rsidRPr="00920DFF">
              <w:t xml:space="preserve">licensed doctorate-level psychologists, </w:t>
            </w:r>
            <w:r w:rsidR="00046E42" w:rsidRPr="00920DFF">
              <w:t>or</w:t>
            </w:r>
            <w:r w:rsidRPr="00920DFF">
              <w:t xml:space="preserve"> </w:t>
            </w:r>
          </w:p>
          <w:p w14:paraId="5CEBD76D" w14:textId="55A71A62" w:rsidR="001F15FE" w:rsidRPr="00920DFF" w:rsidRDefault="001F15FE">
            <w:pPr>
              <w:pStyle w:val="BulletText1"/>
            </w:pPr>
            <w:r w:rsidRPr="00920DFF">
              <w:t>the following other mental health professionals, under the close supervision of a board-certified or board-eligible psychiatrist or licensed doctorate-level psychologist</w:t>
            </w:r>
          </w:p>
          <w:p w14:paraId="5CEBD76E" w14:textId="77777777" w:rsidR="001F15FE" w:rsidRPr="00920DFF" w:rsidRDefault="001F15FE">
            <w:pPr>
              <w:pStyle w:val="BulletText2"/>
            </w:pPr>
            <w:r w:rsidRPr="00920DFF">
              <w:t>doctorate-level mental health providers</w:t>
            </w:r>
          </w:p>
          <w:p w14:paraId="5CEBD76F" w14:textId="06AC02A3" w:rsidR="001F15FE" w:rsidRPr="00920DFF" w:rsidRDefault="001F15FE">
            <w:pPr>
              <w:pStyle w:val="BulletText2"/>
            </w:pPr>
            <w:r w:rsidRPr="00920DFF">
              <w:t xml:space="preserve">psychiatry residents, </w:t>
            </w:r>
            <w:r w:rsidR="00046E42" w:rsidRPr="00920DFF">
              <w:t>or</w:t>
            </w:r>
          </w:p>
          <w:p w14:paraId="5CEBD770" w14:textId="77777777" w:rsidR="001F15FE" w:rsidRPr="00920DFF" w:rsidRDefault="001F15FE">
            <w:pPr>
              <w:pStyle w:val="BulletText2"/>
            </w:pPr>
            <w:r w:rsidRPr="00920DFF">
              <w:t>clinical or counseling psychologists completing a one-year internship or residency.</w:t>
            </w:r>
          </w:p>
          <w:p w14:paraId="5CEBD771" w14:textId="77777777" w:rsidR="001F15FE" w:rsidRPr="00920DFF" w:rsidRDefault="001F15FE">
            <w:pPr>
              <w:pStyle w:val="BlockText"/>
            </w:pPr>
          </w:p>
          <w:p w14:paraId="5CEBD772" w14:textId="77777777" w:rsidR="00CE5339" w:rsidRPr="00920DFF" w:rsidRDefault="001F15FE">
            <w:pPr>
              <w:pStyle w:val="BlockText"/>
            </w:pPr>
            <w:r w:rsidRPr="00920DFF">
              <w:rPr>
                <w:b/>
                <w:bCs/>
                <w:i/>
                <w:iCs/>
              </w:rPr>
              <w:t>Note</w:t>
            </w:r>
            <w:r w:rsidRPr="00920DFF">
              <w:t xml:space="preserve">:  “Close supervision” means that the supervising psychiatrist or psychologist met with the Veteran and conferred with the examining mental health professional in providing the diagnosis and the final assessment.  The supervising psychiatrist or psychologist must co-sign the examination report.  </w:t>
            </w:r>
          </w:p>
          <w:p w14:paraId="2F7154BE" w14:textId="77777777" w:rsidR="001F15FE" w:rsidRPr="00920DFF" w:rsidRDefault="001F15FE" w:rsidP="00CE5339">
            <w:pPr>
              <w:pStyle w:val="BlockText"/>
            </w:pPr>
          </w:p>
          <w:p w14:paraId="6EE4F751" w14:textId="5E1ACEF2" w:rsidR="0070206C" w:rsidRPr="00920DFF" w:rsidRDefault="0070206C" w:rsidP="00CE5339">
            <w:pPr>
              <w:pStyle w:val="BlockText"/>
            </w:pPr>
            <w:r w:rsidRPr="00920DFF">
              <w:rPr>
                <w:b/>
                <w:i/>
              </w:rPr>
              <w:t>Important</w:t>
            </w:r>
            <w:r w:rsidRPr="00920DFF">
              <w:t xml:space="preserve">:  For a claim for posttraumatic stress disorder (PTSD) based upon a stressor related to the Veteran’s fear of hostile military or terrorist activity, </w:t>
            </w:r>
            <w:hyperlink r:id="rId21" w:history="1">
              <w:r w:rsidR="003B6D0C" w:rsidRPr="00920DFF">
                <w:rPr>
                  <w:rStyle w:val="Hyperlink"/>
                </w:rPr>
                <w:t>38 CFR 3.304(f)(3)</w:t>
              </w:r>
            </w:hyperlink>
            <w:r w:rsidR="003B6D0C" w:rsidRPr="00920DFF">
              <w:t xml:space="preserve"> </w:t>
            </w:r>
            <w:r w:rsidRPr="00920DFF">
              <w:t>directs that the examination must be conducted by a VA psychiatrist or psychologist, or a psychiatrist or psychologist with whom VA has contracted.</w:t>
            </w:r>
          </w:p>
          <w:p w14:paraId="1EDC698B" w14:textId="77777777" w:rsidR="0070206C" w:rsidRPr="00920DFF" w:rsidRDefault="0070206C" w:rsidP="00CE5339">
            <w:pPr>
              <w:pStyle w:val="BlockText"/>
            </w:pPr>
          </w:p>
          <w:p w14:paraId="5CEBD773" w14:textId="4222D65A" w:rsidR="00B41F91" w:rsidRPr="00920DFF" w:rsidRDefault="00B41F91" w:rsidP="00DF6E06">
            <w:pPr>
              <w:pStyle w:val="BlockText"/>
              <w:rPr>
                <w:i/>
              </w:rPr>
            </w:pPr>
            <w:r w:rsidRPr="00920DFF">
              <w:rPr>
                <w:b/>
                <w:i/>
              </w:rPr>
              <w:t>References</w:t>
            </w:r>
            <w:r w:rsidRPr="00920DFF">
              <w:t>:</w:t>
            </w:r>
            <w:r w:rsidR="0049372C" w:rsidRPr="00920DFF">
              <w:t xml:space="preserve">  For more information on</w:t>
            </w:r>
            <w:r w:rsidR="00B04574" w:rsidRPr="00920DFF">
              <w:t xml:space="preserve"> the qualifications of</w:t>
            </w:r>
            <w:r w:rsidR="00BE1B64" w:rsidRPr="00920DFF">
              <w:t xml:space="preserve"> examiners</w:t>
            </w:r>
            <w:r w:rsidR="00B04574" w:rsidRPr="00920DFF">
              <w:t xml:space="preserve"> for </w:t>
            </w:r>
            <w:r w:rsidR="00DF6E06" w:rsidRPr="00920DFF">
              <w:t xml:space="preserve">specific examinations, to include </w:t>
            </w:r>
            <w:r w:rsidR="00B04574" w:rsidRPr="00920DFF">
              <w:t>initial mental disorders examinations</w:t>
            </w:r>
            <w:r w:rsidR="00BE1B64" w:rsidRPr="00920DFF">
              <w:t xml:space="preserve">, </w:t>
            </w:r>
            <w:r w:rsidR="00DF6E06" w:rsidRPr="00920DFF">
              <w:t xml:space="preserve">PTSD, and eating disorders, </w:t>
            </w:r>
            <w:r w:rsidR="00BE1B64" w:rsidRPr="00920DFF">
              <w:t>see</w:t>
            </w:r>
            <w:r w:rsidR="00DF6E06" w:rsidRPr="00920DFF">
              <w:t xml:space="preserve"> </w:t>
            </w:r>
            <w:hyperlink r:id="rId22" w:history="1">
              <w:r w:rsidR="00DF6E06" w:rsidRPr="00920DFF">
                <w:rPr>
                  <w:rStyle w:val="Hyperlink"/>
                </w:rPr>
                <w:t>DBQ Switchboard</w:t>
              </w:r>
            </w:hyperlink>
            <w:r w:rsidR="00DF6E06" w:rsidRPr="00920DFF">
              <w:t>.</w:t>
            </w:r>
          </w:p>
        </w:tc>
      </w:tr>
    </w:tbl>
    <w:p w14:paraId="5CEBD778" w14:textId="77777777" w:rsidR="001F15FE" w:rsidRPr="00920DFF" w:rsidRDefault="0014508B" w:rsidP="00C531C4">
      <w:pPr>
        <w:pStyle w:val="BlockLine"/>
      </w:pPr>
      <w:r w:rsidRPr="00920DFF">
        <w:fldChar w:fldCharType="begin"/>
      </w:r>
      <w:r w:rsidRPr="00920DFF">
        <w:instrText xml:space="preserve"> PRIVATE INFOTYPE="PRINCIPLE" </w:instrText>
      </w:r>
      <w:r w:rsidRPr="00920DFF">
        <w:fldChar w:fldCharType="end"/>
      </w:r>
    </w:p>
    <w:tbl>
      <w:tblPr>
        <w:tblW w:w="0" w:type="auto"/>
        <w:tblLayout w:type="fixed"/>
        <w:tblLook w:val="0000" w:firstRow="0" w:lastRow="0" w:firstColumn="0" w:lastColumn="0" w:noHBand="0" w:noVBand="0"/>
      </w:tblPr>
      <w:tblGrid>
        <w:gridCol w:w="1728"/>
        <w:gridCol w:w="7740"/>
      </w:tblGrid>
      <w:tr w:rsidR="001F15FE" w:rsidRPr="00920DFF" w14:paraId="5CEBD782" w14:textId="77777777" w:rsidTr="00AC79DD">
        <w:trPr>
          <w:trHeight w:val="4635"/>
        </w:trPr>
        <w:tc>
          <w:tcPr>
            <w:tcW w:w="1728" w:type="dxa"/>
          </w:tcPr>
          <w:p w14:paraId="5CEBD779" w14:textId="0FEDE350" w:rsidR="001F15FE" w:rsidRPr="00920DFF" w:rsidRDefault="00B26D7A">
            <w:pPr>
              <w:pStyle w:val="Heading5"/>
            </w:pPr>
            <w:bookmarkStart w:id="12" w:name="_g.__Qualification"/>
            <w:bookmarkEnd w:id="12"/>
            <w:proofErr w:type="gramStart"/>
            <w:r w:rsidRPr="00920DFF">
              <w:t>g</w:t>
            </w:r>
            <w:r w:rsidR="001F15FE" w:rsidRPr="00920DFF">
              <w:t xml:space="preserve">.  </w:t>
            </w:r>
            <w:bookmarkStart w:id="13" w:name="e"/>
            <w:r w:rsidR="001F15FE" w:rsidRPr="00920DFF">
              <w:t>Qualification</w:t>
            </w:r>
            <w:proofErr w:type="gramEnd"/>
            <w:r w:rsidR="001F15FE" w:rsidRPr="00920DFF">
              <w:t xml:space="preserve"> Requirements of Examiners – Review or Increased Evaluation Mental Disorder Examinations</w:t>
            </w:r>
            <w:bookmarkEnd w:id="13"/>
          </w:p>
        </w:tc>
        <w:tc>
          <w:tcPr>
            <w:tcW w:w="7740" w:type="dxa"/>
          </w:tcPr>
          <w:p w14:paraId="5CEBD77A" w14:textId="34361B1A" w:rsidR="001F15FE" w:rsidRPr="00920DFF" w:rsidRDefault="001F15FE">
            <w:pPr>
              <w:pStyle w:val="BlockText"/>
            </w:pPr>
            <w:r w:rsidRPr="00920DFF">
              <w:t>Mental health professionals with the following credentials are qualified to perform C&amp;P mental disorder review examinations or examinations in claims for increased evaluations of service-connected (SC) mental disorders</w:t>
            </w:r>
          </w:p>
          <w:p w14:paraId="5CEBD77B" w14:textId="77777777" w:rsidR="001F15FE" w:rsidRPr="00920DFF" w:rsidRDefault="001F15FE">
            <w:pPr>
              <w:pStyle w:val="BlockText"/>
            </w:pPr>
          </w:p>
          <w:p w14:paraId="5CEBD77C" w14:textId="7FD7D05F" w:rsidR="001F15FE" w:rsidRPr="00920DFF" w:rsidRDefault="001F15FE">
            <w:pPr>
              <w:pStyle w:val="BulletText1"/>
            </w:pPr>
            <w:r w:rsidRPr="00920DFF">
              <w:t xml:space="preserve">mental health professionals qualified to perform initial mental disorder examinations per </w:t>
            </w:r>
            <w:r w:rsidR="00FC2CF0" w:rsidRPr="00920DFF">
              <w:rPr>
                <w:color w:val="auto"/>
              </w:rPr>
              <w:t>M21-1, Part III, Subpart iv, 3.D.1.</w:t>
            </w:r>
            <w:r w:rsidR="0070206C" w:rsidRPr="00920DFF">
              <w:rPr>
                <w:color w:val="auto"/>
              </w:rPr>
              <w:t>f</w:t>
            </w:r>
            <w:r w:rsidRPr="00920DFF">
              <w:t xml:space="preserve">, </w:t>
            </w:r>
            <w:r w:rsidR="0070206C" w:rsidRPr="00920DFF">
              <w:t>or</w:t>
            </w:r>
          </w:p>
          <w:p w14:paraId="5CEBD77D" w14:textId="77777777" w:rsidR="001F15FE" w:rsidRPr="00920DFF" w:rsidRDefault="001F15FE">
            <w:pPr>
              <w:pStyle w:val="BulletText1"/>
            </w:pPr>
            <w:r w:rsidRPr="00920DFF">
              <w:t xml:space="preserve">other mental health professional under the close supervision of a board-certified or board-eligible psychiatrist or licensed doctorate-level psychologist, including </w:t>
            </w:r>
          </w:p>
          <w:p w14:paraId="5CEBD77E" w14:textId="77777777" w:rsidR="001F15FE" w:rsidRPr="00920DFF" w:rsidRDefault="001F15FE">
            <w:pPr>
              <w:pStyle w:val="BulletText2"/>
            </w:pPr>
            <w:r w:rsidRPr="00920DFF">
              <w:t>licensed clinical social workers</w:t>
            </w:r>
          </w:p>
          <w:p w14:paraId="5CEBD77F" w14:textId="77777777" w:rsidR="001F15FE" w:rsidRPr="00920DFF" w:rsidRDefault="001F15FE">
            <w:pPr>
              <w:pStyle w:val="BulletText2"/>
            </w:pPr>
            <w:r w:rsidRPr="00920DFF">
              <w:t>nurse practitioners</w:t>
            </w:r>
          </w:p>
          <w:p w14:paraId="5CEBD780" w14:textId="77777777" w:rsidR="001F15FE" w:rsidRPr="00920DFF" w:rsidRDefault="001F15FE">
            <w:pPr>
              <w:pStyle w:val="BulletText2"/>
            </w:pPr>
            <w:r w:rsidRPr="00920DFF">
              <w:t>clinical nurse specialists, and</w:t>
            </w:r>
          </w:p>
          <w:p w14:paraId="1F91F193" w14:textId="77777777" w:rsidR="001F15FE" w:rsidRPr="00920DFF" w:rsidRDefault="001F15FE">
            <w:pPr>
              <w:pStyle w:val="BulletText2"/>
            </w:pPr>
            <w:r w:rsidRPr="00920DFF">
              <w:t>physician assistants.</w:t>
            </w:r>
          </w:p>
          <w:p w14:paraId="3CED67CC" w14:textId="77777777" w:rsidR="00CA6ED7" w:rsidRPr="00920DFF" w:rsidRDefault="00CA6ED7" w:rsidP="00910443">
            <w:pPr>
              <w:pStyle w:val="BulletText2"/>
              <w:numPr>
                <w:ilvl w:val="0"/>
                <w:numId w:val="0"/>
              </w:numPr>
            </w:pPr>
          </w:p>
          <w:p w14:paraId="5CEBD781" w14:textId="1561CFA4" w:rsidR="00CA6ED7" w:rsidRPr="00920DFF" w:rsidRDefault="00CA6ED7" w:rsidP="00A30738">
            <w:r w:rsidRPr="00920DFF">
              <w:rPr>
                <w:b/>
                <w:i/>
              </w:rPr>
              <w:t>Reference</w:t>
            </w:r>
            <w:r w:rsidR="00FC0D67" w:rsidRPr="00920DFF">
              <w:t>:  F</w:t>
            </w:r>
            <w:r w:rsidR="000C38DD" w:rsidRPr="00920DFF">
              <w:t xml:space="preserve">or more information on the qualifications of examiners for review examinations for PTSD, see </w:t>
            </w:r>
            <w:r w:rsidR="00776F31" w:rsidRPr="00920DFF">
              <w:t xml:space="preserve">the </w:t>
            </w:r>
            <w:r w:rsidR="00776F31" w:rsidRPr="00920DFF">
              <w:rPr>
                <w:i/>
              </w:rPr>
              <w:t>PTSD DBQ</w:t>
            </w:r>
            <w:r w:rsidR="00776F31" w:rsidRPr="00920DFF">
              <w:t xml:space="preserve"> in the </w:t>
            </w:r>
            <w:hyperlink r:id="rId23" w:history="1">
              <w:r w:rsidR="00776F31" w:rsidRPr="00920DFF">
                <w:rPr>
                  <w:rStyle w:val="Hyperlink"/>
                  <w:i/>
                </w:rPr>
                <w:t>DBQ Switchboard</w:t>
              </w:r>
            </w:hyperlink>
            <w:r w:rsidR="00FC1560" w:rsidRPr="00920DFF">
              <w:t>.</w:t>
            </w:r>
          </w:p>
        </w:tc>
      </w:tr>
    </w:tbl>
    <w:p w14:paraId="5CEBD783" w14:textId="4CD93E24" w:rsidR="00C531C4" w:rsidRPr="00920DFF" w:rsidRDefault="00C531C4" w:rsidP="00C531C4">
      <w:pPr>
        <w:pStyle w:val="BlockLine"/>
      </w:pPr>
    </w:p>
    <w:tbl>
      <w:tblPr>
        <w:tblW w:w="0" w:type="auto"/>
        <w:tblLayout w:type="fixed"/>
        <w:tblLook w:val="0000" w:firstRow="0" w:lastRow="0" w:firstColumn="0" w:lastColumn="0" w:noHBand="0" w:noVBand="0"/>
      </w:tblPr>
      <w:tblGrid>
        <w:gridCol w:w="1728"/>
        <w:gridCol w:w="7740"/>
      </w:tblGrid>
      <w:tr w:rsidR="00C531C4" w:rsidRPr="00920DFF" w14:paraId="5CEBD790" w14:textId="77777777" w:rsidTr="00C531C4">
        <w:tc>
          <w:tcPr>
            <w:tcW w:w="1728" w:type="dxa"/>
            <w:shd w:val="clear" w:color="auto" w:fill="auto"/>
          </w:tcPr>
          <w:p w14:paraId="5CEBD784" w14:textId="0275C9AB" w:rsidR="00C531C4" w:rsidRPr="00920DFF" w:rsidRDefault="00B26D7A" w:rsidP="00A571C1">
            <w:pPr>
              <w:pStyle w:val="Heading5"/>
            </w:pPr>
            <w:bookmarkStart w:id="14" w:name="_h.__Qualification"/>
            <w:bookmarkEnd w:id="14"/>
            <w:proofErr w:type="gramStart"/>
            <w:r w:rsidRPr="00920DFF">
              <w:t>h</w:t>
            </w:r>
            <w:r w:rsidR="00564F91" w:rsidRPr="00920DFF">
              <w:t xml:space="preserve">. </w:t>
            </w:r>
            <w:bookmarkStart w:id="15" w:name="f"/>
            <w:r w:rsidR="00D3243B" w:rsidRPr="00920DFF">
              <w:t xml:space="preserve"> </w:t>
            </w:r>
            <w:r w:rsidR="00A571C1" w:rsidRPr="00920DFF">
              <w:t>Qualification</w:t>
            </w:r>
            <w:proofErr w:type="gramEnd"/>
            <w:r w:rsidR="00A571C1" w:rsidRPr="00920DFF">
              <w:t xml:space="preserve"> Requirements of Examiners -</w:t>
            </w:r>
            <w:r w:rsidR="00C531C4" w:rsidRPr="00920DFF">
              <w:t xml:space="preserve"> </w:t>
            </w:r>
            <w:r w:rsidR="000606FF" w:rsidRPr="00920DFF">
              <w:t>TBI</w:t>
            </w:r>
            <w:r w:rsidR="00C531C4" w:rsidRPr="00920DFF">
              <w:t xml:space="preserve"> </w:t>
            </w:r>
            <w:r w:rsidR="00213185" w:rsidRPr="00920DFF">
              <w:t>Examinations</w:t>
            </w:r>
            <w:bookmarkEnd w:id="15"/>
          </w:p>
        </w:tc>
        <w:tc>
          <w:tcPr>
            <w:tcW w:w="7740" w:type="dxa"/>
            <w:shd w:val="clear" w:color="auto" w:fill="auto"/>
          </w:tcPr>
          <w:p w14:paraId="73D74916" w14:textId="1D8AC065" w:rsidR="000606FF" w:rsidRPr="00920DFF" w:rsidRDefault="0026575A" w:rsidP="00564F91">
            <w:pPr>
              <w:pStyle w:val="BlockText"/>
            </w:pPr>
            <w:r w:rsidRPr="00920DFF">
              <w:t xml:space="preserve">The </w:t>
            </w:r>
            <w:r w:rsidRPr="00920DFF">
              <w:rPr>
                <w:i/>
              </w:rPr>
              <w:t xml:space="preserve">initial </w:t>
            </w:r>
            <w:r w:rsidRPr="00920DFF">
              <w:t>diagnosis of traumatic brain injury (TBI) must be made by one of the following specialists</w:t>
            </w:r>
          </w:p>
          <w:p w14:paraId="5CEBD785" w14:textId="6F03B4F6" w:rsidR="00564F91" w:rsidRPr="00920DFF" w:rsidRDefault="00564F91" w:rsidP="00564F91">
            <w:pPr>
              <w:pStyle w:val="BlockText"/>
            </w:pPr>
          </w:p>
          <w:p w14:paraId="5CEBD786" w14:textId="77777777" w:rsidR="00564F91" w:rsidRPr="00920DFF" w:rsidRDefault="00564F91" w:rsidP="00564F91">
            <w:pPr>
              <w:pStyle w:val="BulletText1"/>
            </w:pPr>
            <w:r w:rsidRPr="00920DFF">
              <w:t xml:space="preserve">physiatrists, </w:t>
            </w:r>
          </w:p>
          <w:p w14:paraId="5CEBD787" w14:textId="77777777" w:rsidR="00564F91" w:rsidRPr="00920DFF" w:rsidRDefault="00564F91" w:rsidP="00564F91">
            <w:pPr>
              <w:pStyle w:val="BulletText1"/>
            </w:pPr>
            <w:r w:rsidRPr="00920DFF">
              <w:t xml:space="preserve">psychiatrists, </w:t>
            </w:r>
          </w:p>
          <w:p w14:paraId="5CEBD788" w14:textId="7C422C23" w:rsidR="00564F91" w:rsidRPr="00920DFF" w:rsidRDefault="00564F91" w:rsidP="00564F91">
            <w:pPr>
              <w:pStyle w:val="BulletText1"/>
            </w:pPr>
            <w:r w:rsidRPr="00920DFF">
              <w:t>neurosurgeons</w:t>
            </w:r>
            <w:r w:rsidR="0026575A" w:rsidRPr="00920DFF">
              <w:t>,</w:t>
            </w:r>
            <w:r w:rsidRPr="00920DFF">
              <w:t xml:space="preserve"> </w:t>
            </w:r>
            <w:r w:rsidR="0026575A" w:rsidRPr="00920DFF">
              <w:t>or</w:t>
            </w:r>
            <w:r w:rsidRPr="00920DFF">
              <w:t xml:space="preserve"> </w:t>
            </w:r>
          </w:p>
          <w:p w14:paraId="2DF214F7" w14:textId="11A434C7" w:rsidR="0026575A" w:rsidRPr="00920DFF" w:rsidRDefault="00564F91" w:rsidP="00564F91">
            <w:pPr>
              <w:pStyle w:val="BulletText1"/>
            </w:pPr>
            <w:r w:rsidRPr="00920DFF">
              <w:t>neurologists</w:t>
            </w:r>
            <w:r w:rsidR="0026575A" w:rsidRPr="00920DFF">
              <w:t>.</w:t>
            </w:r>
          </w:p>
          <w:p w14:paraId="5CEBD789" w14:textId="3B1B13B5" w:rsidR="00564F91" w:rsidRPr="00920DFF" w:rsidRDefault="00564F91" w:rsidP="0026575A">
            <w:pPr>
              <w:pStyle w:val="BulletText1"/>
              <w:numPr>
                <w:ilvl w:val="0"/>
                <w:numId w:val="0"/>
              </w:numPr>
              <w:ind w:left="173" w:hanging="173"/>
            </w:pPr>
            <w:r w:rsidRPr="00920DFF">
              <w:t xml:space="preserve"> </w:t>
            </w:r>
          </w:p>
          <w:p w14:paraId="5CEBD78A" w14:textId="638965B9" w:rsidR="00564F91" w:rsidRPr="00920DFF" w:rsidRDefault="0026575A" w:rsidP="0026575A">
            <w:pPr>
              <w:pStyle w:val="BulletText1"/>
              <w:numPr>
                <w:ilvl w:val="0"/>
                <w:numId w:val="0"/>
              </w:numPr>
            </w:pPr>
            <w:r w:rsidRPr="00920DFF">
              <w:rPr>
                <w:b/>
                <w:i/>
              </w:rPr>
              <w:t>Note</w:t>
            </w:r>
            <w:r w:rsidRPr="00920DFF">
              <w:t xml:space="preserve">:  A </w:t>
            </w:r>
            <w:r w:rsidR="00564F91" w:rsidRPr="00920DFF">
              <w:t>generalist clinician</w:t>
            </w:r>
            <w:r w:rsidR="00037C95" w:rsidRPr="00920DFF">
              <w:t xml:space="preserve"> who </w:t>
            </w:r>
            <w:r w:rsidRPr="00920DFF">
              <w:t xml:space="preserve">has successfully </w:t>
            </w:r>
            <w:r w:rsidR="00037C95" w:rsidRPr="00920DFF">
              <w:t>complete</w:t>
            </w:r>
            <w:r w:rsidRPr="00920DFF">
              <w:t>d</w:t>
            </w:r>
            <w:r w:rsidR="00037C95" w:rsidRPr="00920DFF">
              <w:t xml:space="preserve"> the</w:t>
            </w:r>
            <w:r w:rsidR="00564F91" w:rsidRPr="00920DFF">
              <w:t xml:space="preserve"> </w:t>
            </w:r>
            <w:r w:rsidR="00A6030F" w:rsidRPr="00920DFF">
              <w:t>Disability Examination Management Office (DEMO)</w:t>
            </w:r>
            <w:r w:rsidR="00564F91" w:rsidRPr="00920DFF">
              <w:t xml:space="preserve"> TBI training module</w:t>
            </w:r>
            <w:r w:rsidR="000F6DAD" w:rsidRPr="00920DFF">
              <w:t xml:space="preserve"> may conduct a TBI examination, if a TBI diagnosis is of record and was established by one of the aforementioned specialty providers</w:t>
            </w:r>
            <w:r w:rsidR="00564F91" w:rsidRPr="00920DFF">
              <w:t xml:space="preserve">. </w:t>
            </w:r>
          </w:p>
          <w:p w14:paraId="5CEBD78D" w14:textId="77777777" w:rsidR="00564F91" w:rsidRPr="00920DFF" w:rsidRDefault="00564F91" w:rsidP="00564F91">
            <w:pPr>
              <w:pStyle w:val="BlockText"/>
            </w:pPr>
          </w:p>
          <w:p w14:paraId="5CEBD78F" w14:textId="0BFA11A5" w:rsidR="00CA6ED7" w:rsidRPr="00920DFF" w:rsidRDefault="00CA6ED7" w:rsidP="003903B0">
            <w:pPr>
              <w:pStyle w:val="BlockText"/>
              <w:rPr>
                <w:i/>
              </w:rPr>
            </w:pPr>
            <w:r w:rsidRPr="00920DFF">
              <w:rPr>
                <w:b/>
                <w:i/>
                <w:color w:val="auto"/>
              </w:rPr>
              <w:t>Reference</w:t>
            </w:r>
            <w:r w:rsidRPr="00920DFF">
              <w:rPr>
                <w:color w:val="auto"/>
              </w:rPr>
              <w:t xml:space="preserve">: </w:t>
            </w:r>
            <w:r w:rsidR="00C727F7" w:rsidRPr="00920DFF">
              <w:rPr>
                <w:color w:val="auto"/>
              </w:rPr>
              <w:t xml:space="preserve"> F</w:t>
            </w:r>
            <w:r w:rsidR="000C38DD" w:rsidRPr="00920DFF">
              <w:rPr>
                <w:color w:val="auto"/>
              </w:rPr>
              <w:t>or more information on qualifications of examiners for TBI examinations, see</w:t>
            </w:r>
            <w:r w:rsidR="00DF6E06" w:rsidRPr="00920DFF">
              <w:rPr>
                <w:color w:val="auto"/>
              </w:rPr>
              <w:t xml:space="preserve"> </w:t>
            </w:r>
            <w:r w:rsidR="00776F31" w:rsidRPr="00920DFF">
              <w:rPr>
                <w:color w:val="auto"/>
              </w:rPr>
              <w:t xml:space="preserve">the </w:t>
            </w:r>
            <w:r w:rsidR="00776F31" w:rsidRPr="00920DFF">
              <w:rPr>
                <w:i/>
                <w:color w:val="auto"/>
              </w:rPr>
              <w:t>TBI DBQ</w:t>
            </w:r>
            <w:r w:rsidR="00776F31" w:rsidRPr="00920DFF">
              <w:rPr>
                <w:color w:val="auto"/>
              </w:rPr>
              <w:t xml:space="preserve"> in the </w:t>
            </w:r>
            <w:hyperlink r:id="rId24" w:history="1">
              <w:r w:rsidR="003903B0" w:rsidRPr="00920DFF">
                <w:rPr>
                  <w:rStyle w:val="Hyperlink"/>
                </w:rPr>
                <w:t>DBQ Switchboard</w:t>
              </w:r>
            </w:hyperlink>
            <w:r w:rsidR="003903B0" w:rsidRPr="00920DFF">
              <w:rPr>
                <w:color w:val="auto"/>
              </w:rPr>
              <w:t>.</w:t>
            </w:r>
          </w:p>
        </w:tc>
      </w:tr>
    </w:tbl>
    <w:p w14:paraId="527C60A4" w14:textId="52BE1352" w:rsidR="00055C47" w:rsidRPr="00920DFF" w:rsidRDefault="001E35E5" w:rsidP="001E35E5">
      <w:pPr>
        <w:pStyle w:val="MapTitleContinued"/>
        <w:tabs>
          <w:tab w:val="left" w:pos="9360"/>
        </w:tabs>
        <w:spacing w:after="0"/>
        <w:ind w:left="1714"/>
        <w:rPr>
          <w:rFonts w:ascii="Times New Roman" w:hAnsi="Times New Roman" w:cs="Times New Roman"/>
          <w:b w:val="0"/>
          <w:sz w:val="24"/>
          <w:szCs w:val="24"/>
        </w:rPr>
      </w:pPr>
      <w:r w:rsidRPr="00920DFF">
        <w:rPr>
          <w:rFonts w:ascii="Times New Roman" w:hAnsi="Times New Roman" w:cs="Times New Roman"/>
          <w:b w:val="0"/>
          <w:sz w:val="24"/>
          <w:szCs w:val="24"/>
          <w:u w:val="single"/>
        </w:rPr>
        <w:tab/>
      </w:r>
    </w:p>
    <w:p w14:paraId="110B0E37" w14:textId="77777777" w:rsidR="001E35E5" w:rsidRPr="00920DFF" w:rsidRDefault="001E35E5" w:rsidP="001E35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55C47" w:rsidRPr="00920DFF" w14:paraId="51D9D535" w14:textId="77777777" w:rsidTr="00881EBE">
        <w:tc>
          <w:tcPr>
            <w:tcW w:w="1728" w:type="dxa"/>
            <w:shd w:val="clear" w:color="auto" w:fill="auto"/>
          </w:tcPr>
          <w:p w14:paraId="7816C127" w14:textId="0251766F" w:rsidR="00055C47" w:rsidRPr="00920DFF" w:rsidRDefault="00B26D7A" w:rsidP="00214149">
            <w:pPr>
              <w:pStyle w:val="Heading5"/>
            </w:pPr>
            <w:bookmarkStart w:id="16" w:name="_i.__Qualification"/>
            <w:bookmarkEnd w:id="16"/>
            <w:proofErr w:type="gramStart"/>
            <w:r w:rsidRPr="00920DFF">
              <w:t>i</w:t>
            </w:r>
            <w:r w:rsidR="00FC16C7" w:rsidRPr="00920DFF">
              <w:t xml:space="preserve">. </w:t>
            </w:r>
            <w:r w:rsidR="00D3243B" w:rsidRPr="00920DFF">
              <w:t xml:space="preserve"> </w:t>
            </w:r>
            <w:r w:rsidR="008C438A" w:rsidRPr="00920DFF">
              <w:t>Qualification</w:t>
            </w:r>
            <w:proofErr w:type="gramEnd"/>
            <w:r w:rsidR="008C438A" w:rsidRPr="00920DFF">
              <w:t xml:space="preserve"> Requirements of Examiners – </w:t>
            </w:r>
            <w:r w:rsidR="00393264" w:rsidRPr="00920DFF">
              <w:t xml:space="preserve">  Hearing Loss and Tinnitus</w:t>
            </w:r>
          </w:p>
        </w:tc>
        <w:tc>
          <w:tcPr>
            <w:tcW w:w="7740" w:type="dxa"/>
            <w:shd w:val="clear" w:color="auto" w:fill="auto"/>
          </w:tcPr>
          <w:p w14:paraId="69F08D39" w14:textId="46C11544" w:rsidR="0037579D" w:rsidRPr="00920DFF" w:rsidRDefault="0037579D" w:rsidP="002D585C">
            <w:r w:rsidRPr="00920DFF">
              <w:t>Hearing loss examinations must be completed by an audiologist.</w:t>
            </w:r>
            <w:r w:rsidR="00DF6E06" w:rsidRPr="00920DFF">
              <w:t xml:space="preserve">  A hearing loss examination is needed for an initial </w:t>
            </w:r>
            <w:r w:rsidR="007633DD" w:rsidRPr="00920DFF">
              <w:t xml:space="preserve">exam </w:t>
            </w:r>
            <w:r w:rsidR="00DF6E06" w:rsidRPr="00920DFF">
              <w:t>for tinnitus.</w:t>
            </w:r>
          </w:p>
          <w:p w14:paraId="4C66A424" w14:textId="77777777" w:rsidR="0037579D" w:rsidRPr="00920DFF" w:rsidRDefault="0037579D" w:rsidP="002D585C"/>
          <w:p w14:paraId="3EC7AB47" w14:textId="3316F71B" w:rsidR="002D585C" w:rsidRPr="00920DFF" w:rsidRDefault="00DF6E06" w:rsidP="002D585C">
            <w:r w:rsidRPr="00920DFF">
              <w:t xml:space="preserve">If only a </w:t>
            </w:r>
            <w:r w:rsidR="0037579D" w:rsidRPr="00920DFF">
              <w:t xml:space="preserve">tinnitus examination </w:t>
            </w:r>
            <w:r w:rsidRPr="00920DFF">
              <w:t>is being requested, the examination may be conducted</w:t>
            </w:r>
            <w:r w:rsidR="0037579D" w:rsidRPr="00920DFF">
              <w:t xml:space="preserve"> by </w:t>
            </w:r>
            <w:r w:rsidR="00214149" w:rsidRPr="00920DFF">
              <w:t xml:space="preserve">either </w:t>
            </w:r>
            <w:r w:rsidR="0037579D" w:rsidRPr="00920DFF">
              <w:t>an audiologist or non-audiologist clinician</w:t>
            </w:r>
            <w:r w:rsidR="000F6DAD" w:rsidRPr="00920DFF">
              <w:t>, if a hearing loss examination is of record.</w:t>
            </w:r>
          </w:p>
          <w:p w14:paraId="3AB83883" w14:textId="77777777" w:rsidR="0037579D" w:rsidRPr="00920DFF" w:rsidRDefault="0037579D" w:rsidP="002D585C"/>
          <w:p w14:paraId="485CBF33" w14:textId="417AF26B" w:rsidR="0037579D" w:rsidRPr="00920DFF" w:rsidRDefault="002D585C" w:rsidP="002D585C">
            <w:r w:rsidRPr="00920DFF">
              <w:rPr>
                <w:b/>
                <w:i/>
              </w:rPr>
              <w:t>Reference</w:t>
            </w:r>
            <w:r w:rsidR="0037579D" w:rsidRPr="00920DFF">
              <w:rPr>
                <w:b/>
                <w:i/>
              </w:rPr>
              <w:t>s</w:t>
            </w:r>
            <w:r w:rsidRPr="00920DFF">
              <w:t>:</w:t>
            </w:r>
            <w:r w:rsidR="00FA7BFC" w:rsidRPr="00920DFF">
              <w:t xml:space="preserve"> </w:t>
            </w:r>
            <w:r w:rsidR="0037579D" w:rsidRPr="00920DFF">
              <w:t xml:space="preserve"> F</w:t>
            </w:r>
            <w:r w:rsidR="00FA7BFC" w:rsidRPr="00920DFF">
              <w:t xml:space="preserve">or more information on </w:t>
            </w:r>
          </w:p>
          <w:p w14:paraId="702C68A9" w14:textId="55859672" w:rsidR="002D585C" w:rsidRPr="00920DFF" w:rsidRDefault="00FA7BFC" w:rsidP="007633DD">
            <w:pPr>
              <w:pStyle w:val="ListParagraph"/>
              <w:numPr>
                <w:ilvl w:val="0"/>
                <w:numId w:val="52"/>
              </w:numPr>
              <w:ind w:left="158" w:hanging="187"/>
            </w:pPr>
            <w:r w:rsidRPr="00920DFF">
              <w:t xml:space="preserve">qualifications for examiners for hearing loss and tinnitus examinations, see </w:t>
            </w:r>
            <w:r w:rsidR="00776F31" w:rsidRPr="00920DFF">
              <w:t xml:space="preserve">the </w:t>
            </w:r>
            <w:r w:rsidR="00776F31" w:rsidRPr="00920DFF">
              <w:rPr>
                <w:i/>
              </w:rPr>
              <w:t>Hearing Loss and Tinnitus DBQ</w:t>
            </w:r>
            <w:r w:rsidR="00776F31" w:rsidRPr="00920DFF">
              <w:t xml:space="preserve"> in the </w:t>
            </w:r>
            <w:hyperlink r:id="rId25" w:history="1">
              <w:r w:rsidR="00776F31" w:rsidRPr="00920DFF">
                <w:rPr>
                  <w:rStyle w:val="Hyperlink"/>
                </w:rPr>
                <w:t>DBQ Switchboard</w:t>
              </w:r>
            </w:hyperlink>
          </w:p>
          <w:p w14:paraId="3BE26099" w14:textId="77777777" w:rsidR="00145BCF" w:rsidRPr="00920DFF" w:rsidRDefault="0037579D" w:rsidP="007633DD">
            <w:pPr>
              <w:pStyle w:val="ListParagraph"/>
              <w:numPr>
                <w:ilvl w:val="0"/>
                <w:numId w:val="52"/>
              </w:numPr>
              <w:ind w:left="158" w:hanging="187"/>
            </w:pPr>
            <w:r w:rsidRPr="00920DFF">
              <w:t xml:space="preserve">evaluating hearing loss and tinnitus, see </w:t>
            </w:r>
          </w:p>
          <w:p w14:paraId="1C94B126" w14:textId="224DBDA0" w:rsidR="0037579D" w:rsidRPr="00920DFF" w:rsidRDefault="0037579D" w:rsidP="007633DD">
            <w:pPr>
              <w:pStyle w:val="ListParagraph"/>
              <w:numPr>
                <w:ilvl w:val="0"/>
                <w:numId w:val="73"/>
              </w:numPr>
              <w:ind w:left="346" w:hanging="187"/>
            </w:pPr>
            <w:r w:rsidRPr="00920DFF">
              <w:t>M2</w:t>
            </w:r>
            <w:r w:rsidR="00145BCF" w:rsidRPr="00920DFF">
              <w:t>1-1, Part III, Subpart iv, 4.B, and</w:t>
            </w:r>
          </w:p>
          <w:p w14:paraId="1BFCF1ED" w14:textId="5F6BB620" w:rsidR="00145BCF" w:rsidRPr="00920DFF" w:rsidRDefault="00920DFF" w:rsidP="007633DD">
            <w:pPr>
              <w:pStyle w:val="ListParagraph"/>
              <w:numPr>
                <w:ilvl w:val="0"/>
                <w:numId w:val="74"/>
              </w:numPr>
              <w:ind w:left="346" w:hanging="187"/>
            </w:pPr>
            <w:hyperlink r:id="rId26" w:history="1">
              <w:r w:rsidR="00145BCF" w:rsidRPr="00920DFF">
                <w:rPr>
                  <w:rStyle w:val="Hyperlink"/>
                </w:rPr>
                <w:t>38 CFR 4.85</w:t>
              </w:r>
            </w:hyperlink>
            <w:r w:rsidR="00145BCF" w:rsidRPr="00920DFF">
              <w:t>.</w:t>
            </w:r>
          </w:p>
        </w:tc>
      </w:tr>
    </w:tbl>
    <w:p w14:paraId="31641B85" w14:textId="467A4D63" w:rsidR="006F4081" w:rsidRPr="00920DFF" w:rsidRDefault="00214149" w:rsidP="00214149">
      <w:pPr>
        <w:tabs>
          <w:tab w:val="left" w:pos="9360"/>
        </w:tabs>
        <w:ind w:left="1714"/>
      </w:pPr>
      <w:r w:rsidRPr="00920DFF">
        <w:rPr>
          <w:u w:val="single"/>
        </w:rPr>
        <w:tab/>
      </w:r>
    </w:p>
    <w:p w14:paraId="56E2786A" w14:textId="77777777" w:rsidR="00924F91" w:rsidRPr="00920DFF" w:rsidRDefault="00924F91" w:rsidP="00214149">
      <w:pPr>
        <w:ind w:left="1714"/>
      </w:pPr>
    </w:p>
    <w:tbl>
      <w:tblPr>
        <w:tblW w:w="0" w:type="auto"/>
        <w:tblLayout w:type="fixed"/>
        <w:tblLook w:val="0000" w:firstRow="0" w:lastRow="0" w:firstColumn="0" w:lastColumn="0" w:noHBand="0" w:noVBand="0"/>
      </w:tblPr>
      <w:tblGrid>
        <w:gridCol w:w="1728"/>
        <w:gridCol w:w="7740"/>
      </w:tblGrid>
      <w:tr w:rsidR="001F15FE" w:rsidRPr="00920DFF" w14:paraId="5CEBD7A5" w14:textId="77777777" w:rsidTr="00DD0723">
        <w:tc>
          <w:tcPr>
            <w:tcW w:w="1728" w:type="dxa"/>
          </w:tcPr>
          <w:p w14:paraId="5CEBD794" w14:textId="64677542" w:rsidR="001F15FE" w:rsidRPr="00920DFF" w:rsidRDefault="00B26D7A" w:rsidP="00372FC7">
            <w:pPr>
              <w:pStyle w:val="Heading5"/>
            </w:pPr>
            <w:bookmarkStart w:id="17" w:name="_j.__Requirements"/>
            <w:bookmarkEnd w:id="17"/>
            <w:proofErr w:type="gramStart"/>
            <w:r w:rsidRPr="00920DFF">
              <w:t>j</w:t>
            </w:r>
            <w:r w:rsidR="001F15FE" w:rsidRPr="00920DFF">
              <w:t xml:space="preserve">.  </w:t>
            </w:r>
            <w:bookmarkStart w:id="18" w:name="g"/>
            <w:r w:rsidR="001F15FE" w:rsidRPr="00920DFF">
              <w:t>Requirements</w:t>
            </w:r>
            <w:proofErr w:type="gramEnd"/>
            <w:r w:rsidR="001F15FE" w:rsidRPr="00920DFF">
              <w:t xml:space="preserve"> for Examination Reports</w:t>
            </w:r>
            <w:bookmarkEnd w:id="18"/>
          </w:p>
        </w:tc>
        <w:tc>
          <w:tcPr>
            <w:tcW w:w="7740" w:type="dxa"/>
          </w:tcPr>
          <w:p w14:paraId="4FEB47CA" w14:textId="2F3679D4" w:rsidR="00787E29" w:rsidRPr="00920DFF" w:rsidRDefault="00874172">
            <w:pPr>
              <w:pStyle w:val="BlockText"/>
            </w:pPr>
            <w:r w:rsidRPr="00920DFF">
              <w:t>V</w:t>
            </w:r>
            <w:r w:rsidR="00787E29" w:rsidRPr="00920DFF">
              <w:t>A examinations are to be conducted using DBQs which are disease and condition-specific, organized as a documentation tool to provide the precise medical evidence needed to rate specific disabilities.</w:t>
            </w:r>
            <w:r w:rsidR="0078470F" w:rsidRPr="00920DFF">
              <w:t xml:space="preserve">  The examiner is</w:t>
            </w:r>
          </w:p>
          <w:p w14:paraId="709AA960" w14:textId="77777777" w:rsidR="00787E29" w:rsidRPr="00920DFF" w:rsidRDefault="00787E29">
            <w:pPr>
              <w:pStyle w:val="BlockText"/>
            </w:pPr>
          </w:p>
          <w:p w14:paraId="3EC0276A" w14:textId="643FECD3" w:rsidR="00787E29" w:rsidRPr="00920DFF" w:rsidRDefault="0078470F" w:rsidP="007633DD">
            <w:pPr>
              <w:pStyle w:val="ListParagraph"/>
              <w:numPr>
                <w:ilvl w:val="0"/>
                <w:numId w:val="76"/>
              </w:numPr>
              <w:ind w:left="158" w:hanging="187"/>
            </w:pPr>
            <w:r w:rsidRPr="00920DFF">
              <w:t>asked to complete the form step by step</w:t>
            </w:r>
          </w:p>
          <w:p w14:paraId="2BDA6928" w14:textId="77777777" w:rsidR="00CB1D0D" w:rsidRPr="00920DFF" w:rsidRDefault="0078470F" w:rsidP="007633DD">
            <w:pPr>
              <w:pStyle w:val="ListParagraph"/>
              <w:numPr>
                <w:ilvl w:val="0"/>
                <w:numId w:val="76"/>
              </w:numPr>
              <w:ind w:left="158" w:hanging="187"/>
            </w:pPr>
            <w:r w:rsidRPr="00920DFF">
              <w:t>answer the questions posed</w:t>
            </w:r>
            <w:r w:rsidR="00CB1D0D" w:rsidRPr="00920DFF">
              <w:t>, and</w:t>
            </w:r>
          </w:p>
          <w:p w14:paraId="3607326D" w14:textId="4D4F5279" w:rsidR="0078470F" w:rsidRPr="00920DFF" w:rsidRDefault="00CB1D0D" w:rsidP="007633DD">
            <w:pPr>
              <w:pStyle w:val="ListParagraph"/>
              <w:numPr>
                <w:ilvl w:val="0"/>
                <w:numId w:val="76"/>
              </w:numPr>
              <w:ind w:left="158" w:hanging="187"/>
            </w:pPr>
            <w:proofErr w:type="gramStart"/>
            <w:r w:rsidRPr="00920DFF">
              <w:t>provide</w:t>
            </w:r>
            <w:proofErr w:type="gramEnd"/>
            <w:r w:rsidRPr="00920DFF">
              <w:t xml:space="preserve"> additional information as required by examination findings</w:t>
            </w:r>
            <w:r w:rsidR="0078470F" w:rsidRPr="00920DFF">
              <w:t>.</w:t>
            </w:r>
          </w:p>
          <w:p w14:paraId="0D4CA363" w14:textId="77777777" w:rsidR="003903B0" w:rsidRPr="00920DFF" w:rsidRDefault="003903B0">
            <w:pPr>
              <w:pStyle w:val="BlockText"/>
            </w:pPr>
          </w:p>
          <w:p w14:paraId="6875EDBA" w14:textId="77777777" w:rsidR="003903B0" w:rsidRPr="00920DFF" w:rsidRDefault="003903B0" w:rsidP="003903B0">
            <w:pPr>
              <w:rPr>
                <w:rFonts w:eastAsiaTheme="minorHAnsi"/>
                <w:color w:val="auto"/>
              </w:rPr>
            </w:pPr>
            <w:r w:rsidRPr="00920DFF">
              <w:rPr>
                <w:b/>
                <w:i/>
              </w:rPr>
              <w:t>Note</w:t>
            </w:r>
            <w:r w:rsidRPr="00920DFF">
              <w:t>:  The report must have a definite and unambiguous description of the disability for each complaint or claimed condition.</w:t>
            </w:r>
            <w:r w:rsidRPr="00920DFF">
              <w:rPr>
                <w:rFonts w:eastAsiaTheme="minorHAnsi"/>
                <w:color w:val="auto"/>
              </w:rPr>
              <w:t xml:space="preserve"> </w:t>
            </w:r>
          </w:p>
          <w:p w14:paraId="38F08070" w14:textId="77777777" w:rsidR="003903B0" w:rsidRPr="00920DFF" w:rsidRDefault="003903B0">
            <w:pPr>
              <w:pStyle w:val="BlockText"/>
            </w:pPr>
          </w:p>
          <w:p w14:paraId="32590262" w14:textId="458D7813" w:rsidR="00787E29" w:rsidRPr="00920DFF" w:rsidRDefault="0078470F">
            <w:pPr>
              <w:pStyle w:val="BlockText"/>
            </w:pPr>
            <w:r w:rsidRPr="00920DFF">
              <w:t>Common features of DBQs include</w:t>
            </w:r>
          </w:p>
          <w:p w14:paraId="7EABC45F" w14:textId="4E830991" w:rsidR="00371EF4" w:rsidRPr="00920DFF" w:rsidRDefault="00371EF4">
            <w:pPr>
              <w:pStyle w:val="BlockText"/>
            </w:pPr>
          </w:p>
          <w:p w14:paraId="035AD17E" w14:textId="1412DDA4" w:rsidR="00371EF4" w:rsidRPr="00920DFF" w:rsidRDefault="009E04E9" w:rsidP="007633DD">
            <w:pPr>
              <w:pStyle w:val="ListParagraph"/>
              <w:numPr>
                <w:ilvl w:val="0"/>
                <w:numId w:val="64"/>
              </w:numPr>
              <w:ind w:left="158" w:hanging="187"/>
            </w:pPr>
            <w:r w:rsidRPr="00920DFF">
              <w:t xml:space="preserve">a </w:t>
            </w:r>
            <w:r w:rsidR="00371EF4" w:rsidRPr="00920DFF">
              <w:t>diagnosis</w:t>
            </w:r>
            <w:r w:rsidR="00A3403F" w:rsidRPr="00920DFF">
              <w:t xml:space="preserve"> </w:t>
            </w:r>
            <w:r w:rsidR="0078470F" w:rsidRPr="00920DFF">
              <w:t>section</w:t>
            </w:r>
          </w:p>
          <w:p w14:paraId="53E3E5E7" w14:textId="4954067A" w:rsidR="00371EF4" w:rsidRPr="00920DFF" w:rsidRDefault="009D5A50" w:rsidP="007633DD">
            <w:pPr>
              <w:pStyle w:val="ListParagraph"/>
              <w:numPr>
                <w:ilvl w:val="0"/>
                <w:numId w:val="65"/>
              </w:numPr>
              <w:ind w:left="158" w:hanging="187"/>
            </w:pPr>
            <w:r w:rsidRPr="00920DFF">
              <w:t xml:space="preserve">medical </w:t>
            </w:r>
            <w:r w:rsidR="00371EF4" w:rsidRPr="00920DFF">
              <w:t>history</w:t>
            </w:r>
            <w:r w:rsidR="00A3403F" w:rsidRPr="00920DFF">
              <w:t xml:space="preserve">  </w:t>
            </w:r>
          </w:p>
          <w:p w14:paraId="582D98E4" w14:textId="5BF5EF6B" w:rsidR="0078470F" w:rsidRPr="00920DFF" w:rsidRDefault="0078470F" w:rsidP="007633DD">
            <w:pPr>
              <w:pStyle w:val="ListParagraph"/>
              <w:numPr>
                <w:ilvl w:val="0"/>
                <w:numId w:val="66"/>
              </w:numPr>
              <w:ind w:left="158" w:hanging="187"/>
            </w:pPr>
            <w:r w:rsidRPr="00920DFF">
              <w:t xml:space="preserve">objective </w:t>
            </w:r>
            <w:r w:rsidR="00371EF4" w:rsidRPr="00920DFF">
              <w:t>findings</w:t>
            </w:r>
            <w:r w:rsidR="00A3403F" w:rsidRPr="00920DFF">
              <w:t xml:space="preserve"> </w:t>
            </w:r>
          </w:p>
          <w:p w14:paraId="4D952443" w14:textId="14C47342" w:rsidR="00787E29" w:rsidRPr="00920DFF" w:rsidRDefault="009E04E9" w:rsidP="007633DD">
            <w:pPr>
              <w:pStyle w:val="ListParagraph"/>
              <w:numPr>
                <w:ilvl w:val="0"/>
                <w:numId w:val="66"/>
              </w:numPr>
              <w:ind w:left="158" w:hanging="187"/>
            </w:pPr>
            <w:r w:rsidRPr="00920DFF">
              <w:t xml:space="preserve">results of </w:t>
            </w:r>
            <w:r w:rsidR="00787E29" w:rsidRPr="00920DFF">
              <w:t>diagnostic testing performed</w:t>
            </w:r>
            <w:r w:rsidR="0078470F" w:rsidRPr="00920DFF">
              <w:t>, and</w:t>
            </w:r>
          </w:p>
          <w:p w14:paraId="01015D29" w14:textId="3B9A1847" w:rsidR="00371EF4" w:rsidRPr="00920DFF" w:rsidRDefault="009E04E9" w:rsidP="007633DD">
            <w:pPr>
              <w:pStyle w:val="ListParagraph"/>
              <w:numPr>
                <w:ilvl w:val="0"/>
                <w:numId w:val="53"/>
              </w:numPr>
              <w:ind w:left="158" w:hanging="187"/>
            </w:pPr>
            <w:r w:rsidRPr="00920DFF">
              <w:t xml:space="preserve">a </w:t>
            </w:r>
            <w:r w:rsidR="00371EF4" w:rsidRPr="00920DFF">
              <w:t>remarks</w:t>
            </w:r>
            <w:r w:rsidR="00AF196E" w:rsidRPr="00920DFF">
              <w:t xml:space="preserve"> </w:t>
            </w:r>
            <w:r w:rsidRPr="00920DFF">
              <w:t xml:space="preserve">section for any </w:t>
            </w:r>
            <w:r w:rsidR="00AF196E" w:rsidRPr="00920DFF">
              <w:t xml:space="preserve">necessary </w:t>
            </w:r>
            <w:r w:rsidRPr="00920DFF">
              <w:t>explanation</w:t>
            </w:r>
            <w:r w:rsidR="00661E79" w:rsidRPr="00920DFF">
              <w:t>.</w:t>
            </w:r>
            <w:r w:rsidR="00AF196E" w:rsidRPr="00920DFF">
              <w:t xml:space="preserve"> </w:t>
            </w:r>
          </w:p>
          <w:p w14:paraId="1E997A9B" w14:textId="77777777" w:rsidR="00371EF4" w:rsidRPr="00920DFF" w:rsidRDefault="00371EF4">
            <w:pPr>
              <w:pStyle w:val="BlockText"/>
            </w:pPr>
          </w:p>
          <w:p w14:paraId="74977A1F" w14:textId="0EB8EB3F" w:rsidR="00D07597" w:rsidRPr="00920DFF" w:rsidRDefault="00BE2771">
            <w:pPr>
              <w:pStyle w:val="BlockText"/>
            </w:pPr>
            <w:r w:rsidRPr="00920DFF">
              <w:t xml:space="preserve">Additional </w:t>
            </w:r>
            <w:r w:rsidR="009E04E9" w:rsidRPr="00920DFF">
              <w:t xml:space="preserve">sections may be </w:t>
            </w:r>
            <w:r w:rsidRPr="00920DFF">
              <w:t xml:space="preserve">found on </w:t>
            </w:r>
            <w:r w:rsidR="00E00A77" w:rsidRPr="00920DFF">
              <w:t xml:space="preserve">some </w:t>
            </w:r>
            <w:r w:rsidRPr="00920DFF">
              <w:t>DBQs</w:t>
            </w:r>
            <w:r w:rsidR="009E04E9" w:rsidRPr="00920DFF">
              <w:t xml:space="preserve">, depending on the </w:t>
            </w:r>
            <w:r w:rsidR="00B6180C" w:rsidRPr="00920DFF">
              <w:t>specialty</w:t>
            </w:r>
            <w:r w:rsidR="009E04E9" w:rsidRPr="00920DFF">
              <w:t xml:space="preserve"> involved.</w:t>
            </w:r>
          </w:p>
          <w:p w14:paraId="71C1D5B8" w14:textId="6471B6F7" w:rsidR="00372FC7" w:rsidRPr="00920DFF" w:rsidRDefault="00372FC7" w:rsidP="001830A0">
            <w:pPr>
              <w:pStyle w:val="ListParagraph"/>
              <w:ind w:left="0"/>
            </w:pPr>
          </w:p>
          <w:p w14:paraId="5CEBD7A4" w14:textId="7E82D865" w:rsidR="0019787D" w:rsidRPr="00920DFF" w:rsidRDefault="0019787D" w:rsidP="001830A0">
            <w:pPr>
              <w:pStyle w:val="ListParagraph"/>
              <w:ind w:left="0"/>
            </w:pPr>
            <w:r w:rsidRPr="00920DFF">
              <w:rPr>
                <w:b/>
                <w:i/>
              </w:rPr>
              <w:t>Reference</w:t>
            </w:r>
            <w:r w:rsidRPr="00920DFF">
              <w:t xml:space="preserve">:  For more information on DBQs, see the </w:t>
            </w:r>
            <w:hyperlink r:id="rId27" w:history="1">
              <w:r w:rsidR="001830A0" w:rsidRPr="00920DFF">
                <w:rPr>
                  <w:rStyle w:val="Hyperlink"/>
                </w:rPr>
                <w:t>DBQ Switchboard</w:t>
              </w:r>
            </w:hyperlink>
            <w:r w:rsidR="00FC1560" w:rsidRPr="00920DFF">
              <w:t>.</w:t>
            </w:r>
          </w:p>
        </w:tc>
      </w:tr>
    </w:tbl>
    <w:p w14:paraId="5CEBD7A9" w14:textId="7500F0DB" w:rsidR="00C531C4" w:rsidRPr="00920DFF" w:rsidRDefault="00C531C4" w:rsidP="00C531C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740"/>
      </w:tblGrid>
      <w:tr w:rsidR="009D6318" w:rsidRPr="00920DFF" w14:paraId="44407083" w14:textId="77777777" w:rsidTr="00D3243B">
        <w:tc>
          <w:tcPr>
            <w:tcW w:w="1728" w:type="dxa"/>
            <w:shd w:val="clear" w:color="auto" w:fill="auto"/>
          </w:tcPr>
          <w:p w14:paraId="001FE357" w14:textId="007A12E9" w:rsidR="009D6318" w:rsidRPr="00920DFF" w:rsidRDefault="00B26D7A" w:rsidP="00D3243B">
            <w:pPr>
              <w:pStyle w:val="Heading5"/>
            </w:pPr>
            <w:bookmarkStart w:id="19" w:name="_k.__Requirements"/>
            <w:bookmarkEnd w:id="19"/>
            <w:proofErr w:type="gramStart"/>
            <w:r w:rsidRPr="00920DFF">
              <w:t>k</w:t>
            </w:r>
            <w:r w:rsidR="00FC16C7" w:rsidRPr="00920DFF">
              <w:t xml:space="preserve">. </w:t>
            </w:r>
            <w:r w:rsidR="00D3243B" w:rsidRPr="00920DFF">
              <w:t xml:space="preserve"> </w:t>
            </w:r>
            <w:r w:rsidR="009D6318" w:rsidRPr="00920DFF">
              <w:t>Requirements</w:t>
            </w:r>
            <w:proofErr w:type="gramEnd"/>
            <w:r w:rsidR="009D6318" w:rsidRPr="00920DFF">
              <w:t xml:space="preserve"> for ACE Examination Reports</w:t>
            </w:r>
          </w:p>
        </w:tc>
        <w:tc>
          <w:tcPr>
            <w:tcW w:w="7740" w:type="dxa"/>
            <w:shd w:val="clear" w:color="auto" w:fill="auto"/>
          </w:tcPr>
          <w:p w14:paraId="218CFF09" w14:textId="360F59EA" w:rsidR="009D6318" w:rsidRPr="00920DFF" w:rsidRDefault="009D6318" w:rsidP="009D6318">
            <w:r w:rsidRPr="00920DFF">
              <w:t xml:space="preserve">When VHA </w:t>
            </w:r>
            <w:r w:rsidR="00D26E08" w:rsidRPr="00920DFF">
              <w:t xml:space="preserve">uses </w:t>
            </w:r>
            <w:r w:rsidRPr="00920DFF">
              <w:t>Acceptable Clinical Evidence (ACE) in lieu of conducting an in-person examination, the</w:t>
            </w:r>
            <w:r w:rsidR="00C17A86" w:rsidRPr="00920DFF">
              <w:t xml:space="preserve"> </w:t>
            </w:r>
            <w:r w:rsidRPr="00920DFF">
              <w:t xml:space="preserve">RVSR or DRO must </w:t>
            </w:r>
            <w:r w:rsidR="00AA605E" w:rsidRPr="00920DFF">
              <w:t>review</w:t>
            </w:r>
            <w:r w:rsidRPr="00920DFF">
              <w:t xml:space="preserve"> the report for sufficiency.  The report must</w:t>
            </w:r>
          </w:p>
          <w:p w14:paraId="0F780139" w14:textId="77777777" w:rsidR="002A74D3" w:rsidRPr="00920DFF" w:rsidRDefault="002A74D3" w:rsidP="009D6318"/>
          <w:p w14:paraId="3920CAA5" w14:textId="676D21E7" w:rsidR="009D6318" w:rsidRPr="00920DFF" w:rsidRDefault="009D6318" w:rsidP="00A3403F">
            <w:pPr>
              <w:pStyle w:val="ListParagraph"/>
              <w:numPr>
                <w:ilvl w:val="0"/>
                <w:numId w:val="4"/>
              </w:numPr>
              <w:ind w:left="158" w:hanging="187"/>
            </w:pPr>
            <w:r w:rsidRPr="00920DFF">
              <w:t>note use of the ACE process</w:t>
            </w:r>
          </w:p>
          <w:p w14:paraId="3A0AF5A2" w14:textId="546CC842" w:rsidR="009D6318" w:rsidRPr="00920DFF" w:rsidRDefault="009D6318" w:rsidP="00A3403F">
            <w:pPr>
              <w:pStyle w:val="ListParagraph"/>
              <w:numPr>
                <w:ilvl w:val="0"/>
                <w:numId w:val="4"/>
              </w:numPr>
              <w:ind w:left="158" w:hanging="187"/>
            </w:pPr>
            <w:r w:rsidRPr="00920DFF">
              <w:t xml:space="preserve">clearly identify the </w:t>
            </w:r>
            <w:r w:rsidR="00AA605E" w:rsidRPr="00920DFF">
              <w:t xml:space="preserve">specific </w:t>
            </w:r>
            <w:r w:rsidRPr="00920DFF">
              <w:t>evidence</w:t>
            </w:r>
            <w:r w:rsidR="00B55E16" w:rsidRPr="00920DFF">
              <w:t xml:space="preserve"> material to the report findings</w:t>
            </w:r>
            <w:r w:rsidRPr="00920DFF">
              <w:t xml:space="preserve"> or opinion, </w:t>
            </w:r>
            <w:r w:rsidR="00B55E16" w:rsidRPr="00920DFF">
              <w:t xml:space="preserve">with as much detail as necessary, </w:t>
            </w:r>
            <w:r w:rsidRPr="00920DFF">
              <w:t>and</w:t>
            </w:r>
          </w:p>
          <w:p w14:paraId="70EF2EBF" w14:textId="05F946E5" w:rsidR="00BB2635" w:rsidRPr="00920DFF" w:rsidRDefault="009D6318" w:rsidP="00BB2635">
            <w:pPr>
              <w:pStyle w:val="ListParagraph"/>
              <w:numPr>
                <w:ilvl w:val="0"/>
                <w:numId w:val="4"/>
              </w:numPr>
              <w:ind w:left="158" w:hanging="187"/>
            </w:pPr>
            <w:r w:rsidRPr="00920DFF">
              <w:t xml:space="preserve">document the </w:t>
            </w:r>
            <w:r w:rsidR="00AA605E" w:rsidRPr="00920DFF">
              <w:t>rationale</w:t>
            </w:r>
            <w:r w:rsidRPr="00920DFF">
              <w:t xml:space="preserve"> for relying on ACE rather than an in-person examination.</w:t>
            </w:r>
          </w:p>
          <w:p w14:paraId="22E13B5E" w14:textId="77777777" w:rsidR="00BB2635" w:rsidRPr="00920DFF" w:rsidRDefault="00BB2635" w:rsidP="00910443">
            <w:pPr>
              <w:ind w:left="-29"/>
            </w:pPr>
          </w:p>
          <w:p w14:paraId="626127CB" w14:textId="34F1CE6A" w:rsidR="00D47519" w:rsidRPr="00920DFF" w:rsidRDefault="00766869" w:rsidP="002B6C39">
            <w:pPr>
              <w:pStyle w:val="ListParagraph"/>
              <w:ind w:left="0"/>
            </w:pPr>
            <w:r w:rsidRPr="00920DFF">
              <w:rPr>
                <w:b/>
                <w:i/>
              </w:rPr>
              <w:t>Reference</w:t>
            </w:r>
            <w:r w:rsidRPr="00920DFF">
              <w:t xml:space="preserve">: </w:t>
            </w:r>
            <w:r w:rsidR="007F6C3E" w:rsidRPr="00920DFF">
              <w:t xml:space="preserve"> F</w:t>
            </w:r>
            <w:r w:rsidRPr="00920DFF">
              <w:t>or more information on</w:t>
            </w:r>
            <w:r w:rsidR="002B6C39" w:rsidRPr="00920DFF">
              <w:t xml:space="preserve"> </w:t>
            </w:r>
            <w:r w:rsidR="00460274" w:rsidRPr="00920DFF">
              <w:t>ACE exams, see M21-1, Part III, Subpart iv, 3.A.4</w:t>
            </w:r>
            <w:r w:rsidR="00145BCF" w:rsidRPr="00920DFF">
              <w:t>.</w:t>
            </w:r>
          </w:p>
        </w:tc>
      </w:tr>
    </w:tbl>
    <w:p w14:paraId="2B80F7C3" w14:textId="77777777" w:rsidR="003856F2" w:rsidRPr="00920DFF" w:rsidRDefault="003856F2" w:rsidP="003856F2"/>
    <w:tbl>
      <w:tblPr>
        <w:tblW w:w="0" w:type="auto"/>
        <w:tblLayout w:type="fixed"/>
        <w:tblLook w:val="0000" w:firstRow="0" w:lastRow="0" w:firstColumn="0" w:lastColumn="0" w:noHBand="0" w:noVBand="0"/>
      </w:tblPr>
      <w:tblGrid>
        <w:gridCol w:w="1728"/>
        <w:gridCol w:w="7740"/>
      </w:tblGrid>
      <w:tr w:rsidR="001F15FE" w:rsidRPr="00920DFF" w14:paraId="5CEBD7E4" w14:textId="77777777" w:rsidTr="00AC79DD">
        <w:tc>
          <w:tcPr>
            <w:tcW w:w="1728" w:type="dxa"/>
          </w:tcPr>
          <w:p w14:paraId="5CEBD7DF" w14:textId="7CB4A4C8" w:rsidR="001F15FE" w:rsidRPr="00920DFF" w:rsidRDefault="00B26D7A" w:rsidP="006402CA">
            <w:pPr>
              <w:pStyle w:val="Heading5"/>
            </w:pPr>
            <w:bookmarkStart w:id="20" w:name="_l.__Evaluating"/>
            <w:bookmarkEnd w:id="20"/>
            <w:proofErr w:type="gramStart"/>
            <w:r w:rsidRPr="00920DFF">
              <w:t>l</w:t>
            </w:r>
            <w:r w:rsidR="001F15FE" w:rsidRPr="00920DFF">
              <w:t xml:space="preserve">.  </w:t>
            </w:r>
            <w:bookmarkStart w:id="21" w:name="j"/>
            <w:r w:rsidR="001F15FE" w:rsidRPr="00920DFF">
              <w:t>Evaluating</w:t>
            </w:r>
            <w:proofErr w:type="gramEnd"/>
            <w:r w:rsidR="001F15FE" w:rsidRPr="00920DFF">
              <w:t xml:space="preserve"> Disability Diagnoses</w:t>
            </w:r>
            <w:bookmarkEnd w:id="21"/>
          </w:p>
        </w:tc>
        <w:tc>
          <w:tcPr>
            <w:tcW w:w="7740" w:type="dxa"/>
          </w:tcPr>
          <w:p w14:paraId="5CEBD7E1" w14:textId="58EE686C" w:rsidR="001F15FE" w:rsidRPr="00920DFF" w:rsidRDefault="001F15FE">
            <w:pPr>
              <w:pStyle w:val="BlockText"/>
            </w:pPr>
            <w:r w:rsidRPr="00920DFF">
              <w:t xml:space="preserve">The precise cause of a disability is often difficult to determine.  It is important that </w:t>
            </w:r>
          </w:p>
          <w:p w14:paraId="5EE0A56A" w14:textId="4D28E561" w:rsidR="007F3B8F" w:rsidRPr="00920DFF" w:rsidRDefault="001F15FE" w:rsidP="007F3B8F">
            <w:pPr>
              <w:pStyle w:val="BulletText1"/>
            </w:pPr>
            <w:r w:rsidRPr="00920DFF">
              <w:t>the same disability is not covered by more than one diagnosis, and</w:t>
            </w:r>
            <w:r w:rsidR="007F3B8F" w:rsidRPr="00920DFF">
              <w:t xml:space="preserve"> </w:t>
            </w:r>
          </w:p>
          <w:p w14:paraId="6CFCA118" w14:textId="34F49487" w:rsidR="007F3B8F" w:rsidRPr="00920DFF" w:rsidRDefault="001F15FE" w:rsidP="007F3B8F">
            <w:pPr>
              <w:pStyle w:val="BulletText1"/>
            </w:pPr>
            <w:r w:rsidRPr="00920DFF">
              <w:t>a definite and unambiguous diagnosis is made for each complaint or symptom having a medical cause.</w:t>
            </w:r>
          </w:p>
          <w:p w14:paraId="1A88F5B6" w14:textId="77777777" w:rsidR="007F3B8F" w:rsidRPr="00920DFF" w:rsidRDefault="007F3B8F" w:rsidP="007F3B8F">
            <w:pPr>
              <w:pStyle w:val="BulletText1"/>
              <w:numPr>
                <w:ilvl w:val="0"/>
                <w:numId w:val="0"/>
              </w:numPr>
            </w:pPr>
          </w:p>
          <w:p w14:paraId="5CEBD7E3" w14:textId="19B41BEC" w:rsidR="003D0D10" w:rsidRPr="00920DFF" w:rsidRDefault="007F3B8F" w:rsidP="007F3B8F">
            <w:pPr>
              <w:pStyle w:val="BulletText1"/>
              <w:numPr>
                <w:ilvl w:val="0"/>
                <w:numId w:val="0"/>
              </w:numPr>
            </w:pPr>
            <w:r w:rsidRPr="00920DFF">
              <w:rPr>
                <w:color w:val="auto"/>
              </w:rPr>
              <w:t>The table below describes various examination scenarios and what is required for a sufficient diagnosis.</w:t>
            </w:r>
          </w:p>
        </w:tc>
      </w:tr>
    </w:tbl>
    <w:p w14:paraId="084AACFC" w14:textId="2D9FE036" w:rsidR="007F3B8F" w:rsidRPr="00920DFF" w:rsidRDefault="007F3B8F" w:rsidP="007F3B8F"/>
    <w:tbl>
      <w:tblPr>
        <w:tblStyle w:val="TableGrid"/>
        <w:tblW w:w="7650" w:type="dxa"/>
        <w:tblInd w:w="1818" w:type="dxa"/>
        <w:tblLook w:val="04A0" w:firstRow="1" w:lastRow="0" w:firstColumn="1" w:lastColumn="0" w:noHBand="0" w:noVBand="1"/>
      </w:tblPr>
      <w:tblGrid>
        <w:gridCol w:w="3690"/>
        <w:gridCol w:w="3960"/>
      </w:tblGrid>
      <w:tr w:rsidR="007F3B8F" w:rsidRPr="00920DFF" w14:paraId="0AACAD65" w14:textId="77777777" w:rsidTr="007F3B8F">
        <w:tc>
          <w:tcPr>
            <w:tcW w:w="3690" w:type="dxa"/>
          </w:tcPr>
          <w:p w14:paraId="64D014C8" w14:textId="221A2AAA" w:rsidR="007F3B8F" w:rsidRPr="00920DFF" w:rsidRDefault="007F3B8F" w:rsidP="007F3B8F">
            <w:pPr>
              <w:rPr>
                <w:b/>
              </w:rPr>
            </w:pPr>
            <w:r w:rsidRPr="00920DFF">
              <w:rPr>
                <w:b/>
              </w:rPr>
              <w:t>If ...</w:t>
            </w:r>
          </w:p>
        </w:tc>
        <w:tc>
          <w:tcPr>
            <w:tcW w:w="3960" w:type="dxa"/>
          </w:tcPr>
          <w:p w14:paraId="1DBA2F13" w14:textId="60E375E7" w:rsidR="007F3B8F" w:rsidRPr="00920DFF" w:rsidRDefault="007F3B8F" w:rsidP="007F3B8F">
            <w:pPr>
              <w:rPr>
                <w:b/>
              </w:rPr>
            </w:pPr>
            <w:r w:rsidRPr="00920DFF">
              <w:rPr>
                <w:b/>
              </w:rPr>
              <w:t>Then ...</w:t>
            </w:r>
          </w:p>
        </w:tc>
      </w:tr>
      <w:tr w:rsidR="007F3B8F" w:rsidRPr="00920DFF" w14:paraId="39C1B66A" w14:textId="77777777" w:rsidTr="007F3B8F">
        <w:tc>
          <w:tcPr>
            <w:tcW w:w="3690" w:type="dxa"/>
          </w:tcPr>
          <w:p w14:paraId="1D84A5BB" w14:textId="18E7797A" w:rsidR="007F3B8F" w:rsidRPr="00920DFF" w:rsidRDefault="007F3B8F" w:rsidP="007F3B8F">
            <w:r w:rsidRPr="00920DFF">
              <w:rPr>
                <w:rFonts w:eastAsiaTheme="minorHAnsi"/>
              </w:rPr>
              <w:t>there are no findings on examination</w:t>
            </w:r>
          </w:p>
        </w:tc>
        <w:tc>
          <w:tcPr>
            <w:tcW w:w="3960" w:type="dxa"/>
          </w:tcPr>
          <w:p w14:paraId="032C0A20" w14:textId="77777777" w:rsidR="007F3B8F" w:rsidRPr="00920DFF" w:rsidRDefault="007F3B8F" w:rsidP="000B2C28">
            <w:pPr>
              <w:rPr>
                <w:rFonts w:eastAsiaTheme="minorHAnsi"/>
                <w:color w:val="auto"/>
              </w:rPr>
            </w:pPr>
            <w:r w:rsidRPr="00920DFF">
              <w:rPr>
                <w:rFonts w:eastAsiaTheme="minorHAnsi"/>
                <w:color w:val="auto"/>
              </w:rPr>
              <w:t>a diagnosis of a disability should not be rendered by the examiner.</w:t>
            </w:r>
          </w:p>
          <w:p w14:paraId="4B8D2812" w14:textId="77777777" w:rsidR="007F3B8F" w:rsidRPr="00920DFF" w:rsidRDefault="007F3B8F" w:rsidP="000B2C28">
            <w:pPr>
              <w:rPr>
                <w:rFonts w:eastAsiaTheme="minorHAnsi"/>
                <w:color w:val="auto"/>
              </w:rPr>
            </w:pPr>
          </w:p>
          <w:p w14:paraId="04D6A698" w14:textId="0CD2191E" w:rsidR="007F3B8F" w:rsidRPr="00920DFF" w:rsidRDefault="007F3B8F" w:rsidP="007F3B8F">
            <w:r w:rsidRPr="00920DFF">
              <w:rPr>
                <w:rFonts w:eastAsiaTheme="minorHAnsi"/>
                <w:b/>
                <w:i/>
                <w:color w:val="auto"/>
              </w:rPr>
              <w:t>Example</w:t>
            </w:r>
            <w:r w:rsidRPr="00920DFF">
              <w:rPr>
                <w:rFonts w:eastAsiaTheme="minorHAnsi"/>
                <w:color w:val="auto"/>
              </w:rPr>
              <w:t>:  Examiner states “normal left knee” and examination shows normal range of motion</w:t>
            </w:r>
            <w:r w:rsidR="006C55EC" w:rsidRPr="00920DFF">
              <w:rPr>
                <w:rFonts w:eastAsiaTheme="minorHAnsi"/>
                <w:color w:val="auto"/>
              </w:rPr>
              <w:t xml:space="preserve"> (ROM)</w:t>
            </w:r>
            <w:r w:rsidRPr="00920DFF">
              <w:rPr>
                <w:rFonts w:eastAsiaTheme="minorHAnsi"/>
                <w:color w:val="auto"/>
              </w:rPr>
              <w:t>, normal stability, and no complaints of pain or other symptoms.</w:t>
            </w:r>
          </w:p>
        </w:tc>
      </w:tr>
      <w:tr w:rsidR="007F3B8F" w:rsidRPr="00920DFF" w14:paraId="79BAC599" w14:textId="77777777" w:rsidTr="007F3B8F">
        <w:tc>
          <w:tcPr>
            <w:tcW w:w="3690" w:type="dxa"/>
          </w:tcPr>
          <w:p w14:paraId="577FC5E4" w14:textId="1D0E4B20" w:rsidR="007F3B8F" w:rsidRPr="00920DFF" w:rsidRDefault="007F3B8F" w:rsidP="007F3B8F">
            <w:r w:rsidRPr="00920DFF">
              <w:rPr>
                <w:rFonts w:eastAsiaTheme="minorHAnsi"/>
              </w:rPr>
              <w:t>there are findings on examination</w:t>
            </w:r>
          </w:p>
        </w:tc>
        <w:tc>
          <w:tcPr>
            <w:tcW w:w="3960" w:type="dxa"/>
          </w:tcPr>
          <w:p w14:paraId="4864CC43" w14:textId="77777777" w:rsidR="007F3B8F" w:rsidRPr="00920DFF" w:rsidRDefault="007F3B8F" w:rsidP="000B2C28">
            <w:r w:rsidRPr="00920DFF">
              <w:t xml:space="preserve">a definitive diagnosis of a disability </w:t>
            </w:r>
            <w:r w:rsidRPr="00920DFF">
              <w:rPr>
                <w:i/>
                <w:iCs/>
              </w:rPr>
              <w:t>should</w:t>
            </w:r>
            <w:r w:rsidRPr="00920DFF">
              <w:t xml:space="preserve"> be rendered by the examiner.</w:t>
            </w:r>
          </w:p>
          <w:p w14:paraId="5DFD102D" w14:textId="77777777" w:rsidR="007F3B8F" w:rsidRPr="00920DFF" w:rsidRDefault="007F3B8F" w:rsidP="000B2C28">
            <w:pPr>
              <w:spacing w:line="276" w:lineRule="auto"/>
            </w:pPr>
          </w:p>
          <w:p w14:paraId="50626ACF" w14:textId="77777777" w:rsidR="007F3B8F" w:rsidRPr="00920DFF" w:rsidRDefault="007F3B8F" w:rsidP="000B2C28">
            <w:r w:rsidRPr="00920DFF">
              <w:rPr>
                <w:b/>
                <w:bCs/>
                <w:i/>
                <w:iCs/>
              </w:rPr>
              <w:t>Example</w:t>
            </w:r>
            <w:r w:rsidRPr="00920DFF">
              <w:t>:  Examiner diagnoses “left knee patellofemoral syndrome” and examination shows limited range of motion with pain.</w:t>
            </w:r>
          </w:p>
          <w:p w14:paraId="6AA86695" w14:textId="77777777" w:rsidR="007F3B8F" w:rsidRPr="00920DFF" w:rsidRDefault="007F3B8F" w:rsidP="000B2C28"/>
          <w:p w14:paraId="597444BC" w14:textId="77777777" w:rsidR="007F3B8F" w:rsidRPr="00920DFF" w:rsidRDefault="007F3B8F" w:rsidP="000B2C28">
            <w:r w:rsidRPr="00920DFF">
              <w:rPr>
                <w:b/>
                <w:bCs/>
                <w:i/>
                <w:iCs/>
              </w:rPr>
              <w:t>Important</w:t>
            </w:r>
            <w:r w:rsidRPr="00920DFF">
              <w:t>:  The following are not sufficient for rating purposes</w:t>
            </w:r>
          </w:p>
          <w:p w14:paraId="5C7DBBA2" w14:textId="77777777" w:rsidR="007F3B8F" w:rsidRPr="00920DFF" w:rsidRDefault="007F3B8F" w:rsidP="007633DD">
            <w:pPr>
              <w:pStyle w:val="ListParagraph"/>
              <w:numPr>
                <w:ilvl w:val="0"/>
                <w:numId w:val="41"/>
              </w:numPr>
              <w:ind w:left="158" w:hanging="187"/>
              <w:rPr>
                <w:color w:val="auto"/>
              </w:rPr>
            </w:pPr>
            <w:r w:rsidRPr="00920DFF">
              <w:rPr>
                <w:color w:val="auto"/>
              </w:rPr>
              <w:t xml:space="preserve">non-committal diagnoses, such as </w:t>
            </w:r>
          </w:p>
          <w:p w14:paraId="5E941FCC" w14:textId="77777777" w:rsidR="007F3B8F" w:rsidRPr="00920DFF" w:rsidRDefault="007F3B8F" w:rsidP="007633DD">
            <w:pPr>
              <w:pStyle w:val="ListParagraph"/>
              <w:numPr>
                <w:ilvl w:val="0"/>
                <w:numId w:val="42"/>
              </w:numPr>
              <w:ind w:left="346" w:hanging="187"/>
              <w:rPr>
                <w:color w:val="auto"/>
              </w:rPr>
            </w:pPr>
            <w:r w:rsidRPr="00920DFF">
              <w:rPr>
                <w:color w:val="auto"/>
              </w:rPr>
              <w:t>rule-out, or</w:t>
            </w:r>
          </w:p>
          <w:p w14:paraId="7394CF2A" w14:textId="77777777" w:rsidR="007F3B8F" w:rsidRPr="00920DFF" w:rsidRDefault="007F3B8F" w:rsidP="007633DD">
            <w:pPr>
              <w:pStyle w:val="ListParagraph"/>
              <w:numPr>
                <w:ilvl w:val="0"/>
                <w:numId w:val="42"/>
              </w:numPr>
              <w:ind w:left="346" w:hanging="187"/>
              <w:rPr>
                <w:color w:val="auto"/>
              </w:rPr>
            </w:pPr>
            <w:r w:rsidRPr="00920DFF">
              <w:rPr>
                <w:color w:val="auto"/>
              </w:rPr>
              <w:t>differential, and</w:t>
            </w:r>
          </w:p>
          <w:p w14:paraId="2EDC7A57" w14:textId="77777777" w:rsidR="007F3B8F" w:rsidRPr="00920DFF" w:rsidRDefault="007F3B8F" w:rsidP="007633DD">
            <w:pPr>
              <w:pStyle w:val="ListParagraph"/>
              <w:numPr>
                <w:ilvl w:val="0"/>
                <w:numId w:val="43"/>
              </w:numPr>
              <w:ind w:left="158" w:hanging="187"/>
              <w:rPr>
                <w:color w:val="auto"/>
              </w:rPr>
            </w:pPr>
            <w:r w:rsidRPr="00920DFF">
              <w:rPr>
                <w:color w:val="auto"/>
              </w:rPr>
              <w:t>assigning symptoms as a diagnosis, such as</w:t>
            </w:r>
          </w:p>
          <w:p w14:paraId="5B4E2DA7" w14:textId="77777777" w:rsidR="007F3B8F" w:rsidRPr="00920DFF" w:rsidRDefault="007F3B8F" w:rsidP="007633DD">
            <w:pPr>
              <w:pStyle w:val="ListParagraph"/>
              <w:numPr>
                <w:ilvl w:val="0"/>
                <w:numId w:val="44"/>
              </w:numPr>
              <w:ind w:left="346" w:hanging="187"/>
              <w:rPr>
                <w:color w:val="auto"/>
              </w:rPr>
            </w:pPr>
            <w:r w:rsidRPr="00920DFF">
              <w:rPr>
                <w:color w:val="auto"/>
              </w:rPr>
              <w:t>pain</w:t>
            </w:r>
          </w:p>
          <w:p w14:paraId="613A3589" w14:textId="77777777" w:rsidR="007F3B8F" w:rsidRPr="00920DFF" w:rsidRDefault="007F3B8F" w:rsidP="007633DD">
            <w:pPr>
              <w:pStyle w:val="ListParagraph"/>
              <w:numPr>
                <w:ilvl w:val="0"/>
                <w:numId w:val="45"/>
              </w:numPr>
              <w:ind w:left="346" w:hanging="187"/>
              <w:rPr>
                <w:rFonts w:eastAsiaTheme="minorHAnsi"/>
              </w:rPr>
            </w:pPr>
            <w:r w:rsidRPr="00920DFF">
              <w:rPr>
                <w:color w:val="auto"/>
              </w:rPr>
              <w:t xml:space="preserve">tenderness, or </w:t>
            </w:r>
          </w:p>
          <w:p w14:paraId="5BD79D4F" w14:textId="1124A8C1" w:rsidR="007F3B8F" w:rsidRPr="00920DFF" w:rsidRDefault="007F3B8F" w:rsidP="007F3B8F">
            <w:r w:rsidRPr="00920DFF">
              <w:t>weakness.</w:t>
            </w:r>
          </w:p>
        </w:tc>
      </w:tr>
      <w:tr w:rsidR="007F3B8F" w:rsidRPr="00920DFF" w14:paraId="0F85FBD1" w14:textId="77777777" w:rsidTr="007F3B8F">
        <w:tc>
          <w:tcPr>
            <w:tcW w:w="3690" w:type="dxa"/>
          </w:tcPr>
          <w:p w14:paraId="0D3B7FFD" w14:textId="466AC1BD" w:rsidR="007F3B8F" w:rsidRPr="00920DFF" w:rsidRDefault="007F3B8F" w:rsidP="007F3B8F">
            <w:r w:rsidRPr="00920DFF">
              <w:rPr>
                <w:rFonts w:eastAsiaTheme="minorHAnsi"/>
              </w:rPr>
              <w:t>a disability exists but a definite name cannot be given</w:t>
            </w:r>
          </w:p>
        </w:tc>
        <w:tc>
          <w:tcPr>
            <w:tcW w:w="3960" w:type="dxa"/>
          </w:tcPr>
          <w:p w14:paraId="08975065" w14:textId="77777777" w:rsidR="007F3B8F" w:rsidRPr="00920DFF" w:rsidRDefault="007F3B8F" w:rsidP="000B2C28">
            <w:r w:rsidRPr="00920DFF">
              <w:t>the examiner should describe the disability and indicate that it is of unknown etiology.</w:t>
            </w:r>
          </w:p>
          <w:p w14:paraId="2FF3F946" w14:textId="77777777" w:rsidR="007F3B8F" w:rsidRPr="00920DFF" w:rsidRDefault="007F3B8F" w:rsidP="000B2C28">
            <w:pPr>
              <w:spacing w:line="276" w:lineRule="auto"/>
            </w:pPr>
          </w:p>
          <w:p w14:paraId="3EA9B4B3" w14:textId="3DAED051" w:rsidR="007F3B8F" w:rsidRPr="00920DFF" w:rsidRDefault="007F3B8F" w:rsidP="007F3B8F">
            <w:r w:rsidRPr="00920DFF">
              <w:rPr>
                <w:b/>
                <w:bCs/>
                <w:i/>
                <w:iCs/>
              </w:rPr>
              <w:t>Example</w:t>
            </w:r>
            <w:r w:rsidRPr="00920DFF">
              <w:t>:  “Respiratory insufficiency of unknown etiology.”</w:t>
            </w:r>
          </w:p>
        </w:tc>
      </w:tr>
      <w:tr w:rsidR="007F3B8F" w:rsidRPr="00920DFF" w14:paraId="65F043B8" w14:textId="77777777" w:rsidTr="007F3B8F">
        <w:tc>
          <w:tcPr>
            <w:tcW w:w="3690" w:type="dxa"/>
          </w:tcPr>
          <w:p w14:paraId="65250BF8" w14:textId="4D62E387" w:rsidR="007F3B8F" w:rsidRPr="00920DFF" w:rsidRDefault="007F3B8F" w:rsidP="007F3B8F">
            <w:pPr>
              <w:rPr>
                <w:rFonts w:eastAsiaTheme="minorHAnsi"/>
              </w:rPr>
            </w:pPr>
            <w:r w:rsidRPr="00920DFF">
              <w:t>the examiner states further studies, evaluations, or laboratory tests are needed</w:t>
            </w:r>
          </w:p>
        </w:tc>
        <w:tc>
          <w:tcPr>
            <w:tcW w:w="3960" w:type="dxa"/>
          </w:tcPr>
          <w:p w14:paraId="594923D3" w14:textId="65BF8B48" w:rsidR="007F3B8F" w:rsidRPr="00920DFF" w:rsidRDefault="007F3B8F" w:rsidP="000B2C28">
            <w:r w:rsidRPr="00920DFF">
              <w:rPr>
                <w:rFonts w:eastAsiaTheme="minorHAnsi"/>
              </w:rPr>
              <w:t>the additional studies, evaluations, or testing must be performed before the diagnosis on examination can be considered final.</w:t>
            </w:r>
          </w:p>
        </w:tc>
      </w:tr>
      <w:tr w:rsidR="007F3B8F" w:rsidRPr="00920DFF" w14:paraId="6EFC3D26" w14:textId="77777777" w:rsidTr="007F3B8F">
        <w:tc>
          <w:tcPr>
            <w:tcW w:w="3690" w:type="dxa"/>
          </w:tcPr>
          <w:p w14:paraId="41170565" w14:textId="5DC2BB16" w:rsidR="007F3B8F" w:rsidRPr="00920DFF" w:rsidRDefault="007F3B8F" w:rsidP="007F3B8F">
            <w:r w:rsidRPr="00920DFF">
              <w:t>a previously established diagnosis is changed by the examiner</w:t>
            </w:r>
          </w:p>
        </w:tc>
        <w:tc>
          <w:tcPr>
            <w:tcW w:w="3960" w:type="dxa"/>
          </w:tcPr>
          <w:p w14:paraId="12902492" w14:textId="77777777" w:rsidR="007F3B8F" w:rsidRPr="00920DFF" w:rsidRDefault="007F3B8F" w:rsidP="000B2C28">
            <w:pPr>
              <w:rPr>
                <w:rFonts w:eastAsiaTheme="minorHAnsi"/>
                <w:color w:val="auto"/>
              </w:rPr>
            </w:pPr>
            <w:r w:rsidRPr="00920DFF">
              <w:rPr>
                <w:rFonts w:eastAsiaTheme="minorHAnsi"/>
                <w:color w:val="auto"/>
              </w:rPr>
              <w:t>the examiner must state whether the current diagnosis represents</w:t>
            </w:r>
          </w:p>
          <w:p w14:paraId="3ED7A5E5" w14:textId="77777777" w:rsidR="007F3B8F" w:rsidRPr="00920DFF" w:rsidRDefault="007F3B8F" w:rsidP="007633DD">
            <w:pPr>
              <w:pStyle w:val="ListParagraph"/>
              <w:numPr>
                <w:ilvl w:val="0"/>
                <w:numId w:val="46"/>
              </w:numPr>
              <w:ind w:left="158" w:hanging="187"/>
              <w:rPr>
                <w:rFonts w:eastAsiaTheme="minorHAnsi"/>
                <w:color w:val="auto"/>
              </w:rPr>
            </w:pPr>
            <w:r w:rsidRPr="00920DFF">
              <w:rPr>
                <w:rFonts w:eastAsiaTheme="minorHAnsi"/>
                <w:color w:val="auto"/>
              </w:rPr>
              <w:t>a new disability, or</w:t>
            </w:r>
          </w:p>
          <w:p w14:paraId="2B36C3A4" w14:textId="72040626" w:rsidR="007F3B8F" w:rsidRPr="00920DFF" w:rsidRDefault="007F3B8F" w:rsidP="000B2C28">
            <w:pPr>
              <w:rPr>
                <w:rFonts w:eastAsiaTheme="minorHAnsi"/>
              </w:rPr>
            </w:pPr>
            <w:r w:rsidRPr="00920DFF">
              <w:rPr>
                <w:rFonts w:eastAsiaTheme="minorHAnsi"/>
                <w:color w:val="auto"/>
              </w:rPr>
              <w:t>a progression of the former disability.</w:t>
            </w:r>
          </w:p>
        </w:tc>
      </w:tr>
    </w:tbl>
    <w:p w14:paraId="69694949" w14:textId="3F1E8DB6" w:rsidR="007F3B8F" w:rsidRPr="00920DFF" w:rsidRDefault="007F3B8F" w:rsidP="007F3B8F"/>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7F3B8F" w:rsidRPr="00920DFF" w14:paraId="3A921C55" w14:textId="77777777" w:rsidTr="007F3B8F">
        <w:tc>
          <w:tcPr>
            <w:tcW w:w="7740" w:type="dxa"/>
            <w:shd w:val="clear" w:color="auto" w:fill="auto"/>
          </w:tcPr>
          <w:p w14:paraId="1BF9006D" w14:textId="114BA18B" w:rsidR="007F3B8F" w:rsidRPr="00920DFF" w:rsidRDefault="007F3B8F" w:rsidP="007F3B8F">
            <w:r w:rsidRPr="00920DFF">
              <w:rPr>
                <w:b/>
                <w:i/>
              </w:rPr>
              <w:t>Reference</w:t>
            </w:r>
            <w:r w:rsidRPr="00920DFF">
              <w:t xml:space="preserve">:  </w:t>
            </w:r>
            <w:r w:rsidRPr="00920DFF">
              <w:rPr>
                <w:rFonts w:eastAsiaTheme="minorHAnsi"/>
              </w:rPr>
              <w:t>For more information on handling examinations insufficient for rating purposes, see M21-1, Part III, Subpart iv, 3.D.3.</w:t>
            </w:r>
          </w:p>
        </w:tc>
      </w:tr>
    </w:tbl>
    <w:p w14:paraId="28645C14" w14:textId="2D2D3DEA" w:rsidR="00874172" w:rsidRPr="00920DFF" w:rsidRDefault="0087417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74172" w:rsidRPr="00920DFF" w14:paraId="325ED5D0" w14:textId="77777777" w:rsidTr="00874172">
        <w:tc>
          <w:tcPr>
            <w:tcW w:w="1728" w:type="dxa"/>
            <w:shd w:val="clear" w:color="auto" w:fill="auto"/>
          </w:tcPr>
          <w:p w14:paraId="20A3A90E" w14:textId="620883B2" w:rsidR="00874172" w:rsidRPr="00920DFF" w:rsidRDefault="00874172" w:rsidP="00874172">
            <w:pPr>
              <w:rPr>
                <w:b/>
                <w:sz w:val="22"/>
              </w:rPr>
            </w:pPr>
            <w:r w:rsidRPr="00920DFF">
              <w:rPr>
                <w:b/>
                <w:sz w:val="22"/>
              </w:rPr>
              <w:t>m.  Qu</w:t>
            </w:r>
            <w:r w:rsidR="00574227" w:rsidRPr="00920DFF">
              <w:rPr>
                <w:b/>
                <w:sz w:val="22"/>
              </w:rPr>
              <w:t>estions About Competency</w:t>
            </w:r>
            <w:r w:rsidRPr="00920DFF">
              <w:rPr>
                <w:b/>
                <w:sz w:val="22"/>
              </w:rPr>
              <w:t xml:space="preserve"> and/or Validity of Exam</w:t>
            </w:r>
            <w:r w:rsidR="00AF576A" w:rsidRPr="00920DFF">
              <w:rPr>
                <w:b/>
                <w:sz w:val="22"/>
              </w:rPr>
              <w:t>ination</w:t>
            </w:r>
            <w:r w:rsidRPr="00920DFF">
              <w:rPr>
                <w:b/>
                <w:sz w:val="22"/>
              </w:rPr>
              <w:t>s</w:t>
            </w:r>
          </w:p>
        </w:tc>
        <w:tc>
          <w:tcPr>
            <w:tcW w:w="7740" w:type="dxa"/>
            <w:shd w:val="clear" w:color="auto" w:fill="auto"/>
          </w:tcPr>
          <w:p w14:paraId="32E65260" w14:textId="392283DE" w:rsidR="0049529E" w:rsidRPr="00920DFF" w:rsidRDefault="00581888" w:rsidP="00874172">
            <w:r w:rsidRPr="00920DFF">
              <w:t xml:space="preserve">Ensure that you consider concerns raised by the claimant or his recognized representative about a </w:t>
            </w:r>
            <w:r w:rsidR="0049529E" w:rsidRPr="00920DFF">
              <w:t xml:space="preserve">completed examination or opinion.  </w:t>
            </w:r>
            <w:r w:rsidR="004979A7" w:rsidRPr="00920DFF">
              <w:t xml:space="preserve">Communications raising concerns </w:t>
            </w:r>
            <w:r w:rsidR="0049529E" w:rsidRPr="00920DFF">
              <w:t>may take the form of</w:t>
            </w:r>
            <w:r w:rsidR="004979A7" w:rsidRPr="00920DFF">
              <w:t xml:space="preserve"> (but are not necessarily limited to)</w:t>
            </w:r>
            <w:r w:rsidR="0049529E" w:rsidRPr="00920DFF">
              <w:t>:</w:t>
            </w:r>
          </w:p>
          <w:p w14:paraId="26D31C23" w14:textId="77777777" w:rsidR="0049529E" w:rsidRPr="00920DFF" w:rsidRDefault="0049529E" w:rsidP="00874172"/>
          <w:p w14:paraId="56D52541" w14:textId="1CFCDFB6" w:rsidR="0049529E" w:rsidRPr="00920DFF" w:rsidRDefault="0049529E" w:rsidP="0049529E">
            <w:pPr>
              <w:pStyle w:val="BulletText1"/>
            </w:pPr>
            <w:r w:rsidRPr="00920DFF">
              <w:t>complaints about the examiner</w:t>
            </w:r>
          </w:p>
          <w:p w14:paraId="62B5495A" w14:textId="5B89CFA4" w:rsidR="0049529E" w:rsidRPr="00920DFF" w:rsidRDefault="0049529E" w:rsidP="0049529E">
            <w:pPr>
              <w:pStyle w:val="BulletText1"/>
            </w:pPr>
            <w:r w:rsidRPr="00920DFF">
              <w:t>requests for information about the examiner’s qualifications</w:t>
            </w:r>
          </w:p>
          <w:p w14:paraId="50EFB4B9" w14:textId="5F1D04A5" w:rsidR="0049529E" w:rsidRPr="00920DFF" w:rsidRDefault="008C7F51" w:rsidP="0049529E">
            <w:pPr>
              <w:pStyle w:val="BulletText1"/>
            </w:pPr>
            <w:r w:rsidRPr="00920DFF">
              <w:t>assertion</w:t>
            </w:r>
            <w:r w:rsidR="004979A7" w:rsidRPr="00920DFF">
              <w:t>s</w:t>
            </w:r>
            <w:r w:rsidRPr="00920DFF">
              <w:t xml:space="preserve"> that</w:t>
            </w:r>
            <w:r w:rsidR="0049529E" w:rsidRPr="00920DFF">
              <w:t xml:space="preserve"> records</w:t>
            </w:r>
            <w:r w:rsidRPr="00920DFF">
              <w:t xml:space="preserve"> or other relevant information </w:t>
            </w:r>
            <w:r w:rsidR="004979A7" w:rsidRPr="00920DFF">
              <w:t xml:space="preserve">or evidence </w:t>
            </w:r>
            <w:r w:rsidR="0049529E" w:rsidRPr="00920DFF">
              <w:t>was not considered</w:t>
            </w:r>
            <w:r w:rsidR="00581888" w:rsidRPr="00920DFF">
              <w:t>, or</w:t>
            </w:r>
          </w:p>
          <w:p w14:paraId="4CE7EF73" w14:textId="77777777" w:rsidR="00900E77" w:rsidRPr="00920DFF" w:rsidRDefault="0049529E" w:rsidP="00581888">
            <w:pPr>
              <w:pStyle w:val="BulletText1"/>
            </w:pPr>
            <w:r w:rsidRPr="00920DFF">
              <w:t>requests for another examination or opinion</w:t>
            </w:r>
            <w:r w:rsidR="00581888" w:rsidRPr="00920DFF">
              <w:t>.</w:t>
            </w:r>
          </w:p>
          <w:p w14:paraId="5AE60542" w14:textId="77777777" w:rsidR="00581888" w:rsidRPr="00920DFF" w:rsidRDefault="00581888" w:rsidP="00581888">
            <w:pPr>
              <w:pStyle w:val="TableText"/>
            </w:pPr>
          </w:p>
          <w:p w14:paraId="4E58E128" w14:textId="3661D67A" w:rsidR="00581888" w:rsidRPr="00920DFF" w:rsidRDefault="00581888" w:rsidP="00581888">
            <w:pPr>
              <w:pStyle w:val="TableText"/>
            </w:pPr>
            <w:r w:rsidRPr="00920DFF">
              <w:t xml:space="preserve">The mere fact </w:t>
            </w:r>
            <w:r w:rsidR="008C7F51" w:rsidRPr="00920DFF">
              <w:t xml:space="preserve">that such a communication is received </w:t>
            </w:r>
            <w:r w:rsidR="008C7F51" w:rsidRPr="00920DFF">
              <w:rPr>
                <w:i/>
              </w:rPr>
              <w:t>does not mean</w:t>
            </w:r>
            <w:r w:rsidR="008C7F51" w:rsidRPr="00920DFF">
              <w:t xml:space="preserve"> </w:t>
            </w:r>
            <w:r w:rsidRPr="00920DFF">
              <w:t>that the examination is insufficient or in need of clarification or that there is a further duty to assist</w:t>
            </w:r>
            <w:r w:rsidR="004979A7" w:rsidRPr="00920DFF">
              <w:t xml:space="preserve"> to obtain records or another examination</w:t>
            </w:r>
            <w:r w:rsidRPr="00920DFF">
              <w:t xml:space="preserve">.  </w:t>
            </w:r>
            <w:r w:rsidR="008C7F51" w:rsidRPr="00920DFF">
              <w:t>However consideration must be given t</w:t>
            </w:r>
            <w:r w:rsidR="004979A7" w:rsidRPr="00920DFF">
              <w:t>o whether one or more of those remedies is appropriate.</w:t>
            </w:r>
          </w:p>
          <w:p w14:paraId="4084112E" w14:textId="77777777" w:rsidR="00581888" w:rsidRPr="00920DFF" w:rsidRDefault="00581888" w:rsidP="00581888">
            <w:pPr>
              <w:pStyle w:val="TableText"/>
            </w:pPr>
          </w:p>
          <w:p w14:paraId="6139F66E" w14:textId="77777777" w:rsidR="00581888" w:rsidRPr="00920DFF" w:rsidRDefault="00581888" w:rsidP="00581888">
            <w:pPr>
              <w:pStyle w:val="TableText"/>
            </w:pPr>
            <w:r w:rsidRPr="00920DFF">
              <w:t>The table below provides guidance on interpreting communications from claimants or representative raising concerns about examinations and what action to take as applicable.</w:t>
            </w:r>
          </w:p>
          <w:p w14:paraId="41995501" w14:textId="7515D284" w:rsidR="00267152" w:rsidRPr="00920DFF" w:rsidRDefault="00267152" w:rsidP="00581888">
            <w:pPr>
              <w:pStyle w:val="TableText"/>
            </w:pPr>
          </w:p>
        </w:tc>
      </w:tr>
    </w:tbl>
    <w:p w14:paraId="511003CD" w14:textId="07AFCA22" w:rsidR="007D3543" w:rsidRPr="00920DFF" w:rsidRDefault="007D3543" w:rsidP="007D3543"/>
    <w:tbl>
      <w:tblPr>
        <w:tblW w:w="7376" w:type="dxa"/>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6"/>
        <w:gridCol w:w="4660"/>
      </w:tblGrid>
      <w:tr w:rsidR="007D3543" w:rsidRPr="00920DFF" w14:paraId="704DD1EC" w14:textId="77777777" w:rsidTr="00AF576A">
        <w:tc>
          <w:tcPr>
            <w:tcW w:w="1841" w:type="pct"/>
            <w:shd w:val="clear" w:color="auto" w:fill="auto"/>
          </w:tcPr>
          <w:p w14:paraId="6D0C5740" w14:textId="42891C27" w:rsidR="007D3543" w:rsidRPr="00920DFF" w:rsidRDefault="007D3543" w:rsidP="007D3543">
            <w:pPr>
              <w:pStyle w:val="TableHeaderText"/>
              <w:jc w:val="left"/>
            </w:pPr>
            <w:r w:rsidRPr="00920DFF">
              <w:t xml:space="preserve">If </w:t>
            </w:r>
            <w:r w:rsidR="000542C4" w:rsidRPr="00920DFF">
              <w:t xml:space="preserve">the substance of the communication is </w:t>
            </w:r>
            <w:r w:rsidRPr="00920DFF">
              <w:t>...</w:t>
            </w:r>
          </w:p>
        </w:tc>
        <w:tc>
          <w:tcPr>
            <w:tcW w:w="3159" w:type="pct"/>
            <w:shd w:val="clear" w:color="auto" w:fill="auto"/>
          </w:tcPr>
          <w:p w14:paraId="0D7C3018" w14:textId="360B3763" w:rsidR="007D3543" w:rsidRPr="00920DFF" w:rsidRDefault="007D3543" w:rsidP="007D3543">
            <w:pPr>
              <w:pStyle w:val="TableHeaderText"/>
              <w:jc w:val="left"/>
            </w:pPr>
            <w:r w:rsidRPr="00920DFF">
              <w:t>Then ...</w:t>
            </w:r>
          </w:p>
        </w:tc>
      </w:tr>
      <w:tr w:rsidR="007D3543" w:rsidRPr="00920DFF" w14:paraId="7461D373" w14:textId="77777777" w:rsidTr="00AF576A">
        <w:tc>
          <w:tcPr>
            <w:tcW w:w="1841" w:type="pct"/>
            <w:shd w:val="clear" w:color="auto" w:fill="auto"/>
          </w:tcPr>
          <w:p w14:paraId="747B3654" w14:textId="090F92A4" w:rsidR="007D3543" w:rsidRPr="00920DFF" w:rsidRDefault="00554FBE" w:rsidP="007D3543">
            <w:pPr>
              <w:pStyle w:val="TableText"/>
            </w:pPr>
            <w:r w:rsidRPr="00920DFF">
              <w:t>t</w:t>
            </w:r>
            <w:r w:rsidR="000542C4" w:rsidRPr="00920DFF">
              <w:t>hat the examiner was not qualified to perform the examination or issue the opinion.</w:t>
            </w:r>
          </w:p>
        </w:tc>
        <w:tc>
          <w:tcPr>
            <w:tcW w:w="3159" w:type="pct"/>
            <w:shd w:val="clear" w:color="auto" w:fill="auto"/>
          </w:tcPr>
          <w:p w14:paraId="722A14E2" w14:textId="51385186" w:rsidR="000542C4" w:rsidRPr="00920DFF" w:rsidRDefault="001469CC" w:rsidP="001469CC">
            <w:pPr>
              <w:pStyle w:val="BulletText1"/>
            </w:pPr>
            <w:r w:rsidRPr="00920DFF">
              <w:t>r</w:t>
            </w:r>
            <w:r w:rsidR="000542C4" w:rsidRPr="00920DFF">
              <w:t>ev</w:t>
            </w:r>
            <w:r w:rsidRPr="00920DFF">
              <w:t>iew M21-1, Part III, Subpart iv, 3.D.2.b and additional blocks in this topic on qualifications for specific types of examinations, and</w:t>
            </w:r>
          </w:p>
          <w:p w14:paraId="10FAC53E" w14:textId="6F329CCA" w:rsidR="000542C4" w:rsidRPr="00920DFF" w:rsidRDefault="001469CC" w:rsidP="001469CC">
            <w:pPr>
              <w:pStyle w:val="BulletText1"/>
            </w:pPr>
            <w:r w:rsidRPr="00920DFF">
              <w:t>c</w:t>
            </w:r>
            <w:r w:rsidR="000542C4" w:rsidRPr="00920DFF">
              <w:t>onsider the guidance on competency of medical evidence in M21-1, Part III, subpart iv, 5</w:t>
            </w:r>
            <w:r w:rsidRPr="00920DFF">
              <w:t>.</w:t>
            </w:r>
            <w:r w:rsidR="004979A7" w:rsidRPr="00920DFF">
              <w:t>2</w:t>
            </w:r>
            <w:r w:rsidR="00554FBE" w:rsidRPr="00920DFF">
              <w:t>.</w:t>
            </w:r>
          </w:p>
          <w:p w14:paraId="0E31BA3A" w14:textId="77777777" w:rsidR="007D3543" w:rsidRPr="00920DFF" w:rsidRDefault="007D3543" w:rsidP="007D3543">
            <w:pPr>
              <w:pStyle w:val="TableText"/>
            </w:pPr>
          </w:p>
          <w:p w14:paraId="479C9E7E" w14:textId="72B79F0E" w:rsidR="007D3543" w:rsidRPr="00920DFF" w:rsidRDefault="001469CC" w:rsidP="007D3543">
            <w:pPr>
              <w:pStyle w:val="TableText"/>
            </w:pPr>
            <w:r w:rsidRPr="00920DFF">
              <w:t xml:space="preserve">When that review leads to a conclusion that the examiner </w:t>
            </w:r>
            <w:r w:rsidRPr="00920DFF">
              <w:rPr>
                <w:i/>
              </w:rPr>
              <w:t>did not have</w:t>
            </w:r>
            <w:r w:rsidRPr="00920DFF">
              <w:t xml:space="preserve"> the appropriate qualifications</w:t>
            </w:r>
            <w:r w:rsidR="00554FBE" w:rsidRPr="00920DFF">
              <w:t>,</w:t>
            </w:r>
            <w:r w:rsidRPr="00920DFF">
              <w:t xml:space="preserve"> or otherwise that the conclusions of the examination or opinion were not competent</w:t>
            </w:r>
            <w:r w:rsidR="00554FBE" w:rsidRPr="00920DFF">
              <w:t>,</w:t>
            </w:r>
            <w:r w:rsidRPr="00920DFF">
              <w:t xml:space="preserve"> </w:t>
            </w:r>
            <w:r w:rsidR="0025761C" w:rsidRPr="00920DFF">
              <w:t xml:space="preserve">another examination is required.  </w:t>
            </w:r>
          </w:p>
          <w:p w14:paraId="5C676182" w14:textId="77777777" w:rsidR="0025761C" w:rsidRPr="00920DFF" w:rsidRDefault="0025761C" w:rsidP="007D3543">
            <w:pPr>
              <w:pStyle w:val="TableText"/>
            </w:pPr>
          </w:p>
          <w:p w14:paraId="0065712A" w14:textId="095DC7B0" w:rsidR="0025761C" w:rsidRPr="00920DFF" w:rsidRDefault="0025761C" w:rsidP="007D3543">
            <w:pPr>
              <w:pStyle w:val="TableText"/>
            </w:pPr>
            <w:r w:rsidRPr="00920DFF">
              <w:t xml:space="preserve">However where an examiner is basically competent, matters like specialty, Board certification, experience and other related considerations will merely be considerations in determining probative value of the examination or opinion. </w:t>
            </w:r>
          </w:p>
          <w:p w14:paraId="5E7919F8" w14:textId="77777777" w:rsidR="007D3543" w:rsidRPr="00920DFF" w:rsidRDefault="007D3543" w:rsidP="007D3543">
            <w:pPr>
              <w:pStyle w:val="TableText"/>
            </w:pPr>
          </w:p>
          <w:p w14:paraId="24C20A8E" w14:textId="3447F55C" w:rsidR="007D3543" w:rsidRPr="00920DFF" w:rsidRDefault="007D3543" w:rsidP="007D3543">
            <w:pPr>
              <w:pStyle w:val="TableText"/>
            </w:pPr>
            <w:r w:rsidRPr="00920DFF">
              <w:t xml:space="preserve">Note:  there is a presumption that a selected medical examiner is competent.  </w:t>
            </w:r>
          </w:p>
          <w:p w14:paraId="35E02E6D" w14:textId="77777777" w:rsidR="007D3543" w:rsidRPr="00920DFF" w:rsidRDefault="007D3543" w:rsidP="007D3543">
            <w:pPr>
              <w:pStyle w:val="TableText"/>
            </w:pPr>
          </w:p>
        </w:tc>
      </w:tr>
      <w:tr w:rsidR="007D3543" w:rsidRPr="00920DFF" w14:paraId="5B1B061F" w14:textId="77777777" w:rsidTr="00AF576A">
        <w:tc>
          <w:tcPr>
            <w:tcW w:w="1841" w:type="pct"/>
            <w:shd w:val="clear" w:color="auto" w:fill="auto"/>
          </w:tcPr>
          <w:p w14:paraId="67F9EA65" w14:textId="0C214100" w:rsidR="007D3543" w:rsidRPr="00920DFF" w:rsidRDefault="00554FBE" w:rsidP="007D3543">
            <w:pPr>
              <w:pStyle w:val="TableText"/>
            </w:pPr>
            <w:r w:rsidRPr="00920DFF">
              <w:t>t</w:t>
            </w:r>
            <w:r w:rsidR="008C7F51" w:rsidRPr="00920DFF">
              <w:t>hat the examination was not sufficient or requires clarification.</w:t>
            </w:r>
          </w:p>
        </w:tc>
        <w:tc>
          <w:tcPr>
            <w:tcW w:w="3159" w:type="pct"/>
            <w:shd w:val="clear" w:color="auto" w:fill="auto"/>
          </w:tcPr>
          <w:p w14:paraId="79A21C0D" w14:textId="23203FA0" w:rsidR="007D3543" w:rsidRPr="00920DFF" w:rsidRDefault="008C7F51" w:rsidP="008C7F51">
            <w:pPr>
              <w:pStyle w:val="TableText"/>
            </w:pPr>
            <w:r w:rsidRPr="00920DFF">
              <w:t xml:space="preserve">Review M21-1, Part III, Subpart iv, 3.D.3 and 4 and take any action required by those topics. </w:t>
            </w:r>
          </w:p>
        </w:tc>
      </w:tr>
      <w:tr w:rsidR="007D3543" w:rsidRPr="00920DFF" w14:paraId="23894B1E" w14:textId="77777777" w:rsidTr="00AF576A">
        <w:tc>
          <w:tcPr>
            <w:tcW w:w="1841" w:type="pct"/>
            <w:shd w:val="clear" w:color="auto" w:fill="auto"/>
          </w:tcPr>
          <w:p w14:paraId="36C6C694" w14:textId="63DFE48F" w:rsidR="007D3543" w:rsidRPr="00920DFF" w:rsidRDefault="00554FBE" w:rsidP="008C7F51">
            <w:pPr>
              <w:pStyle w:val="TableText"/>
            </w:pPr>
            <w:r w:rsidRPr="00920DFF">
              <w:t>t</w:t>
            </w:r>
            <w:r w:rsidR="008C7F51" w:rsidRPr="00920DFF">
              <w:t xml:space="preserve">hat additional material evidence must be obtained to substantiate the claim </w:t>
            </w:r>
          </w:p>
        </w:tc>
        <w:tc>
          <w:tcPr>
            <w:tcW w:w="3159" w:type="pct"/>
            <w:shd w:val="clear" w:color="auto" w:fill="auto"/>
          </w:tcPr>
          <w:p w14:paraId="1034E879" w14:textId="3A369C69" w:rsidR="00900E77" w:rsidRPr="00920DFF" w:rsidRDefault="004979A7" w:rsidP="004979A7">
            <w:pPr>
              <w:ind w:left="-29"/>
            </w:pPr>
            <w:r w:rsidRPr="00920DFF">
              <w:t xml:space="preserve">Review M21-1, Part I, 3.C on the duty to assist. </w:t>
            </w:r>
          </w:p>
          <w:p w14:paraId="02BCE427" w14:textId="77777777" w:rsidR="007D3543" w:rsidRPr="00920DFF" w:rsidRDefault="007D3543" w:rsidP="007D3543">
            <w:pPr>
              <w:pStyle w:val="TableText"/>
            </w:pPr>
          </w:p>
        </w:tc>
      </w:tr>
    </w:tbl>
    <w:p w14:paraId="55BE03F2" w14:textId="77777777" w:rsidR="007D3543" w:rsidRPr="00920DFF" w:rsidRDefault="007D3543" w:rsidP="007D3543"/>
    <w:tbl>
      <w:tblPr>
        <w:tblW w:w="7732" w:type="dxa"/>
        <w:tblInd w:w="1728" w:type="dxa"/>
        <w:tblLayout w:type="fixed"/>
        <w:tblLook w:val="0000" w:firstRow="0" w:lastRow="0" w:firstColumn="0" w:lastColumn="0" w:noHBand="0" w:noVBand="0"/>
      </w:tblPr>
      <w:tblGrid>
        <w:gridCol w:w="7732"/>
      </w:tblGrid>
      <w:tr w:rsidR="007D3543" w:rsidRPr="00920DFF" w14:paraId="42770840" w14:textId="77777777" w:rsidTr="007D3543">
        <w:tc>
          <w:tcPr>
            <w:tcW w:w="5000" w:type="pct"/>
            <w:shd w:val="clear" w:color="auto" w:fill="auto"/>
          </w:tcPr>
          <w:p w14:paraId="74A95E6B" w14:textId="7C29B52F" w:rsidR="001469CC" w:rsidRPr="00920DFF" w:rsidRDefault="007D3543" w:rsidP="001469CC">
            <w:pPr>
              <w:pStyle w:val="NoteText"/>
            </w:pPr>
            <w:r w:rsidRPr="00920DFF">
              <w:rPr>
                <w:b/>
                <w:i/>
              </w:rPr>
              <w:t>Note</w:t>
            </w:r>
            <w:r w:rsidRPr="00920DFF">
              <w:t>:  VA</w:t>
            </w:r>
            <w:r w:rsidR="008C7F51" w:rsidRPr="00920DFF">
              <w:t>’s compensation and pension claim adjudication system</w:t>
            </w:r>
            <w:r w:rsidRPr="00920DFF">
              <w:t xml:space="preserve"> does not have a procedure for completion of in</w:t>
            </w:r>
            <w:r w:rsidR="001469CC" w:rsidRPr="00920DFF">
              <w:t xml:space="preserve">terrogatories by VA personnel.  </w:t>
            </w:r>
            <w:r w:rsidRPr="00920DFF">
              <w:rPr>
                <w:b/>
                <w:i/>
              </w:rPr>
              <w:t>Interrogatories</w:t>
            </w:r>
            <w:r w:rsidRPr="00920DFF">
              <w:t xml:space="preserve"> are written questions that, in some court </w:t>
            </w:r>
            <w:r w:rsidR="00A30738" w:rsidRPr="00920DFF">
              <w:t>proceedings</w:t>
            </w:r>
            <w:r w:rsidRPr="00920DFF">
              <w:t xml:space="preserve">, must be answered under oath.  </w:t>
            </w:r>
            <w:r w:rsidR="001469CC" w:rsidRPr="00920DFF">
              <w:t>If</w:t>
            </w:r>
            <w:r w:rsidR="008C7F51" w:rsidRPr="00920DFF">
              <w:t xml:space="preserve"> the claimant or representative submits a communication </w:t>
            </w:r>
            <w:r w:rsidR="001469CC" w:rsidRPr="00920DFF">
              <w:t xml:space="preserve">characterized as interrogatories </w:t>
            </w:r>
          </w:p>
          <w:p w14:paraId="49564917" w14:textId="77777777" w:rsidR="001469CC" w:rsidRPr="00920DFF" w:rsidRDefault="001469CC" w:rsidP="001469CC">
            <w:pPr>
              <w:pStyle w:val="BulletText1"/>
              <w:rPr>
                <w:b/>
                <w:i/>
              </w:rPr>
            </w:pPr>
            <w:r w:rsidRPr="00920DFF">
              <w:rPr>
                <w:b/>
                <w:i/>
              </w:rPr>
              <w:t xml:space="preserve">do not </w:t>
            </w:r>
          </w:p>
          <w:p w14:paraId="01783C05" w14:textId="782F41FB" w:rsidR="001469CC" w:rsidRPr="00920DFF" w:rsidRDefault="001469CC" w:rsidP="001469CC">
            <w:pPr>
              <w:pStyle w:val="BulletText2"/>
            </w:pPr>
            <w:r w:rsidRPr="00920DFF">
              <w:t>complete and return the document, and</w:t>
            </w:r>
          </w:p>
          <w:p w14:paraId="642C92D8" w14:textId="480325A1" w:rsidR="001469CC" w:rsidRPr="00920DFF" w:rsidRDefault="001469CC" w:rsidP="001469CC">
            <w:pPr>
              <w:pStyle w:val="BulletText2"/>
              <w:rPr>
                <w:b/>
                <w:i/>
              </w:rPr>
            </w:pPr>
            <w:r w:rsidRPr="00920DFF">
              <w:t xml:space="preserve">do not refer it to the examiner, </w:t>
            </w:r>
            <w:r w:rsidRPr="00920DFF">
              <w:rPr>
                <w:b/>
                <w:i/>
              </w:rPr>
              <w:t xml:space="preserve">but </w:t>
            </w:r>
          </w:p>
          <w:p w14:paraId="0AB0D164" w14:textId="77777777" w:rsidR="001469CC" w:rsidRPr="00920DFF" w:rsidRDefault="001469CC" w:rsidP="001469CC">
            <w:pPr>
              <w:pStyle w:val="BulletText1"/>
              <w:rPr>
                <w:b/>
                <w:i/>
              </w:rPr>
            </w:pPr>
            <w:r w:rsidRPr="00920DFF">
              <w:rPr>
                <w:b/>
                <w:i/>
              </w:rPr>
              <w:t xml:space="preserve">do </w:t>
            </w:r>
          </w:p>
          <w:p w14:paraId="0FD05512" w14:textId="48DFA5E0" w:rsidR="008C7F51" w:rsidRPr="00920DFF" w:rsidRDefault="007D3543" w:rsidP="001469CC">
            <w:pPr>
              <w:pStyle w:val="BulletText2"/>
            </w:pPr>
            <w:r w:rsidRPr="00920DFF">
              <w:t xml:space="preserve">look at the substance </w:t>
            </w:r>
            <w:r w:rsidR="008C7F51" w:rsidRPr="00920DFF">
              <w:t>of the communication</w:t>
            </w:r>
            <w:r w:rsidR="0025761C" w:rsidRPr="00920DFF">
              <w:t xml:space="preserve"> as indicated above in this block</w:t>
            </w:r>
            <w:r w:rsidR="001469CC" w:rsidRPr="00920DFF">
              <w:t>, and</w:t>
            </w:r>
          </w:p>
          <w:p w14:paraId="0A33F4EF" w14:textId="605ED09E" w:rsidR="007D3543" w:rsidRPr="00920DFF" w:rsidRDefault="008C7F51" w:rsidP="001469CC">
            <w:pPr>
              <w:pStyle w:val="BulletText2"/>
            </w:pPr>
            <w:r w:rsidRPr="00920DFF">
              <w:t>de</w:t>
            </w:r>
            <w:r w:rsidR="007D3543" w:rsidRPr="00920DFF">
              <w:t>termine if it is raising questions about examiner competency, adequacy of the examination or satisfaction of the duty to assist.</w:t>
            </w:r>
          </w:p>
          <w:p w14:paraId="4C30676D" w14:textId="77777777" w:rsidR="00581888" w:rsidRPr="00920DFF" w:rsidRDefault="00581888" w:rsidP="00581888"/>
          <w:p w14:paraId="77FCA23A" w14:textId="77777777" w:rsidR="00581888" w:rsidRPr="00920DFF" w:rsidRDefault="00581888" w:rsidP="00581888">
            <w:r w:rsidRPr="00920DFF">
              <w:rPr>
                <w:b/>
                <w:i/>
              </w:rPr>
              <w:t>Reference</w:t>
            </w:r>
            <w:r w:rsidRPr="00920DFF">
              <w:t xml:space="preserve">:  For more information on </w:t>
            </w:r>
          </w:p>
          <w:p w14:paraId="31E87EE9" w14:textId="6718CE99" w:rsidR="00581888" w:rsidRPr="00920DFF" w:rsidRDefault="00581888" w:rsidP="00581888">
            <w:pPr>
              <w:pStyle w:val="ListParagraph"/>
              <w:numPr>
                <w:ilvl w:val="0"/>
                <w:numId w:val="82"/>
              </w:numPr>
              <w:ind w:left="158" w:hanging="187"/>
            </w:pPr>
            <w:r w:rsidRPr="00920DFF">
              <w:t xml:space="preserve">A </w:t>
            </w:r>
            <w:r w:rsidR="00A30738" w:rsidRPr="00920DFF">
              <w:t>claimant’s</w:t>
            </w:r>
            <w:r w:rsidRPr="00920DFF">
              <w:t xml:space="preserve"> </w:t>
            </w:r>
            <w:proofErr w:type="gramStart"/>
            <w:r w:rsidRPr="00920DFF">
              <w:t>request for information, or complaints, about a VA examination or opinion, see</w:t>
            </w:r>
            <w:proofErr w:type="gramEnd"/>
            <w:r w:rsidRPr="00920DFF">
              <w:t xml:space="preserve"> </w:t>
            </w:r>
            <w:hyperlink r:id="rId28" w:history="1">
              <w:r w:rsidRPr="00920DFF">
                <w:rPr>
                  <w:rStyle w:val="Hyperlink"/>
                  <w:i/>
                </w:rPr>
                <w:t>Nohr v. McDonald</w:t>
              </w:r>
              <w:r w:rsidRPr="00920DFF">
                <w:rPr>
                  <w:rStyle w:val="Hyperlink"/>
                </w:rPr>
                <w:t>, 27 Vet.App. 124 (2014</w:t>
              </w:r>
            </w:hyperlink>
            <w:r w:rsidRPr="00920DFF">
              <w:rPr>
                <w:color w:val="1F497D"/>
              </w:rPr>
              <w:t>), and</w:t>
            </w:r>
          </w:p>
          <w:p w14:paraId="18EE6745" w14:textId="3F598371" w:rsidR="00581888" w:rsidRPr="00920DFF" w:rsidRDefault="00581888" w:rsidP="00581888">
            <w:pPr>
              <w:pStyle w:val="BulletText1"/>
            </w:pPr>
            <w:r w:rsidRPr="00920DFF">
              <w:t xml:space="preserve">challenging the expertise of a VA examiner, see </w:t>
            </w:r>
            <w:hyperlink r:id="rId29" w:anchor="bmb" w:history="1">
              <w:r w:rsidRPr="00920DFF">
                <w:rPr>
                  <w:rStyle w:val="Hyperlink"/>
                  <w:i/>
                </w:rPr>
                <w:t>Bastien v. Shinseki</w:t>
              </w:r>
              <w:r w:rsidRPr="00920DFF">
                <w:rPr>
                  <w:rStyle w:val="Hyperlink"/>
                </w:rPr>
                <w:t>, 599 F.3d 1301,1307</w:t>
              </w:r>
            </w:hyperlink>
            <w:r w:rsidRPr="00920DFF">
              <w:t>.(Fed.Cir.2010).</w:t>
            </w:r>
          </w:p>
          <w:p w14:paraId="61E8FE77" w14:textId="29BB36CA" w:rsidR="00581888" w:rsidRPr="00920DFF" w:rsidRDefault="00581888" w:rsidP="007D3543">
            <w:pPr>
              <w:pStyle w:val="NoteText"/>
            </w:pPr>
          </w:p>
        </w:tc>
      </w:tr>
    </w:tbl>
    <w:p w14:paraId="5CEBD7E9" w14:textId="75AA47A2" w:rsidR="001F15FE" w:rsidRPr="00920DFF" w:rsidRDefault="0014508B">
      <w:pPr>
        <w:pStyle w:val="BlockLine"/>
      </w:pPr>
      <w:r w:rsidRPr="00920DFF">
        <w:fldChar w:fldCharType="begin"/>
      </w:r>
      <w:r w:rsidRPr="00920DFF">
        <w:instrText xml:space="preserve"> PRIVATE INFOTYPE="PRINCIPLE" </w:instrText>
      </w:r>
      <w:r w:rsidRPr="00920DFF">
        <w:fldChar w:fldCharType="end"/>
      </w:r>
    </w:p>
    <w:tbl>
      <w:tblPr>
        <w:tblW w:w="0" w:type="auto"/>
        <w:tblLayout w:type="fixed"/>
        <w:tblLook w:val="0000" w:firstRow="0" w:lastRow="0" w:firstColumn="0" w:lastColumn="0" w:noHBand="0" w:noVBand="0"/>
      </w:tblPr>
      <w:tblGrid>
        <w:gridCol w:w="1728"/>
        <w:gridCol w:w="7740"/>
      </w:tblGrid>
      <w:tr w:rsidR="001F15FE" w:rsidRPr="00920DFF" w14:paraId="5CEBD7EC" w14:textId="77777777">
        <w:trPr>
          <w:cantSplit/>
        </w:trPr>
        <w:tc>
          <w:tcPr>
            <w:tcW w:w="1728" w:type="dxa"/>
          </w:tcPr>
          <w:p w14:paraId="5CEBD7EA" w14:textId="3DBAAD9B" w:rsidR="001F15FE" w:rsidRPr="00920DFF" w:rsidRDefault="00267152" w:rsidP="00392882">
            <w:pPr>
              <w:pStyle w:val="Heading5"/>
            </w:pPr>
            <w:bookmarkStart w:id="22" w:name="_m.__Handling"/>
            <w:bookmarkEnd w:id="22"/>
            <w:proofErr w:type="gramStart"/>
            <w:r w:rsidRPr="00920DFF">
              <w:t>n</w:t>
            </w:r>
            <w:r w:rsidR="001F15FE" w:rsidRPr="00920DFF">
              <w:t xml:space="preserve">.  </w:t>
            </w:r>
            <w:bookmarkStart w:id="23" w:name="l"/>
            <w:r w:rsidR="001F15FE" w:rsidRPr="00920DFF">
              <w:t>Handling</w:t>
            </w:r>
            <w:proofErr w:type="gramEnd"/>
            <w:r w:rsidR="001F15FE" w:rsidRPr="00920DFF">
              <w:t xml:space="preserve"> Unusual Cases</w:t>
            </w:r>
            <w:bookmarkEnd w:id="23"/>
          </w:p>
        </w:tc>
        <w:tc>
          <w:tcPr>
            <w:tcW w:w="7740" w:type="dxa"/>
          </w:tcPr>
          <w:p w14:paraId="5CEBD7EB" w14:textId="77777777" w:rsidR="001F15FE" w:rsidRPr="00920DFF" w:rsidRDefault="001F15FE">
            <w:pPr>
              <w:pStyle w:val="BlockText"/>
            </w:pPr>
            <w:r w:rsidRPr="00920DFF">
              <w:t>If necessary, the VSCM or PMCM should discuss unusual cases with health care officials to ensure proper understanding of the issue or issues at hand.</w:t>
            </w:r>
          </w:p>
        </w:tc>
      </w:tr>
    </w:tbl>
    <w:p w14:paraId="5CEBD7ED" w14:textId="77777777" w:rsidR="001F15FE" w:rsidRPr="00920DFF" w:rsidRDefault="0014508B">
      <w:pPr>
        <w:pStyle w:val="BlockLine"/>
      </w:pPr>
      <w:r w:rsidRPr="00920DFF">
        <w:fldChar w:fldCharType="begin"/>
      </w:r>
      <w:r w:rsidRPr="00920DFF">
        <w:instrText xml:space="preserve"> PRIVATE INFOTYPE="PRINCIPLE" </w:instrText>
      </w:r>
      <w:r w:rsidRPr="00920DFF">
        <w:fldChar w:fldCharType="end"/>
      </w:r>
    </w:p>
    <w:tbl>
      <w:tblPr>
        <w:tblW w:w="0" w:type="auto"/>
        <w:tblLayout w:type="fixed"/>
        <w:tblLook w:val="0000" w:firstRow="0" w:lastRow="0" w:firstColumn="0" w:lastColumn="0" w:noHBand="0" w:noVBand="0"/>
      </w:tblPr>
      <w:tblGrid>
        <w:gridCol w:w="1728"/>
        <w:gridCol w:w="7740"/>
      </w:tblGrid>
      <w:tr w:rsidR="001F15FE" w:rsidRPr="00920DFF" w14:paraId="5CEBD7F0" w14:textId="77777777">
        <w:trPr>
          <w:cantSplit/>
        </w:trPr>
        <w:tc>
          <w:tcPr>
            <w:tcW w:w="1728" w:type="dxa"/>
          </w:tcPr>
          <w:p w14:paraId="5CEBD7EE" w14:textId="33EB5800" w:rsidR="001F15FE" w:rsidRPr="00920DFF" w:rsidRDefault="00267152">
            <w:pPr>
              <w:pStyle w:val="Heading5"/>
            </w:pPr>
            <w:bookmarkStart w:id="24" w:name="_n.__Accepting"/>
            <w:bookmarkEnd w:id="24"/>
            <w:r w:rsidRPr="00920DFF">
              <w:t>o</w:t>
            </w:r>
            <w:r w:rsidR="001F15FE" w:rsidRPr="00920DFF">
              <w:t xml:space="preserve">.  </w:t>
            </w:r>
            <w:bookmarkStart w:id="25" w:name="m"/>
            <w:r w:rsidR="001F15FE" w:rsidRPr="00920DFF">
              <w:t>Accepting a Fee-Based Examiner’s Report</w:t>
            </w:r>
            <w:bookmarkEnd w:id="25"/>
          </w:p>
        </w:tc>
        <w:tc>
          <w:tcPr>
            <w:tcW w:w="7740" w:type="dxa"/>
          </w:tcPr>
          <w:p w14:paraId="5CEBD7EF" w14:textId="2E903B0E" w:rsidR="001F15FE" w:rsidRPr="00920DFF" w:rsidRDefault="001F15FE" w:rsidP="003B0607">
            <w:pPr>
              <w:pStyle w:val="BlockText"/>
            </w:pPr>
            <w:r w:rsidRPr="00920DFF">
              <w:t xml:space="preserve">There is no prohibition against acceptance of a VA examination for rating purposes </w:t>
            </w:r>
            <w:r w:rsidR="003B0607" w:rsidRPr="00920DFF">
              <w:t>from</w:t>
            </w:r>
            <w:r w:rsidRPr="00920DFF">
              <w:t xml:space="preserve"> a fee-based medical examiner </w:t>
            </w:r>
            <w:r w:rsidR="003B0607" w:rsidRPr="00920DFF">
              <w:t>who</w:t>
            </w:r>
            <w:r w:rsidRPr="00920DFF">
              <w:t xml:space="preserve"> has previously submitted a statement on the claimant’s behalf.</w:t>
            </w:r>
          </w:p>
        </w:tc>
      </w:tr>
    </w:tbl>
    <w:p w14:paraId="2951A076" w14:textId="27DA8455" w:rsidR="00AF00CF" w:rsidRPr="00920DFF" w:rsidRDefault="00AF00CF" w:rsidP="00AF00CF">
      <w:pPr>
        <w:tabs>
          <w:tab w:val="left" w:pos="9360"/>
        </w:tabs>
        <w:ind w:left="1714"/>
      </w:pPr>
      <w:r w:rsidRPr="00920DFF">
        <w:rPr>
          <w:u w:val="single"/>
        </w:rPr>
        <w:tab/>
      </w:r>
    </w:p>
    <w:tbl>
      <w:tblPr>
        <w:tblW w:w="0" w:type="auto"/>
        <w:tblInd w:w="-106" w:type="dxa"/>
        <w:tblLayout w:type="fixed"/>
        <w:tblLook w:val="0000" w:firstRow="0" w:lastRow="0" w:firstColumn="0" w:lastColumn="0" w:noHBand="0" w:noVBand="0"/>
      </w:tblPr>
      <w:tblGrid>
        <w:gridCol w:w="1728"/>
        <w:gridCol w:w="7740"/>
      </w:tblGrid>
      <w:tr w:rsidR="005175CD" w:rsidRPr="00920DFF" w14:paraId="2CEB4543" w14:textId="77777777" w:rsidTr="00AC79DD">
        <w:tc>
          <w:tcPr>
            <w:tcW w:w="1728" w:type="dxa"/>
            <w:tcBorders>
              <w:top w:val="nil"/>
              <w:left w:val="nil"/>
              <w:bottom w:val="nil"/>
              <w:right w:val="nil"/>
            </w:tcBorders>
          </w:tcPr>
          <w:p w14:paraId="4C57D256" w14:textId="1B5F0165" w:rsidR="005175CD" w:rsidRPr="00920DFF" w:rsidRDefault="00F745A0" w:rsidP="00F745A0">
            <w:pPr>
              <w:pStyle w:val="TableHeaderText"/>
              <w:jc w:val="left"/>
            </w:pPr>
            <w:r w:rsidRPr="00920DFF">
              <w:rPr>
                <w:sz w:val="22"/>
              </w:rPr>
              <w:t>p</w:t>
            </w:r>
            <w:r w:rsidR="005175CD" w:rsidRPr="00920DFF">
              <w:rPr>
                <w:sz w:val="22"/>
              </w:rPr>
              <w:t>.  Examiner Statements that an Opinion Would be Speculative</w:t>
            </w:r>
          </w:p>
        </w:tc>
        <w:tc>
          <w:tcPr>
            <w:tcW w:w="7740" w:type="dxa"/>
            <w:tcBorders>
              <w:top w:val="nil"/>
              <w:left w:val="nil"/>
              <w:bottom w:val="nil"/>
              <w:right w:val="nil"/>
            </w:tcBorders>
          </w:tcPr>
          <w:p w14:paraId="602D061B" w14:textId="77777777" w:rsidR="005175CD" w:rsidRPr="00920DFF" w:rsidRDefault="005175CD" w:rsidP="00F745A0">
            <w:pPr>
              <w:pStyle w:val="TableHeaderText"/>
              <w:jc w:val="left"/>
              <w:rPr>
                <w:b w:val="0"/>
              </w:rPr>
            </w:pPr>
            <w:r w:rsidRPr="00920DFF">
              <w:rPr>
                <w:b w:val="0"/>
              </w:rPr>
              <w:t xml:space="preserve">Pay careful attention to any conclusion by the examiner that an opinion could not be provided without resorting to mere speculation (or any similar language to that effect). </w:t>
            </w:r>
          </w:p>
          <w:p w14:paraId="3A5023FC" w14:textId="77777777" w:rsidR="005175CD" w:rsidRPr="00920DFF" w:rsidRDefault="005175CD" w:rsidP="00F745A0">
            <w:pPr>
              <w:pStyle w:val="TableHeaderText"/>
              <w:jc w:val="left"/>
            </w:pPr>
          </w:p>
          <w:p w14:paraId="2F813CC9" w14:textId="77777777" w:rsidR="005175CD" w:rsidRPr="00920DFF" w:rsidRDefault="005175CD" w:rsidP="00F745A0">
            <w:pPr>
              <w:pStyle w:val="BulletText1"/>
              <w:numPr>
                <w:ilvl w:val="0"/>
                <w:numId w:val="0"/>
              </w:numPr>
            </w:pPr>
            <w:r w:rsidRPr="00920DFF">
              <w:t xml:space="preserve">Per </w:t>
            </w:r>
            <w:hyperlink r:id="rId30" w:anchor="bmj" w:history="1">
              <w:r w:rsidRPr="00920DFF">
                <w:rPr>
                  <w:rStyle w:val="Hyperlink"/>
                  <w:i/>
                  <w:iCs/>
                </w:rPr>
                <w:t>Jones (M.) v. Shinseki</w:t>
              </w:r>
            </w:hyperlink>
            <w:r w:rsidRPr="00920DFF">
              <w:rPr>
                <w:i/>
                <w:iCs/>
              </w:rPr>
              <w:t xml:space="preserve">, </w:t>
            </w:r>
            <w:r w:rsidRPr="00920DFF">
              <w:t xml:space="preserve">23 Vet.App. 382 (2010), VA may only accept a medical examiner’s conclusion that an opinion would be speculative if </w:t>
            </w:r>
          </w:p>
          <w:p w14:paraId="0C05B461" w14:textId="77777777" w:rsidR="005175CD" w:rsidRPr="00920DFF" w:rsidRDefault="005175CD" w:rsidP="00F745A0">
            <w:pPr>
              <w:pStyle w:val="BulletText1"/>
              <w:numPr>
                <w:ilvl w:val="0"/>
                <w:numId w:val="0"/>
              </w:numPr>
            </w:pPr>
          </w:p>
          <w:p w14:paraId="51E59A0B" w14:textId="77777777" w:rsidR="005175CD" w:rsidRPr="00920DFF" w:rsidRDefault="005175CD" w:rsidP="00F745A0">
            <w:pPr>
              <w:pStyle w:val="BulletText1"/>
            </w:pPr>
            <w:r w:rsidRPr="00920DFF">
              <w:t>the examiner has explained the basis for such an opinion, identifying what facts cannot be determined, or</w:t>
            </w:r>
          </w:p>
          <w:p w14:paraId="705389A9" w14:textId="77777777" w:rsidR="005175CD" w:rsidRPr="00920DFF" w:rsidRDefault="005175CD" w:rsidP="00F745A0">
            <w:pPr>
              <w:pStyle w:val="BulletText1"/>
            </w:pPr>
            <w:r w:rsidRPr="00920DFF">
              <w:t>the basis for the opinion is otherwise apparent in VA’s review of the evidence.</w:t>
            </w:r>
          </w:p>
          <w:p w14:paraId="4FD5074A" w14:textId="77777777" w:rsidR="005175CD" w:rsidRPr="00920DFF" w:rsidRDefault="005175CD" w:rsidP="00F745A0">
            <w:pPr>
              <w:pStyle w:val="BulletText1"/>
              <w:numPr>
                <w:ilvl w:val="0"/>
                <w:numId w:val="0"/>
              </w:numPr>
              <w:ind w:left="173" w:hanging="173"/>
            </w:pPr>
          </w:p>
          <w:p w14:paraId="3A857521" w14:textId="77777777" w:rsidR="005175CD" w:rsidRPr="00920DFF" w:rsidRDefault="005175CD" w:rsidP="00F745A0">
            <w:pPr>
              <w:pStyle w:val="TableHeaderText"/>
              <w:jc w:val="left"/>
              <w:rPr>
                <w:b w:val="0"/>
              </w:rPr>
            </w:pPr>
            <w:r w:rsidRPr="00920DFF">
              <w:rPr>
                <w:b w:val="0"/>
              </w:rPr>
              <w:t>If an examiner’s conclusion is not adequately justified, the report may be insufficient for rating purposes.  Seek clarification of the conclusion.</w:t>
            </w:r>
          </w:p>
        </w:tc>
      </w:tr>
    </w:tbl>
    <w:p w14:paraId="05136E06" w14:textId="3F625B82" w:rsidR="00AF00CF" w:rsidRPr="00920DFF" w:rsidRDefault="005175CD" w:rsidP="005175CD">
      <w:pPr>
        <w:tabs>
          <w:tab w:val="left" w:pos="9360"/>
        </w:tabs>
        <w:ind w:left="1714"/>
      </w:pPr>
      <w:r w:rsidRPr="00920DFF">
        <w:rPr>
          <w:u w:val="single"/>
        </w:rPr>
        <w:tab/>
      </w:r>
    </w:p>
    <w:p w14:paraId="3B5D5FB9" w14:textId="082E04D1" w:rsidR="005175CD" w:rsidRPr="00920DFF" w:rsidRDefault="005175CD" w:rsidP="005175CD">
      <w:pPr>
        <w:ind w:left="1714"/>
      </w:pPr>
    </w:p>
    <w:p w14:paraId="687B79C6" w14:textId="77777777" w:rsidR="005175CD" w:rsidRPr="00920DFF" w:rsidRDefault="005175CD" w:rsidP="005175CD"/>
    <w:p w14:paraId="1A64682F" w14:textId="77777777" w:rsidR="00AF00CF" w:rsidRPr="00920DFF" w:rsidRDefault="00AF00CF">
      <w:pPr>
        <w:rPr>
          <w:rFonts w:ascii="Arial" w:hAnsi="Arial" w:cs="Arial"/>
          <w:b/>
          <w:sz w:val="32"/>
          <w:szCs w:val="20"/>
        </w:rPr>
      </w:pPr>
      <w:r w:rsidRPr="00920DFF">
        <w:br w:type="page"/>
      </w:r>
    </w:p>
    <w:p w14:paraId="6C5420EA" w14:textId="77777777" w:rsidR="006C6996" w:rsidRPr="00920DFF" w:rsidRDefault="00ED52D1" w:rsidP="00AF00CF">
      <w:pPr>
        <w:pStyle w:val="Heading4"/>
      </w:pPr>
      <w:bookmarkStart w:id="26" w:name="_2.__Handling"/>
      <w:bookmarkEnd w:id="26"/>
      <w:r w:rsidRPr="00920DFF">
        <w:t>3</w:t>
      </w:r>
      <w:r w:rsidR="00AF00CF" w:rsidRPr="00920DFF">
        <w:t xml:space="preserve">.  </w:t>
      </w:r>
      <w:r w:rsidR="00764DA6" w:rsidRPr="00920DFF">
        <w:t xml:space="preserve">Handling </w:t>
      </w:r>
      <w:r w:rsidR="00AF00CF" w:rsidRPr="00920DFF">
        <w:t>Examinations</w:t>
      </w:r>
      <w:r w:rsidR="000D3234" w:rsidRPr="00920DFF">
        <w:t xml:space="preserve"> Insufficient for Rating Purposes</w:t>
      </w:r>
    </w:p>
    <w:p w14:paraId="67E083AF" w14:textId="0C778692" w:rsidR="00AF00CF" w:rsidRPr="00920DFF" w:rsidRDefault="006C6996" w:rsidP="006C6996">
      <w:pPr>
        <w:pStyle w:val="Heading4"/>
        <w:tabs>
          <w:tab w:val="left" w:pos="9360"/>
        </w:tabs>
        <w:ind w:left="1714"/>
        <w:rPr>
          <w:rFonts w:ascii="Times New Roman" w:hAnsi="Times New Roman" w:cs="Times New Roman"/>
          <w:b w:val="0"/>
          <w:sz w:val="24"/>
        </w:rPr>
      </w:pPr>
      <w:r w:rsidRPr="00920DFF">
        <w:rPr>
          <w:rFonts w:ascii="Times New Roman" w:hAnsi="Times New Roman" w:cs="Times New Roman"/>
          <w:b w:val="0"/>
          <w:sz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00CF" w:rsidRPr="00920DFF" w14:paraId="37377E77" w14:textId="77777777" w:rsidTr="00AF00CF">
        <w:tc>
          <w:tcPr>
            <w:tcW w:w="1728" w:type="dxa"/>
            <w:shd w:val="clear" w:color="auto" w:fill="auto"/>
          </w:tcPr>
          <w:p w14:paraId="46438E54" w14:textId="66FB5FB6" w:rsidR="00AF00CF" w:rsidRPr="00920DFF" w:rsidRDefault="00AF00CF" w:rsidP="00AF00CF">
            <w:pPr>
              <w:pStyle w:val="Heading5"/>
            </w:pPr>
            <w:r w:rsidRPr="00920DFF">
              <w:t>Introduction</w:t>
            </w:r>
          </w:p>
        </w:tc>
        <w:tc>
          <w:tcPr>
            <w:tcW w:w="7740" w:type="dxa"/>
            <w:shd w:val="clear" w:color="auto" w:fill="auto"/>
          </w:tcPr>
          <w:p w14:paraId="6B32EE1E" w14:textId="5FF554D8" w:rsidR="00AF00CF" w:rsidRPr="00920DFF" w:rsidRDefault="00AF00CF" w:rsidP="00AF00CF">
            <w:r w:rsidRPr="00920DFF">
              <w:t>This topic contains information about returning insufficient examinations, including</w:t>
            </w:r>
          </w:p>
          <w:p w14:paraId="15E37C9F" w14:textId="77777777" w:rsidR="00AF00CF" w:rsidRPr="00920DFF" w:rsidRDefault="00AF00CF" w:rsidP="00AF00CF"/>
          <w:p w14:paraId="6100D57E" w14:textId="2EC2F510" w:rsidR="00CD2CBA" w:rsidRPr="00920DFF" w:rsidRDefault="00CD2CBA" w:rsidP="007633DD">
            <w:pPr>
              <w:numPr>
                <w:ilvl w:val="0"/>
                <w:numId w:val="7"/>
              </w:numPr>
              <w:spacing w:after="200" w:line="276" w:lineRule="auto"/>
              <w:ind w:left="158" w:hanging="187"/>
              <w:contextualSpacing/>
            </w:pPr>
            <w:r w:rsidRPr="00920DFF">
              <w:t>insufficient examination reports</w:t>
            </w:r>
          </w:p>
          <w:p w14:paraId="5924AC90" w14:textId="22AE4797" w:rsidR="00AF00CF" w:rsidRPr="00920DFF" w:rsidRDefault="00AF00CF" w:rsidP="007633DD">
            <w:pPr>
              <w:numPr>
                <w:ilvl w:val="0"/>
                <w:numId w:val="7"/>
              </w:numPr>
              <w:spacing w:after="200" w:line="276" w:lineRule="auto"/>
              <w:ind w:left="158" w:hanging="187"/>
              <w:contextualSpacing/>
            </w:pPr>
            <w:r w:rsidRPr="00920DFF">
              <w:t>examination reports for clarification</w:t>
            </w:r>
          </w:p>
          <w:p w14:paraId="30FCF551" w14:textId="77777777" w:rsidR="00AF00CF" w:rsidRPr="00920DFF" w:rsidRDefault="00AF00CF" w:rsidP="007633DD">
            <w:pPr>
              <w:numPr>
                <w:ilvl w:val="0"/>
                <w:numId w:val="7"/>
              </w:numPr>
              <w:spacing w:after="200" w:line="276" w:lineRule="auto"/>
              <w:ind w:left="158" w:hanging="187"/>
              <w:contextualSpacing/>
            </w:pPr>
            <w:r w:rsidRPr="00920DFF">
              <w:t>resolving inconsistencies</w:t>
            </w:r>
            <w:r w:rsidR="002402E3" w:rsidRPr="00920DFF">
              <w:t>, and</w:t>
            </w:r>
          </w:p>
          <w:p w14:paraId="28B808D4" w14:textId="4CF792AD" w:rsidR="002402E3" w:rsidRPr="00920DFF" w:rsidRDefault="002402E3" w:rsidP="00AC79DD">
            <w:pPr>
              <w:numPr>
                <w:ilvl w:val="0"/>
                <w:numId w:val="7"/>
              </w:numPr>
              <w:spacing w:after="200" w:line="276" w:lineRule="auto"/>
              <w:ind w:left="158" w:hanging="187"/>
              <w:contextualSpacing/>
            </w:pPr>
            <w:proofErr w:type="gramStart"/>
            <w:r w:rsidRPr="00920DFF">
              <w:t>returning</w:t>
            </w:r>
            <w:proofErr w:type="gramEnd"/>
            <w:r w:rsidRPr="00920DFF">
              <w:t xml:space="preserve"> examination reports.</w:t>
            </w:r>
          </w:p>
        </w:tc>
      </w:tr>
    </w:tbl>
    <w:p w14:paraId="560C88EA" w14:textId="735BEF0D" w:rsidR="00AF00CF" w:rsidRPr="00920DFF" w:rsidRDefault="00AF00CF" w:rsidP="00AF00CF">
      <w:pPr>
        <w:tabs>
          <w:tab w:val="left" w:pos="9360"/>
        </w:tabs>
        <w:ind w:left="1714"/>
      </w:pPr>
      <w:r w:rsidRPr="00920DFF">
        <w:rPr>
          <w:u w:val="single"/>
        </w:rPr>
        <w:tab/>
      </w:r>
    </w:p>
    <w:p w14:paraId="15CE7FCB" w14:textId="237CFC94" w:rsidR="00AF00CF" w:rsidRPr="00920DFF" w:rsidRDefault="00AF00CF" w:rsidP="00AF00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00CF" w:rsidRPr="00920DFF" w14:paraId="29E2EBBC" w14:textId="77777777" w:rsidTr="00AF00CF">
        <w:tc>
          <w:tcPr>
            <w:tcW w:w="1728" w:type="dxa"/>
            <w:shd w:val="clear" w:color="auto" w:fill="auto"/>
          </w:tcPr>
          <w:p w14:paraId="7588D2AB" w14:textId="017A4898" w:rsidR="00AF00CF" w:rsidRPr="00920DFF" w:rsidRDefault="00AF00CF" w:rsidP="00AF00CF">
            <w:pPr>
              <w:pStyle w:val="Heading5"/>
            </w:pPr>
            <w:r w:rsidRPr="00920DFF">
              <w:t>Change Date</w:t>
            </w:r>
          </w:p>
        </w:tc>
        <w:tc>
          <w:tcPr>
            <w:tcW w:w="7740" w:type="dxa"/>
            <w:shd w:val="clear" w:color="auto" w:fill="auto"/>
          </w:tcPr>
          <w:p w14:paraId="1D06D33F" w14:textId="1C239702" w:rsidR="00AF00CF" w:rsidRPr="00920DFF" w:rsidRDefault="00AC79DD" w:rsidP="00AF00CF">
            <w:r w:rsidRPr="00920DFF">
              <w:t>July 22, 2015</w:t>
            </w:r>
          </w:p>
        </w:tc>
      </w:tr>
    </w:tbl>
    <w:p w14:paraId="3338C226" w14:textId="60EA3403" w:rsidR="00AF00CF" w:rsidRPr="00920DFF" w:rsidRDefault="00AF00CF" w:rsidP="00AF00CF">
      <w:pPr>
        <w:tabs>
          <w:tab w:val="left" w:pos="9360"/>
        </w:tabs>
        <w:ind w:left="1714"/>
      </w:pPr>
      <w:r w:rsidRPr="00920DFF">
        <w:rPr>
          <w:u w:val="single"/>
        </w:rPr>
        <w:tab/>
      </w:r>
    </w:p>
    <w:p w14:paraId="669F0053" w14:textId="55655D86" w:rsidR="00AF00CF" w:rsidRPr="00920DFF" w:rsidRDefault="00AF00CF" w:rsidP="00AF00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64206" w:rsidRPr="00920DFF" w14:paraId="74B76028" w14:textId="77777777" w:rsidTr="00564206">
        <w:tc>
          <w:tcPr>
            <w:tcW w:w="1728" w:type="dxa"/>
            <w:shd w:val="clear" w:color="auto" w:fill="auto"/>
          </w:tcPr>
          <w:p w14:paraId="381FDEAD" w14:textId="6588B0D5" w:rsidR="00564206" w:rsidRPr="00920DFF" w:rsidRDefault="00564206" w:rsidP="000B48C4">
            <w:pPr>
              <w:pStyle w:val="ListParagraph"/>
              <w:ind w:left="0"/>
              <w:rPr>
                <w:b/>
                <w:sz w:val="22"/>
                <w:szCs w:val="22"/>
              </w:rPr>
            </w:pPr>
            <w:r w:rsidRPr="00920DFF">
              <w:rPr>
                <w:b/>
                <w:sz w:val="22"/>
                <w:szCs w:val="22"/>
              </w:rPr>
              <w:t>a.  Insufficient Examination Reports</w:t>
            </w:r>
          </w:p>
        </w:tc>
        <w:tc>
          <w:tcPr>
            <w:tcW w:w="7740" w:type="dxa"/>
            <w:shd w:val="clear" w:color="auto" w:fill="auto"/>
          </w:tcPr>
          <w:p w14:paraId="4EB6A364" w14:textId="400B7507" w:rsidR="00564206" w:rsidRPr="00920DFF" w:rsidRDefault="00564206" w:rsidP="000B48C4">
            <w:pPr>
              <w:pStyle w:val="ListParagraph"/>
              <w:ind w:left="0"/>
            </w:pPr>
            <w:r w:rsidRPr="00920DFF">
              <w:t>A VA examination report submitted to the rating activity, must be as complete as possible.</w:t>
            </w:r>
          </w:p>
          <w:p w14:paraId="4FA704A0" w14:textId="77777777" w:rsidR="00564206" w:rsidRPr="00920DFF" w:rsidRDefault="00564206" w:rsidP="00172E66">
            <w:pPr>
              <w:ind w:left="158" w:hanging="187"/>
            </w:pPr>
          </w:p>
          <w:p w14:paraId="55694B09" w14:textId="6E365A81" w:rsidR="00564206" w:rsidRPr="00920DFF" w:rsidRDefault="00354799" w:rsidP="000B48C4">
            <w:pPr>
              <w:pStyle w:val="ListParagraph"/>
              <w:ind w:left="0"/>
            </w:pPr>
            <w:r w:rsidRPr="00920DFF">
              <w:t xml:space="preserve">Any missing required </w:t>
            </w:r>
            <w:r w:rsidR="00564206" w:rsidRPr="00920DFF">
              <w:t>information on the report makes the examination insufficient for rating purposes.  This can include</w:t>
            </w:r>
            <w:r w:rsidRPr="00920DFF">
              <w:t xml:space="preserve">, but </w:t>
            </w:r>
            <w:r w:rsidR="00F745A0" w:rsidRPr="00920DFF">
              <w:t xml:space="preserve">is </w:t>
            </w:r>
            <w:r w:rsidRPr="00920DFF">
              <w:t xml:space="preserve">not limited to, </w:t>
            </w:r>
            <w:r w:rsidR="00564206" w:rsidRPr="00920DFF">
              <w:t>the following</w:t>
            </w:r>
            <w:r w:rsidR="00C5137B" w:rsidRPr="00920DFF">
              <w:t xml:space="preserve"> instances</w:t>
            </w:r>
          </w:p>
          <w:p w14:paraId="7F206DA8" w14:textId="77777777" w:rsidR="00564206" w:rsidRPr="00920DFF" w:rsidRDefault="00564206" w:rsidP="00172E66">
            <w:pPr>
              <w:ind w:left="158" w:hanging="187"/>
            </w:pPr>
          </w:p>
          <w:p w14:paraId="1A1BD43F" w14:textId="3CF8A6BC" w:rsidR="00564206" w:rsidRPr="00920DFF" w:rsidRDefault="00731477" w:rsidP="007633DD">
            <w:pPr>
              <w:pStyle w:val="ListParagraph"/>
              <w:numPr>
                <w:ilvl w:val="0"/>
                <w:numId w:val="77"/>
              </w:numPr>
              <w:ind w:left="158" w:hanging="187"/>
            </w:pPr>
            <w:r w:rsidRPr="00920DFF">
              <w:t>T</w:t>
            </w:r>
            <w:r w:rsidR="00564206" w:rsidRPr="00920DFF">
              <w:t>he examination report is unsigned.</w:t>
            </w:r>
          </w:p>
          <w:p w14:paraId="27C990B1" w14:textId="2A21594F" w:rsidR="00564206" w:rsidRPr="00920DFF" w:rsidRDefault="00731477" w:rsidP="007633DD">
            <w:pPr>
              <w:pStyle w:val="ListParagraph"/>
              <w:numPr>
                <w:ilvl w:val="0"/>
                <w:numId w:val="77"/>
              </w:numPr>
              <w:ind w:left="158" w:hanging="187"/>
            </w:pPr>
            <w:r w:rsidRPr="00920DFF">
              <w:t>T</w:t>
            </w:r>
            <w:r w:rsidR="00564206" w:rsidRPr="00920DFF">
              <w:t>he examination report did not address all disabilities for which an examination was requested</w:t>
            </w:r>
            <w:r w:rsidRPr="00920DFF">
              <w:t>.</w:t>
            </w:r>
          </w:p>
          <w:p w14:paraId="25F4F9BA" w14:textId="55C8F778" w:rsidR="00C5137B" w:rsidRPr="00920DFF" w:rsidRDefault="00731477" w:rsidP="007633DD">
            <w:pPr>
              <w:pStyle w:val="ListParagraph"/>
              <w:numPr>
                <w:ilvl w:val="0"/>
                <w:numId w:val="77"/>
              </w:numPr>
              <w:ind w:left="158" w:hanging="187"/>
            </w:pPr>
            <w:r w:rsidRPr="00920DFF">
              <w:t xml:space="preserve">The </w:t>
            </w:r>
            <w:r w:rsidR="00354799" w:rsidRPr="00920DFF">
              <w:t xml:space="preserve">required </w:t>
            </w:r>
            <w:r w:rsidR="00FB6EF9" w:rsidRPr="00920DFF">
              <w:t xml:space="preserve">question(s) on the DBQ were </w:t>
            </w:r>
            <w:r w:rsidR="00354799" w:rsidRPr="00920DFF">
              <w:t>left blank</w:t>
            </w:r>
            <w:r w:rsidRPr="00920DFF">
              <w:t>.</w:t>
            </w:r>
          </w:p>
          <w:p w14:paraId="51DC2BFA" w14:textId="0C1C381A" w:rsidR="00360115" w:rsidRPr="00920DFF" w:rsidRDefault="00731477" w:rsidP="007633DD">
            <w:pPr>
              <w:pStyle w:val="ListParagraph"/>
              <w:numPr>
                <w:ilvl w:val="0"/>
                <w:numId w:val="77"/>
              </w:numPr>
              <w:ind w:left="158" w:hanging="187"/>
            </w:pPr>
            <w:r w:rsidRPr="00920DFF">
              <w:t xml:space="preserve">The </w:t>
            </w:r>
            <w:r w:rsidR="00360115" w:rsidRPr="00920DFF">
              <w:t>required review of the claims folder was not accomplished</w:t>
            </w:r>
            <w:r w:rsidRPr="00920DFF">
              <w:t>.</w:t>
            </w:r>
          </w:p>
          <w:p w14:paraId="139CE713" w14:textId="3B52382A" w:rsidR="00C5137B" w:rsidRPr="00920DFF" w:rsidRDefault="00731477" w:rsidP="007633DD">
            <w:pPr>
              <w:pStyle w:val="ListParagraph"/>
              <w:numPr>
                <w:ilvl w:val="0"/>
                <w:numId w:val="77"/>
              </w:numPr>
              <w:ind w:left="158" w:hanging="187"/>
            </w:pPr>
            <w:r w:rsidRPr="00920DFF">
              <w:t>M</w:t>
            </w:r>
            <w:r w:rsidR="00C5137B" w:rsidRPr="00920DFF">
              <w:t xml:space="preserve">issing information on the report pertinent to the disability under review, </w:t>
            </w:r>
            <w:r w:rsidR="00354799" w:rsidRPr="00920DFF">
              <w:t>such as failure to discuss the impact of musculoskeletal pain on the functional loss of an affected joint</w:t>
            </w:r>
            <w:r w:rsidRPr="00920DFF">
              <w:t>.</w:t>
            </w:r>
          </w:p>
          <w:p w14:paraId="1E7673E9" w14:textId="5F273B28" w:rsidR="00FB6EF9" w:rsidRPr="00920DFF" w:rsidRDefault="00731477" w:rsidP="007633DD">
            <w:pPr>
              <w:pStyle w:val="ListParagraph"/>
              <w:numPr>
                <w:ilvl w:val="0"/>
                <w:numId w:val="77"/>
              </w:numPr>
              <w:ind w:left="158" w:hanging="187"/>
            </w:pPr>
            <w:r w:rsidRPr="00920DFF">
              <w:t>A</w:t>
            </w:r>
            <w:r w:rsidR="00C5137B" w:rsidRPr="00920DFF">
              <w:t xml:space="preserve"> requested medical opinion was not furnished</w:t>
            </w:r>
            <w:r w:rsidR="00354799" w:rsidRPr="00920DFF">
              <w:t>.</w:t>
            </w:r>
          </w:p>
          <w:p w14:paraId="4E5556B4" w14:textId="77777777" w:rsidR="00911CC4" w:rsidRPr="00920DFF" w:rsidRDefault="00911CC4" w:rsidP="00172E66">
            <w:pPr>
              <w:ind w:left="158" w:hanging="187"/>
            </w:pPr>
          </w:p>
          <w:p w14:paraId="4E042328" w14:textId="2BF7085E" w:rsidR="000B2C28" w:rsidRPr="00920DFF" w:rsidRDefault="000B2C28" w:rsidP="000B2C28">
            <w:pPr>
              <w:pStyle w:val="ListParagraph"/>
              <w:ind w:left="0"/>
            </w:pPr>
            <w:r w:rsidRPr="00920DFF">
              <w:rPr>
                <w:b/>
                <w:i/>
              </w:rPr>
              <w:t>Note</w:t>
            </w:r>
            <w:r w:rsidRPr="00920DFF">
              <w:t>:  Examinations that are cancelled by VHA or a contractor, without a valid reason, should be returned as insufficient for rating purposes if the rating activity determines that the examination is warranted.</w:t>
            </w:r>
          </w:p>
          <w:p w14:paraId="3020E83B" w14:textId="77777777" w:rsidR="00665254" w:rsidRPr="00920DFF" w:rsidRDefault="00665254" w:rsidP="000B2C28">
            <w:pPr>
              <w:pStyle w:val="ListParagraph"/>
              <w:ind w:left="0"/>
            </w:pPr>
          </w:p>
          <w:p w14:paraId="72A584B3" w14:textId="77777777" w:rsidR="00F745A0" w:rsidRPr="00920DFF" w:rsidRDefault="00665254" w:rsidP="000B48C4">
            <w:pPr>
              <w:pStyle w:val="ListParagraph"/>
              <w:ind w:left="0"/>
              <w:rPr>
                <w:rFonts w:eastAsiaTheme="minorHAnsi"/>
                <w:color w:val="auto"/>
              </w:rPr>
            </w:pPr>
            <w:r w:rsidRPr="00920DFF">
              <w:rPr>
                <w:rFonts w:eastAsiaTheme="minorHAnsi"/>
                <w:b/>
                <w:i/>
                <w:color w:val="auto"/>
              </w:rPr>
              <w:t>Example</w:t>
            </w:r>
            <w:r w:rsidRPr="00920DFF">
              <w:rPr>
                <w:rFonts w:eastAsiaTheme="minorHAnsi"/>
                <w:color w:val="auto"/>
              </w:rPr>
              <w:t>:  An examination for a requested knee pain was not completed because “the claimed condition was not documented and diagnosed in the service treatment records on examiner review”.  If the rating activity determines that such examination is needed, return to the examining facility as insufficient for rating purposes.</w:t>
            </w:r>
          </w:p>
          <w:p w14:paraId="10206409" w14:textId="77777777" w:rsidR="00F745A0" w:rsidRPr="00920DFF" w:rsidRDefault="00F745A0" w:rsidP="000B48C4">
            <w:pPr>
              <w:pStyle w:val="ListParagraph"/>
              <w:ind w:left="0"/>
              <w:rPr>
                <w:rFonts w:eastAsiaTheme="minorHAnsi"/>
                <w:color w:val="auto"/>
              </w:rPr>
            </w:pPr>
          </w:p>
          <w:p w14:paraId="3AEC1101" w14:textId="52E0AB81" w:rsidR="00911CC4" w:rsidRPr="00920DFF" w:rsidRDefault="00256831" w:rsidP="000B48C4">
            <w:pPr>
              <w:pStyle w:val="ListParagraph"/>
              <w:ind w:left="0"/>
            </w:pPr>
            <w:r w:rsidRPr="00920DFF">
              <w:rPr>
                <w:b/>
                <w:i/>
              </w:rPr>
              <w:t>Exception</w:t>
            </w:r>
            <w:r w:rsidRPr="00920DFF">
              <w:t xml:space="preserve">:  </w:t>
            </w:r>
            <w:r w:rsidR="00C5137B" w:rsidRPr="00920DFF">
              <w:t xml:space="preserve">There are instances where </w:t>
            </w:r>
            <w:r w:rsidRPr="00920DFF">
              <w:t xml:space="preserve">missing information in </w:t>
            </w:r>
            <w:r w:rsidR="00C5137B" w:rsidRPr="00920DFF">
              <w:t xml:space="preserve">an examination report </w:t>
            </w:r>
            <w:r w:rsidRPr="00920DFF">
              <w:t>doe</w:t>
            </w:r>
            <w:r w:rsidR="00C5137B" w:rsidRPr="00920DFF">
              <w:t xml:space="preserve">s not </w:t>
            </w:r>
            <w:r w:rsidRPr="00920DFF">
              <w:t>make the examination itself</w:t>
            </w:r>
            <w:r w:rsidR="00C5137B" w:rsidRPr="00920DFF">
              <w:t xml:space="preserve"> insufficient.  </w:t>
            </w:r>
            <w:r w:rsidR="000B48C4" w:rsidRPr="00920DFF">
              <w:t>See M21-1, Part III, Subpart iv, 3.D.3.</w:t>
            </w:r>
            <w:r w:rsidR="002402E3" w:rsidRPr="00920DFF">
              <w:t>b</w:t>
            </w:r>
            <w:r w:rsidR="000B48C4" w:rsidRPr="00920DFF">
              <w:t xml:space="preserve"> for examples.</w:t>
            </w:r>
          </w:p>
          <w:p w14:paraId="50C2D3E8" w14:textId="77777777" w:rsidR="00AC79DD" w:rsidRPr="00920DFF" w:rsidRDefault="00AC79DD" w:rsidP="000B48C4">
            <w:pPr>
              <w:pStyle w:val="ListParagraph"/>
              <w:ind w:left="0"/>
              <w:rPr>
                <w:b/>
                <w:i/>
              </w:rPr>
            </w:pPr>
          </w:p>
          <w:p w14:paraId="7DE4875C" w14:textId="3AA1DEA5" w:rsidR="00C5137B" w:rsidRPr="00920DFF" w:rsidRDefault="00C5137B" w:rsidP="000B48C4">
            <w:pPr>
              <w:pStyle w:val="ListParagraph"/>
              <w:ind w:left="0"/>
            </w:pPr>
            <w:r w:rsidRPr="00920DFF">
              <w:rPr>
                <w:b/>
                <w:i/>
              </w:rPr>
              <w:t>References</w:t>
            </w:r>
            <w:r w:rsidRPr="00920DFF">
              <w:t xml:space="preserve">:  For </w:t>
            </w:r>
            <w:r w:rsidR="00614EB6" w:rsidRPr="00920DFF">
              <w:t xml:space="preserve">more </w:t>
            </w:r>
            <w:r w:rsidRPr="00920DFF">
              <w:t>information on</w:t>
            </w:r>
          </w:p>
          <w:p w14:paraId="43D15268" w14:textId="50532889" w:rsidR="00614EB6" w:rsidRPr="00920DFF" w:rsidRDefault="00614EB6" w:rsidP="007633DD">
            <w:pPr>
              <w:pStyle w:val="ListParagraph"/>
              <w:numPr>
                <w:ilvl w:val="0"/>
                <w:numId w:val="77"/>
              </w:numPr>
              <w:ind w:left="158" w:hanging="187"/>
            </w:pPr>
            <w:r w:rsidRPr="00920DFF">
              <w:t xml:space="preserve">inadequate examinations, see </w:t>
            </w:r>
            <w:hyperlink r:id="rId31" w:history="1">
              <w:r w:rsidRPr="00920DFF">
                <w:rPr>
                  <w:rStyle w:val="Hyperlink"/>
                </w:rPr>
                <w:t>38 CFR 4.70</w:t>
              </w:r>
            </w:hyperlink>
          </w:p>
          <w:p w14:paraId="7A5DBDEB" w14:textId="17960134" w:rsidR="00256831" w:rsidRPr="00920DFF" w:rsidRDefault="00256831" w:rsidP="007633DD">
            <w:pPr>
              <w:pStyle w:val="ListParagraph"/>
              <w:numPr>
                <w:ilvl w:val="0"/>
                <w:numId w:val="77"/>
              </w:numPr>
              <w:ind w:left="158" w:hanging="187"/>
            </w:pPr>
            <w:r w:rsidRPr="00920DFF">
              <w:t>when further development may be needed, see M 21-1, Part III, Subpart iv, 5.7.</w:t>
            </w:r>
          </w:p>
          <w:p w14:paraId="3850AD13" w14:textId="19CAC02B" w:rsidR="003B54DF" w:rsidRPr="00920DFF" w:rsidRDefault="003B54DF" w:rsidP="007633DD">
            <w:pPr>
              <w:pStyle w:val="ListParagraph"/>
              <w:numPr>
                <w:ilvl w:val="0"/>
                <w:numId w:val="77"/>
              </w:numPr>
              <w:ind w:left="158" w:hanging="187"/>
            </w:pPr>
            <w:r w:rsidRPr="00920DFF">
              <w:t>resolving inconsistencies, see M21-</w:t>
            </w:r>
            <w:r w:rsidR="000B48C4" w:rsidRPr="00920DFF">
              <w:t>1, Part III, Subpart iv.3.D.3.</w:t>
            </w:r>
            <w:r w:rsidR="002402E3" w:rsidRPr="00920DFF">
              <w:t>c</w:t>
            </w:r>
            <w:r w:rsidR="000B48C4" w:rsidRPr="00920DFF">
              <w:t>, and</w:t>
            </w:r>
          </w:p>
          <w:p w14:paraId="39AE747B" w14:textId="2D572070" w:rsidR="00564206" w:rsidRPr="00920DFF" w:rsidRDefault="000B48C4" w:rsidP="00920DFF">
            <w:pPr>
              <w:pStyle w:val="ListParagraph"/>
              <w:numPr>
                <w:ilvl w:val="0"/>
                <w:numId w:val="77"/>
              </w:numPr>
              <w:ind w:left="158" w:hanging="187"/>
            </w:pPr>
            <w:r w:rsidRPr="00920DFF">
              <w:t xml:space="preserve">descriptions of pain affecting functional loss, see </w:t>
            </w:r>
            <w:hyperlink r:id="rId32" w:anchor="bmf" w:history="1">
              <w:r w:rsidRPr="00920DFF">
                <w:rPr>
                  <w:rStyle w:val="Hyperlink"/>
                  <w:i/>
                </w:rPr>
                <w:t>Floyd</w:t>
              </w:r>
              <w:r w:rsidRPr="00920DFF">
                <w:rPr>
                  <w:rStyle w:val="Hyperlink"/>
                </w:rPr>
                <w:t xml:space="preserve"> </w:t>
              </w:r>
              <w:r w:rsidRPr="00920DFF">
                <w:rPr>
                  <w:rStyle w:val="Hyperlink"/>
                  <w:i/>
                </w:rPr>
                <w:t>v. Brown</w:t>
              </w:r>
            </w:hyperlink>
            <w:r w:rsidRPr="00920DFF">
              <w:rPr>
                <w:i/>
                <w:iCs/>
              </w:rPr>
              <w:t>,</w:t>
            </w:r>
            <w:r w:rsidRPr="00920DFF">
              <w:t xml:space="preserve"> 9 Vet. App. 88 (1996)</w:t>
            </w:r>
          </w:p>
        </w:tc>
      </w:tr>
    </w:tbl>
    <w:p w14:paraId="3058B004" w14:textId="2ABC886D" w:rsidR="00564206" w:rsidRPr="00920DFF" w:rsidRDefault="00256831" w:rsidP="00256831">
      <w:pPr>
        <w:tabs>
          <w:tab w:val="left" w:pos="9360"/>
        </w:tabs>
        <w:ind w:left="1714"/>
      </w:pPr>
      <w:r w:rsidRPr="00920DFF">
        <w:rPr>
          <w:u w:val="single"/>
        </w:rPr>
        <w:tab/>
      </w:r>
    </w:p>
    <w:p w14:paraId="6BB73850" w14:textId="6498AAEA" w:rsidR="00256831" w:rsidRPr="00920DFF" w:rsidRDefault="00256831" w:rsidP="002568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065A7" w:rsidRPr="00920DFF" w14:paraId="2556939F" w14:textId="77777777" w:rsidTr="00E065A7">
        <w:tc>
          <w:tcPr>
            <w:tcW w:w="1728" w:type="dxa"/>
            <w:shd w:val="clear" w:color="auto" w:fill="auto"/>
          </w:tcPr>
          <w:p w14:paraId="6AF69426" w14:textId="17BB374A" w:rsidR="00E065A7" w:rsidRPr="00920DFF" w:rsidRDefault="000B6C75" w:rsidP="000B6C75">
            <w:pPr>
              <w:pStyle w:val="Heading5"/>
            </w:pPr>
            <w:r w:rsidRPr="00920DFF">
              <w:t>b</w:t>
            </w:r>
            <w:r w:rsidR="00E065A7" w:rsidRPr="00920DFF">
              <w:t>.  Examination Reports for Clarification</w:t>
            </w:r>
          </w:p>
        </w:tc>
        <w:tc>
          <w:tcPr>
            <w:tcW w:w="7740" w:type="dxa"/>
            <w:shd w:val="clear" w:color="auto" w:fill="auto"/>
          </w:tcPr>
          <w:p w14:paraId="238F9354" w14:textId="2081282D" w:rsidR="00E065A7" w:rsidRPr="00920DFF" w:rsidRDefault="001D7325" w:rsidP="00E065A7">
            <w:pPr>
              <w:pStyle w:val="BlockText"/>
            </w:pPr>
            <w:r w:rsidRPr="00920DFF">
              <w:t>A</w:t>
            </w:r>
            <w:r w:rsidR="00E065A7" w:rsidRPr="00920DFF">
              <w:t xml:space="preserve">n examination report </w:t>
            </w:r>
            <w:r w:rsidRPr="00920DFF">
              <w:t>which needs</w:t>
            </w:r>
            <w:r w:rsidR="00E065A7" w:rsidRPr="00920DFF">
              <w:t xml:space="preserve"> clarification</w:t>
            </w:r>
            <w:r w:rsidRPr="00920DFF">
              <w:t xml:space="preserve"> must be </w:t>
            </w:r>
            <w:r w:rsidR="00731477" w:rsidRPr="00920DFF">
              <w:t xml:space="preserve">discussed or </w:t>
            </w:r>
            <w:r w:rsidRPr="00920DFF">
              <w:t>returned to the examiner.  Such instances include</w:t>
            </w:r>
            <w:r w:rsidR="00EA2D17" w:rsidRPr="00920DFF">
              <w:t>, but are not limited to,</w:t>
            </w:r>
            <w:r w:rsidRPr="00920DFF">
              <w:t xml:space="preserve"> the following</w:t>
            </w:r>
          </w:p>
          <w:p w14:paraId="543A4A4B" w14:textId="77777777" w:rsidR="000B48C4" w:rsidRPr="00920DFF" w:rsidRDefault="000B48C4" w:rsidP="000B48C4">
            <w:pPr>
              <w:ind w:left="158" w:hanging="187"/>
            </w:pPr>
          </w:p>
          <w:p w14:paraId="5B410D9E" w14:textId="7E553B93" w:rsidR="000B48C4" w:rsidRPr="00920DFF" w:rsidRDefault="00731477" w:rsidP="007633DD">
            <w:pPr>
              <w:pStyle w:val="ListParagraph"/>
              <w:numPr>
                <w:ilvl w:val="0"/>
                <w:numId w:val="77"/>
              </w:numPr>
              <w:ind w:left="158" w:hanging="187"/>
            </w:pPr>
            <w:r w:rsidRPr="00920DFF">
              <w:t>T</w:t>
            </w:r>
            <w:r w:rsidR="000B48C4" w:rsidRPr="00920DFF">
              <w:t>he same disability is diagnosed differently by different examiners</w:t>
            </w:r>
            <w:r w:rsidRPr="00920DFF">
              <w:t>.</w:t>
            </w:r>
          </w:p>
          <w:p w14:paraId="3482A240" w14:textId="37584E92" w:rsidR="002068C5" w:rsidRPr="00920DFF" w:rsidRDefault="00731477" w:rsidP="007633DD">
            <w:pPr>
              <w:pStyle w:val="ListParagraph"/>
              <w:numPr>
                <w:ilvl w:val="0"/>
                <w:numId w:val="77"/>
              </w:numPr>
              <w:ind w:left="158" w:hanging="187"/>
            </w:pPr>
            <w:r w:rsidRPr="00920DFF">
              <w:t>C</w:t>
            </w:r>
            <w:r w:rsidR="000B48C4" w:rsidRPr="00920DFF">
              <w:t xml:space="preserve">onclusions or findings have been expressed </w:t>
            </w:r>
            <w:r w:rsidR="002068C5" w:rsidRPr="00920DFF">
              <w:t>in ambiguous or equivocal terms</w:t>
            </w:r>
            <w:r w:rsidRPr="00920DFF">
              <w:t>.</w:t>
            </w:r>
          </w:p>
          <w:p w14:paraId="109E5604" w14:textId="305A6FE4" w:rsidR="00E065A7" w:rsidRPr="00920DFF" w:rsidRDefault="00731477" w:rsidP="00AC79DD">
            <w:pPr>
              <w:pStyle w:val="BulletText1"/>
            </w:pPr>
            <w:r w:rsidRPr="00920DFF">
              <w:t>A</w:t>
            </w:r>
            <w:r w:rsidR="00E065A7" w:rsidRPr="00920DFF">
              <w:t>n examination report shows a change in the diagnosis or etiology for a disability previously recognized as service-connected</w:t>
            </w:r>
            <w:r w:rsidRPr="00920DFF">
              <w:t>.</w:t>
            </w:r>
            <w:r w:rsidR="00E065A7" w:rsidRPr="00920DFF">
              <w:t xml:space="preserve"> </w:t>
            </w:r>
          </w:p>
        </w:tc>
      </w:tr>
    </w:tbl>
    <w:p w14:paraId="29E53DCB" w14:textId="08143E8E" w:rsidR="00E065A7" w:rsidRPr="00920DFF" w:rsidRDefault="00E065A7" w:rsidP="00E065A7">
      <w:pPr>
        <w:tabs>
          <w:tab w:val="left" w:pos="9360"/>
        </w:tabs>
        <w:ind w:left="1714"/>
      </w:pPr>
      <w:r w:rsidRPr="00920DFF">
        <w:rPr>
          <w:u w:val="single"/>
        </w:rPr>
        <w:tab/>
      </w:r>
    </w:p>
    <w:p w14:paraId="2AC72A58" w14:textId="1A2FB804" w:rsidR="00E065A7" w:rsidRPr="00920DFF" w:rsidRDefault="00E065A7" w:rsidP="00E065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065A7" w:rsidRPr="00920DFF" w14:paraId="7BA87E4C" w14:textId="77777777" w:rsidTr="00E065A7">
        <w:tc>
          <w:tcPr>
            <w:tcW w:w="1728" w:type="dxa"/>
            <w:shd w:val="clear" w:color="auto" w:fill="auto"/>
          </w:tcPr>
          <w:p w14:paraId="3F5E573B" w14:textId="3BC4F9CC" w:rsidR="00E065A7" w:rsidRPr="00920DFF" w:rsidRDefault="003D0D10" w:rsidP="00E065A7">
            <w:pPr>
              <w:pStyle w:val="Heading5"/>
            </w:pPr>
            <w:r w:rsidRPr="00920DFF">
              <w:t>c</w:t>
            </w:r>
            <w:r w:rsidR="00E065A7" w:rsidRPr="00920DFF">
              <w:t>.  Resolving Inconsistencies</w:t>
            </w:r>
          </w:p>
        </w:tc>
        <w:tc>
          <w:tcPr>
            <w:tcW w:w="7740" w:type="dxa"/>
            <w:shd w:val="clear" w:color="auto" w:fill="auto"/>
          </w:tcPr>
          <w:p w14:paraId="52CD6AB0" w14:textId="33D2B69F" w:rsidR="00E065A7" w:rsidRPr="00920DFF" w:rsidRDefault="00E065A7" w:rsidP="000B6C75">
            <w:pPr>
              <w:pStyle w:val="ListParagraph"/>
              <w:ind w:left="0"/>
              <w:rPr>
                <w:color w:val="auto"/>
              </w:rPr>
            </w:pPr>
            <w:r w:rsidRPr="00920DFF">
              <w:t>Resolve any inconsistency</w:t>
            </w:r>
            <w:r w:rsidR="001D7325" w:rsidRPr="00920DFF">
              <w:t xml:space="preserve"> or</w:t>
            </w:r>
            <w:r w:rsidRPr="00920DFF">
              <w:t xml:space="preserve"> conflicting findings of various </w:t>
            </w:r>
            <w:r w:rsidR="000B6C75" w:rsidRPr="00920DFF">
              <w:t>medical examiners</w:t>
            </w:r>
            <w:r w:rsidRPr="00920DFF">
              <w:t xml:space="preserve"> by </w:t>
            </w:r>
            <w:r w:rsidR="001E24CA" w:rsidRPr="00920DFF">
              <w:t>requesting</w:t>
            </w:r>
            <w:r w:rsidR="000B6C75" w:rsidRPr="00920DFF">
              <w:t xml:space="preserve"> </w:t>
            </w:r>
            <w:r w:rsidRPr="00920DFF">
              <w:t xml:space="preserve">a medical opinion </w:t>
            </w:r>
            <w:r w:rsidR="000B6C75" w:rsidRPr="00920DFF">
              <w:t>by a different examiner</w:t>
            </w:r>
            <w:r w:rsidR="000B6C75" w:rsidRPr="00920DFF">
              <w:rPr>
                <w:color w:val="auto"/>
              </w:rPr>
              <w:t>.</w:t>
            </w:r>
          </w:p>
          <w:p w14:paraId="6E7DBA29" w14:textId="77777777" w:rsidR="00C727F7" w:rsidRPr="00920DFF" w:rsidRDefault="00C727F7" w:rsidP="00C727F7">
            <w:pPr>
              <w:rPr>
                <w:color w:val="auto"/>
              </w:rPr>
            </w:pPr>
          </w:p>
          <w:p w14:paraId="0F642530" w14:textId="08DA32F4" w:rsidR="00E065A7" w:rsidRPr="00920DFF" w:rsidRDefault="00E065A7" w:rsidP="00E065A7">
            <w:pPr>
              <w:pStyle w:val="BlockText"/>
            </w:pPr>
            <w:r w:rsidRPr="00920DFF">
              <w:rPr>
                <w:b/>
                <w:i/>
              </w:rPr>
              <w:t>References</w:t>
            </w:r>
            <w:r w:rsidRPr="00920DFF">
              <w:t>:</w:t>
            </w:r>
            <w:r w:rsidR="002D50B5" w:rsidRPr="00920DFF">
              <w:t xml:space="preserve">  For more information on</w:t>
            </w:r>
          </w:p>
          <w:p w14:paraId="0FF3546B" w14:textId="34958260" w:rsidR="00E065A7" w:rsidRPr="00920DFF" w:rsidRDefault="00E065A7" w:rsidP="007633DD">
            <w:pPr>
              <w:pStyle w:val="ListParagraph"/>
              <w:numPr>
                <w:ilvl w:val="0"/>
                <w:numId w:val="9"/>
              </w:numPr>
              <w:ind w:left="158" w:hanging="187"/>
            </w:pPr>
            <w:r w:rsidRPr="00920DFF">
              <w:t>requesting independent medical opinions, see</w:t>
            </w:r>
            <w:r w:rsidRPr="00920DFF">
              <w:rPr>
                <w:i/>
              </w:rPr>
              <w:t xml:space="preserve"> </w:t>
            </w:r>
            <w:hyperlink r:id="rId33" w:history="1">
              <w:r w:rsidRPr="00920DFF">
                <w:rPr>
                  <w:rStyle w:val="Hyperlink"/>
                </w:rPr>
                <w:t>38 CFR 3.328</w:t>
              </w:r>
              <w:r w:rsidR="00614EB6" w:rsidRPr="00920DFF">
                <w:rPr>
                  <w:rStyle w:val="Hyperlink"/>
                </w:rPr>
                <w:t>, and</w:t>
              </w:r>
              <w:r w:rsidRPr="00920DFF">
                <w:rPr>
                  <w:rStyle w:val="Hyperlink"/>
                </w:rPr>
                <w:t xml:space="preserve"> </w:t>
              </w:r>
            </w:hyperlink>
            <w:r w:rsidR="00A34C5F" w:rsidRPr="00920DFF">
              <w:t xml:space="preserve"> </w:t>
            </w:r>
          </w:p>
          <w:p w14:paraId="214553B1" w14:textId="410E2211" w:rsidR="00A34C5F" w:rsidRPr="00920DFF" w:rsidRDefault="00E065A7" w:rsidP="007633DD">
            <w:pPr>
              <w:pStyle w:val="ListParagraph"/>
              <w:numPr>
                <w:ilvl w:val="0"/>
                <w:numId w:val="11"/>
              </w:numPr>
              <w:ind w:left="158" w:hanging="187"/>
            </w:pPr>
            <w:r w:rsidRPr="00920DFF">
              <w:t>requesting medical opinions on conflicting medical evidence and independent medical opinions, see M21-1 Part II</w:t>
            </w:r>
            <w:r w:rsidR="00375465" w:rsidRPr="00920DFF">
              <w:t>I</w:t>
            </w:r>
            <w:r w:rsidR="000D3234" w:rsidRPr="00920DFF">
              <w:t>, S</w:t>
            </w:r>
            <w:r w:rsidRPr="00920DFF">
              <w:t>ubpart iv,3.A.7</w:t>
            </w:r>
          </w:p>
        </w:tc>
      </w:tr>
    </w:tbl>
    <w:p w14:paraId="47B231DD" w14:textId="1F5E62E8" w:rsidR="00E065A7" w:rsidRPr="00920DFF" w:rsidRDefault="00E065A7" w:rsidP="00E065A7">
      <w:pPr>
        <w:tabs>
          <w:tab w:val="left" w:pos="9360"/>
        </w:tabs>
        <w:ind w:left="1714"/>
      </w:pPr>
      <w:r w:rsidRPr="00920DFF">
        <w:rPr>
          <w:u w:val="single"/>
        </w:rPr>
        <w:tab/>
      </w:r>
    </w:p>
    <w:p w14:paraId="10C94990" w14:textId="77777777" w:rsidR="000B6C75" w:rsidRPr="00920DFF" w:rsidRDefault="000B6C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B6C75" w:rsidRPr="00920DFF" w14:paraId="071C5233" w14:textId="77777777" w:rsidTr="00874172">
        <w:tc>
          <w:tcPr>
            <w:tcW w:w="1728" w:type="dxa"/>
            <w:shd w:val="clear" w:color="auto" w:fill="auto"/>
          </w:tcPr>
          <w:p w14:paraId="0C37C5EA" w14:textId="2B50B130" w:rsidR="000B6C75" w:rsidRPr="00920DFF" w:rsidRDefault="000B6C75" w:rsidP="000B6C75">
            <w:pPr>
              <w:pStyle w:val="Heading5"/>
            </w:pPr>
            <w:r w:rsidRPr="00920DFF">
              <w:t>d.  Returning Examination Reports</w:t>
            </w:r>
          </w:p>
        </w:tc>
        <w:tc>
          <w:tcPr>
            <w:tcW w:w="7740" w:type="dxa"/>
            <w:shd w:val="clear" w:color="auto" w:fill="auto"/>
          </w:tcPr>
          <w:p w14:paraId="7B6F48BF" w14:textId="1363FC6B" w:rsidR="002402E3" w:rsidRPr="00920DFF" w:rsidRDefault="000B6C75" w:rsidP="00874172">
            <w:pPr>
              <w:pStyle w:val="BlockText"/>
              <w:rPr>
                <w:color w:val="auto"/>
              </w:rPr>
            </w:pPr>
            <w:r w:rsidRPr="00920DFF">
              <w:rPr>
                <w:color w:val="auto"/>
              </w:rPr>
              <w:t xml:space="preserve">Return an examination report as </w:t>
            </w:r>
            <w:r w:rsidRPr="00920DFF">
              <w:rPr>
                <w:i/>
                <w:color w:val="auto"/>
              </w:rPr>
              <w:t>insufficient</w:t>
            </w:r>
            <w:r w:rsidRPr="00920DFF">
              <w:rPr>
                <w:color w:val="auto"/>
              </w:rPr>
              <w:t xml:space="preserve"> for rating purposes to the health care prov</w:t>
            </w:r>
            <w:r w:rsidR="00C9234A" w:rsidRPr="00920DFF">
              <w:rPr>
                <w:color w:val="auto"/>
              </w:rPr>
              <w:t>ider or appropriate contractor through</w:t>
            </w:r>
          </w:p>
          <w:p w14:paraId="4C44AA62" w14:textId="77777777" w:rsidR="002402E3" w:rsidRPr="00920DFF" w:rsidRDefault="002402E3" w:rsidP="00874172">
            <w:pPr>
              <w:pStyle w:val="BlockText"/>
              <w:rPr>
                <w:color w:val="auto"/>
              </w:rPr>
            </w:pPr>
          </w:p>
          <w:p w14:paraId="3A50785D" w14:textId="5F3A83AB" w:rsidR="000B6C75" w:rsidRPr="00920DFF" w:rsidRDefault="00C9234A" w:rsidP="007633DD">
            <w:pPr>
              <w:pStyle w:val="ListParagraph"/>
              <w:numPr>
                <w:ilvl w:val="0"/>
                <w:numId w:val="79"/>
              </w:numPr>
              <w:ind w:left="158" w:hanging="187"/>
            </w:pPr>
            <w:r w:rsidRPr="00920DFF">
              <w:t xml:space="preserve">CAPRI - </w:t>
            </w:r>
            <w:r w:rsidR="000B6C75" w:rsidRPr="00920DFF">
              <w:t xml:space="preserve"> if the examination was requested </w:t>
            </w:r>
            <w:r w:rsidRPr="00920DFF">
              <w:t>through</w:t>
            </w:r>
            <w:r w:rsidR="000B6C75" w:rsidRPr="00920DFF">
              <w:t xml:space="preserve"> a VHA facility</w:t>
            </w:r>
            <w:r w:rsidRPr="00920DFF">
              <w:t>, or</w:t>
            </w:r>
          </w:p>
          <w:p w14:paraId="3C266299" w14:textId="0CDABFCA" w:rsidR="000B6C75" w:rsidRPr="00920DFF" w:rsidRDefault="000B6C75" w:rsidP="007633DD">
            <w:pPr>
              <w:pStyle w:val="ListParagraph"/>
              <w:numPr>
                <w:ilvl w:val="0"/>
                <w:numId w:val="79"/>
              </w:numPr>
              <w:ind w:left="158" w:hanging="187"/>
            </w:pPr>
            <w:r w:rsidRPr="00920DFF">
              <w:t xml:space="preserve">Centralized Administration Accounting Transaction System  (CAATS) </w:t>
            </w:r>
            <w:r w:rsidR="00C9234A" w:rsidRPr="00920DFF">
              <w:t>– if the examination was requested from a VBA</w:t>
            </w:r>
            <w:r w:rsidRPr="00920DFF">
              <w:t xml:space="preserve"> contractor.</w:t>
            </w:r>
          </w:p>
          <w:p w14:paraId="27A1671E" w14:textId="77777777" w:rsidR="000B6C75" w:rsidRPr="00920DFF" w:rsidRDefault="000B6C75" w:rsidP="00874172">
            <w:pPr>
              <w:pStyle w:val="BlockText"/>
              <w:rPr>
                <w:color w:val="auto"/>
              </w:rPr>
            </w:pPr>
          </w:p>
          <w:p w14:paraId="381E08E4" w14:textId="77777777" w:rsidR="00944E30" w:rsidRPr="00920DFF" w:rsidRDefault="000B6C75" w:rsidP="00874172">
            <w:pPr>
              <w:pStyle w:val="BlockText"/>
            </w:pPr>
            <w:r w:rsidRPr="00920DFF">
              <w:rPr>
                <w:b/>
                <w:i/>
              </w:rPr>
              <w:t>Important</w:t>
            </w:r>
            <w:r w:rsidRPr="00920DFF">
              <w:t xml:space="preserve">:  </w:t>
            </w:r>
          </w:p>
          <w:p w14:paraId="75FDB413" w14:textId="7347F295" w:rsidR="000B6C75" w:rsidRPr="00920DFF" w:rsidRDefault="000B6C75" w:rsidP="007633DD">
            <w:pPr>
              <w:pStyle w:val="ListParagraph"/>
              <w:numPr>
                <w:ilvl w:val="0"/>
                <w:numId w:val="87"/>
              </w:numPr>
              <w:ind w:left="158" w:hanging="187"/>
            </w:pPr>
            <w:r w:rsidRPr="00920DFF">
              <w:t>Avoid using language that can be construed as adversarial when returning reports for clarification.  Use the term “</w:t>
            </w:r>
            <w:r w:rsidRPr="00920DFF">
              <w:rPr>
                <w:i/>
              </w:rPr>
              <w:t>insufficient for rating purposes</w:t>
            </w:r>
            <w:r w:rsidRPr="00920DFF">
              <w:t>” rather than “</w:t>
            </w:r>
            <w:r w:rsidRPr="00920DFF">
              <w:rPr>
                <w:i/>
              </w:rPr>
              <w:t>inadequate examination</w:t>
            </w:r>
            <w:r w:rsidRPr="00920DFF">
              <w:t>.”</w:t>
            </w:r>
          </w:p>
          <w:p w14:paraId="14155486" w14:textId="409B0C4B" w:rsidR="00944E30" w:rsidRPr="00920DFF" w:rsidRDefault="00944E30" w:rsidP="007633DD">
            <w:pPr>
              <w:pStyle w:val="ListParagraph"/>
              <w:numPr>
                <w:ilvl w:val="0"/>
                <w:numId w:val="87"/>
              </w:numPr>
              <w:ind w:left="158" w:hanging="187"/>
            </w:pPr>
            <w:r w:rsidRPr="00920DFF">
              <w:t>Describe clearly the issue(s) needing clarification or resolution.</w:t>
            </w:r>
          </w:p>
          <w:p w14:paraId="09EF76A3" w14:textId="77777777" w:rsidR="00167233" w:rsidRPr="00920DFF" w:rsidRDefault="00167233" w:rsidP="00874172">
            <w:pPr>
              <w:pStyle w:val="BlockText"/>
            </w:pPr>
          </w:p>
          <w:p w14:paraId="20F2365D" w14:textId="7E1A1EF8" w:rsidR="000B6C75" w:rsidRPr="00920DFF" w:rsidRDefault="00B7214F" w:rsidP="00B7214F">
            <w:pPr>
              <w:pStyle w:val="BulletText1"/>
              <w:numPr>
                <w:ilvl w:val="0"/>
                <w:numId w:val="0"/>
              </w:numPr>
            </w:pPr>
            <w:r w:rsidRPr="00920DFF">
              <w:t>Refer to the table below for returning examination reports to the provider.</w:t>
            </w:r>
          </w:p>
        </w:tc>
      </w:tr>
    </w:tbl>
    <w:p w14:paraId="3A43DB07" w14:textId="3DC98032" w:rsidR="00C9234A" w:rsidRPr="00920DFF" w:rsidRDefault="00C9234A" w:rsidP="00C9234A"/>
    <w:tbl>
      <w:tblPr>
        <w:tblStyle w:val="TableGrid"/>
        <w:tblW w:w="7650" w:type="dxa"/>
        <w:tblInd w:w="1818" w:type="dxa"/>
        <w:tblLook w:val="04A0" w:firstRow="1" w:lastRow="0" w:firstColumn="1" w:lastColumn="0" w:noHBand="0" w:noVBand="1"/>
      </w:tblPr>
      <w:tblGrid>
        <w:gridCol w:w="2160"/>
        <w:gridCol w:w="2430"/>
        <w:gridCol w:w="3060"/>
      </w:tblGrid>
      <w:tr w:rsidR="002D7EA0" w:rsidRPr="00920DFF" w14:paraId="4879EAA4" w14:textId="77777777" w:rsidTr="002D7EA0">
        <w:tc>
          <w:tcPr>
            <w:tcW w:w="2160" w:type="dxa"/>
          </w:tcPr>
          <w:p w14:paraId="6BE379EB" w14:textId="1F9D6F46" w:rsidR="002D7EA0" w:rsidRPr="00920DFF" w:rsidRDefault="002D7EA0" w:rsidP="002D7EA0">
            <w:pPr>
              <w:jc w:val="center"/>
              <w:rPr>
                <w:b/>
              </w:rPr>
            </w:pPr>
            <w:r w:rsidRPr="00920DFF">
              <w:rPr>
                <w:b/>
              </w:rPr>
              <w:t>If the examination report…</w:t>
            </w:r>
          </w:p>
        </w:tc>
        <w:tc>
          <w:tcPr>
            <w:tcW w:w="2430" w:type="dxa"/>
          </w:tcPr>
          <w:p w14:paraId="10C915B9" w14:textId="15EF0956" w:rsidR="002D7EA0" w:rsidRPr="00920DFF" w:rsidRDefault="002D7EA0" w:rsidP="002D7EA0">
            <w:pPr>
              <w:jc w:val="center"/>
              <w:rPr>
                <w:b/>
              </w:rPr>
            </w:pPr>
            <w:r w:rsidRPr="00920DFF">
              <w:rPr>
                <w:b/>
              </w:rPr>
              <w:t>and the examiner is</w:t>
            </w:r>
            <w:r w:rsidR="00EA2D17" w:rsidRPr="00920DFF">
              <w:rPr>
                <w:b/>
              </w:rPr>
              <w:t xml:space="preserve"> from a</w:t>
            </w:r>
            <w:r w:rsidRPr="00920DFF">
              <w:rPr>
                <w:b/>
              </w:rPr>
              <w:t>…</w:t>
            </w:r>
          </w:p>
        </w:tc>
        <w:tc>
          <w:tcPr>
            <w:tcW w:w="3060" w:type="dxa"/>
          </w:tcPr>
          <w:p w14:paraId="0D531C86" w14:textId="4B149467" w:rsidR="002D7EA0" w:rsidRPr="00920DFF" w:rsidRDefault="002D7EA0" w:rsidP="002D7EA0">
            <w:pPr>
              <w:jc w:val="center"/>
              <w:rPr>
                <w:b/>
              </w:rPr>
            </w:pPr>
            <w:r w:rsidRPr="00920DFF">
              <w:rPr>
                <w:b/>
              </w:rPr>
              <w:t>Then …</w:t>
            </w:r>
          </w:p>
        </w:tc>
      </w:tr>
      <w:tr w:rsidR="002D7EA0" w:rsidRPr="00920DFF" w14:paraId="6C55E37D" w14:textId="77777777" w:rsidTr="002D7EA0">
        <w:tc>
          <w:tcPr>
            <w:tcW w:w="2160" w:type="dxa"/>
          </w:tcPr>
          <w:p w14:paraId="082B64A2" w14:textId="067989B7" w:rsidR="002D7EA0" w:rsidRPr="00920DFF" w:rsidRDefault="002D7EA0" w:rsidP="00C9234A">
            <w:r w:rsidRPr="00920DFF">
              <w:t>is insufficient</w:t>
            </w:r>
          </w:p>
        </w:tc>
        <w:tc>
          <w:tcPr>
            <w:tcW w:w="2430" w:type="dxa"/>
          </w:tcPr>
          <w:p w14:paraId="262DB8E3" w14:textId="2B4419E9" w:rsidR="00142051" w:rsidRPr="00920DFF" w:rsidRDefault="002D7EA0" w:rsidP="007633DD">
            <w:pPr>
              <w:pStyle w:val="ListParagraph"/>
              <w:numPr>
                <w:ilvl w:val="0"/>
                <w:numId w:val="89"/>
              </w:numPr>
              <w:ind w:left="158" w:hanging="187"/>
            </w:pPr>
            <w:r w:rsidRPr="00920DFF">
              <w:t>VHA or a VHA-contracted provider</w:t>
            </w:r>
            <w:r w:rsidR="00EA2D17" w:rsidRPr="00920DFF">
              <w:t>,</w:t>
            </w:r>
            <w:r w:rsidR="008D69A9" w:rsidRPr="00920DFF">
              <w:t xml:space="preserve"> or</w:t>
            </w:r>
          </w:p>
          <w:p w14:paraId="03C0402B" w14:textId="76E04E57" w:rsidR="00142051" w:rsidRPr="00920DFF" w:rsidRDefault="00142051" w:rsidP="007633DD">
            <w:pPr>
              <w:pStyle w:val="ListParagraph"/>
              <w:numPr>
                <w:ilvl w:val="0"/>
                <w:numId w:val="89"/>
              </w:numPr>
              <w:ind w:left="158" w:hanging="187"/>
            </w:pPr>
            <w:r w:rsidRPr="00920DFF">
              <w:t>VBA-contracted provider</w:t>
            </w:r>
          </w:p>
        </w:tc>
        <w:tc>
          <w:tcPr>
            <w:tcW w:w="3060" w:type="dxa"/>
          </w:tcPr>
          <w:p w14:paraId="530D6339" w14:textId="7251C8E7" w:rsidR="008D69A9" w:rsidRPr="00920DFF" w:rsidRDefault="002D7EA0" w:rsidP="007633DD">
            <w:pPr>
              <w:pStyle w:val="ListParagraph"/>
              <w:numPr>
                <w:ilvl w:val="0"/>
                <w:numId w:val="90"/>
              </w:numPr>
              <w:ind w:left="158" w:hanging="187"/>
            </w:pPr>
            <w:r w:rsidRPr="00920DFF">
              <w:t xml:space="preserve">return the examination as </w:t>
            </w:r>
            <w:r w:rsidRPr="00920DFF">
              <w:rPr>
                <w:i/>
              </w:rPr>
              <w:t>insufficient</w:t>
            </w:r>
            <w:r w:rsidRPr="00920DFF">
              <w:t xml:space="preserve"> thru CAPR</w:t>
            </w:r>
            <w:r w:rsidR="00920DFF">
              <w:t>I,</w:t>
            </w:r>
            <w:r w:rsidR="00142051" w:rsidRPr="00920DFF">
              <w:t xml:space="preserve"> </w:t>
            </w:r>
          </w:p>
          <w:p w14:paraId="4E1118E2" w14:textId="71B1DE9C" w:rsidR="008D69A9" w:rsidRPr="00920DFF" w:rsidRDefault="00F745A0" w:rsidP="008D69A9">
            <w:pPr>
              <w:pStyle w:val="ListParagraph"/>
              <w:ind w:left="0"/>
            </w:pPr>
            <w:r w:rsidRPr="00920DFF">
              <w:t xml:space="preserve">  or</w:t>
            </w:r>
          </w:p>
          <w:p w14:paraId="016A76A2" w14:textId="6ED8C648" w:rsidR="002D7EA0" w:rsidRPr="00920DFF" w:rsidRDefault="008D69A9" w:rsidP="007633DD">
            <w:pPr>
              <w:pStyle w:val="ListParagraph"/>
              <w:numPr>
                <w:ilvl w:val="0"/>
                <w:numId w:val="91"/>
              </w:numPr>
              <w:ind w:left="158" w:hanging="187"/>
            </w:pPr>
            <w:r w:rsidRPr="00920DFF">
              <w:t>r</w:t>
            </w:r>
            <w:r w:rsidR="00142051" w:rsidRPr="00920DFF">
              <w:t>eturn the examination as insufficient thru CAATS</w:t>
            </w:r>
            <w:r w:rsidRPr="00920DFF">
              <w:t>.</w:t>
            </w:r>
          </w:p>
        </w:tc>
      </w:tr>
      <w:tr w:rsidR="002D7EA0" w:rsidRPr="00920DFF" w14:paraId="1D3B48C3" w14:textId="77777777" w:rsidTr="002D7EA0">
        <w:tc>
          <w:tcPr>
            <w:tcW w:w="2160" w:type="dxa"/>
          </w:tcPr>
          <w:p w14:paraId="2CEBCADB" w14:textId="338336E4" w:rsidR="002D7EA0" w:rsidRPr="00920DFF" w:rsidRDefault="002D7EA0" w:rsidP="00C9234A">
            <w:r w:rsidRPr="00920DFF">
              <w:t>needs clarification</w:t>
            </w:r>
          </w:p>
        </w:tc>
        <w:tc>
          <w:tcPr>
            <w:tcW w:w="2430" w:type="dxa"/>
          </w:tcPr>
          <w:p w14:paraId="2007F44C" w14:textId="77777777" w:rsidR="008D69A9" w:rsidRPr="00920DFF" w:rsidRDefault="002D7EA0" w:rsidP="007633DD">
            <w:pPr>
              <w:pStyle w:val="ListParagraph"/>
              <w:numPr>
                <w:ilvl w:val="0"/>
                <w:numId w:val="92"/>
              </w:numPr>
              <w:ind w:left="158" w:hanging="187"/>
            </w:pPr>
            <w:r w:rsidRPr="00920DFF">
              <w:t>VHA or a VHA-contracted provider</w:t>
            </w:r>
            <w:r w:rsidR="008D69A9" w:rsidRPr="00920DFF">
              <w:t xml:space="preserve">, or </w:t>
            </w:r>
          </w:p>
          <w:p w14:paraId="1771EE9B" w14:textId="77777777" w:rsidR="008D69A9" w:rsidRPr="00920DFF" w:rsidRDefault="008D69A9" w:rsidP="008D69A9"/>
          <w:p w14:paraId="24657146" w14:textId="77777777" w:rsidR="008D69A9" w:rsidRPr="00920DFF" w:rsidRDefault="008D69A9" w:rsidP="008D69A9"/>
          <w:p w14:paraId="62B74672" w14:textId="77777777" w:rsidR="008D69A9" w:rsidRPr="00920DFF" w:rsidRDefault="008D69A9" w:rsidP="008D69A9"/>
          <w:p w14:paraId="2C167036" w14:textId="77777777" w:rsidR="008D69A9" w:rsidRPr="00920DFF" w:rsidRDefault="008D69A9" w:rsidP="008D69A9"/>
          <w:p w14:paraId="73DB9790" w14:textId="77777777" w:rsidR="008D69A9" w:rsidRPr="00920DFF" w:rsidRDefault="008D69A9" w:rsidP="008D69A9"/>
          <w:p w14:paraId="4A52683F" w14:textId="77777777" w:rsidR="008D69A9" w:rsidRPr="00920DFF" w:rsidRDefault="008D69A9" w:rsidP="008D69A9"/>
          <w:p w14:paraId="5676192B" w14:textId="77777777" w:rsidR="008D69A9" w:rsidRPr="00920DFF" w:rsidRDefault="008D69A9" w:rsidP="008D69A9"/>
          <w:p w14:paraId="0BB07020" w14:textId="77777777" w:rsidR="008D69A9" w:rsidRPr="00920DFF" w:rsidRDefault="008D69A9" w:rsidP="008D69A9"/>
          <w:p w14:paraId="6CD1F6EB" w14:textId="1AF73882" w:rsidR="002D7EA0" w:rsidRPr="00920DFF" w:rsidRDefault="008D69A9" w:rsidP="007633DD">
            <w:pPr>
              <w:pStyle w:val="ListParagraph"/>
              <w:numPr>
                <w:ilvl w:val="0"/>
                <w:numId w:val="92"/>
              </w:numPr>
              <w:ind w:left="158" w:hanging="187"/>
            </w:pPr>
            <w:r w:rsidRPr="00920DFF">
              <w:t>VBA-contracted provider</w:t>
            </w:r>
          </w:p>
        </w:tc>
        <w:tc>
          <w:tcPr>
            <w:tcW w:w="3060" w:type="dxa"/>
          </w:tcPr>
          <w:p w14:paraId="7D682D0D" w14:textId="77777777" w:rsidR="002D7EA0" w:rsidRPr="00920DFF" w:rsidRDefault="002D7EA0" w:rsidP="007633DD">
            <w:pPr>
              <w:pStyle w:val="ListParagraph"/>
              <w:numPr>
                <w:ilvl w:val="0"/>
                <w:numId w:val="84"/>
              </w:numPr>
              <w:ind w:left="158" w:hanging="187"/>
            </w:pPr>
            <w:r w:rsidRPr="00920DFF">
              <w:t xml:space="preserve">call or e-mail the examiner or point of contact at the examination facility, to try and resolve the issue(s) expeditiously, or </w:t>
            </w:r>
          </w:p>
          <w:p w14:paraId="20955392" w14:textId="363AFF93" w:rsidR="002D7EA0" w:rsidRPr="00920DFF" w:rsidRDefault="002D7EA0" w:rsidP="007633DD">
            <w:pPr>
              <w:pStyle w:val="ListParagraph"/>
              <w:numPr>
                <w:ilvl w:val="0"/>
                <w:numId w:val="84"/>
              </w:numPr>
              <w:ind w:left="158" w:hanging="187"/>
            </w:pPr>
            <w:proofErr w:type="gramStart"/>
            <w:r w:rsidRPr="00920DFF">
              <w:t>input</w:t>
            </w:r>
            <w:proofErr w:type="gramEnd"/>
            <w:r w:rsidRPr="00920DFF">
              <w:t xml:space="preserve"> a medical opinion DBQ request in </w:t>
            </w:r>
            <w:r w:rsidR="00142051" w:rsidRPr="00920DFF">
              <w:t>CAPRI</w:t>
            </w:r>
            <w:r w:rsidRPr="00920DFF">
              <w:t xml:space="preserve">, if the issue(s) is complex or </w:t>
            </w:r>
            <w:r w:rsidR="00A30738" w:rsidRPr="00920DFF">
              <w:t>cannot</w:t>
            </w:r>
            <w:r w:rsidRPr="00920DFF">
              <w:t xml:space="preserve"> be resolved by phone or e-mail. </w:t>
            </w:r>
          </w:p>
          <w:p w14:paraId="3FAB340D" w14:textId="4FB5F6C4" w:rsidR="002D7EA0" w:rsidRPr="00920DFF" w:rsidRDefault="00F745A0" w:rsidP="00C9234A">
            <w:r w:rsidRPr="00920DFF">
              <w:t xml:space="preserve">  or</w:t>
            </w:r>
          </w:p>
          <w:p w14:paraId="4DFA7A86" w14:textId="46953EDA" w:rsidR="008D69A9" w:rsidRPr="00920DFF" w:rsidRDefault="008D69A9" w:rsidP="00920DFF">
            <w:pPr>
              <w:pStyle w:val="ListParagraph"/>
              <w:numPr>
                <w:ilvl w:val="0"/>
                <w:numId w:val="93"/>
              </w:numPr>
              <w:ind w:left="158" w:hanging="187"/>
            </w:pPr>
            <w:proofErr w:type="gramStart"/>
            <w:r w:rsidRPr="00920DFF">
              <w:t>return</w:t>
            </w:r>
            <w:proofErr w:type="gramEnd"/>
            <w:r w:rsidRPr="00920DFF">
              <w:t xml:space="preserve"> the examination as </w:t>
            </w:r>
            <w:r w:rsidRPr="00920DFF">
              <w:rPr>
                <w:i/>
              </w:rPr>
              <w:t>insufficient</w:t>
            </w:r>
            <w:r w:rsidRPr="00920DFF">
              <w:t xml:space="preserve"> thru CAATS.</w:t>
            </w:r>
          </w:p>
        </w:tc>
      </w:tr>
      <w:tr w:rsidR="002D7EA0" w:rsidRPr="00920DFF" w14:paraId="696F8C67" w14:textId="77777777" w:rsidTr="002D7EA0">
        <w:tc>
          <w:tcPr>
            <w:tcW w:w="2160" w:type="dxa"/>
          </w:tcPr>
          <w:p w14:paraId="22B6061F" w14:textId="77507F74" w:rsidR="002D7EA0" w:rsidRPr="00920DFF" w:rsidRDefault="00944E30" w:rsidP="00C9234A">
            <w:r w:rsidRPr="00920DFF">
              <w:t>n</w:t>
            </w:r>
            <w:r w:rsidR="002D7EA0" w:rsidRPr="00920DFF">
              <w:t xml:space="preserve">eeds resolution of a conflicting </w:t>
            </w:r>
            <w:r w:rsidRPr="00920DFF">
              <w:t xml:space="preserve">opinion or </w:t>
            </w:r>
            <w:r w:rsidR="002D7EA0" w:rsidRPr="00920DFF">
              <w:t>diagnosis</w:t>
            </w:r>
          </w:p>
        </w:tc>
        <w:tc>
          <w:tcPr>
            <w:tcW w:w="2430" w:type="dxa"/>
          </w:tcPr>
          <w:p w14:paraId="3C159F51" w14:textId="11CA724E" w:rsidR="002D7EA0" w:rsidRPr="00920DFF" w:rsidRDefault="002D7EA0" w:rsidP="00944E30">
            <w:r w:rsidRPr="00920DFF">
              <w:t>VHA</w:t>
            </w:r>
            <w:r w:rsidR="00944E30" w:rsidRPr="00920DFF">
              <w:t>,</w:t>
            </w:r>
            <w:r w:rsidRPr="00920DFF">
              <w:t xml:space="preserve"> a VHA-contracted provider</w:t>
            </w:r>
            <w:r w:rsidR="00944E30" w:rsidRPr="00920DFF">
              <w:t xml:space="preserve">, </w:t>
            </w:r>
            <w:r w:rsidR="008D69A9" w:rsidRPr="00920DFF">
              <w:t xml:space="preserve">or </w:t>
            </w:r>
            <w:r w:rsidR="00944E30" w:rsidRPr="00920DFF">
              <w:t>a VBA-contracted provider</w:t>
            </w:r>
          </w:p>
        </w:tc>
        <w:tc>
          <w:tcPr>
            <w:tcW w:w="3060" w:type="dxa"/>
          </w:tcPr>
          <w:p w14:paraId="248DA7EA" w14:textId="669911A0" w:rsidR="002D7EA0" w:rsidRPr="00920DFF" w:rsidRDefault="002D7EA0" w:rsidP="00920DFF">
            <w:pPr>
              <w:pStyle w:val="ListParagraph"/>
              <w:ind w:left="0"/>
            </w:pPr>
            <w:proofErr w:type="gramStart"/>
            <w:r w:rsidRPr="00920DFF">
              <w:t>input</w:t>
            </w:r>
            <w:proofErr w:type="gramEnd"/>
            <w:r w:rsidRPr="00920DFF">
              <w:t xml:space="preserve"> a medical opinion DBQ request in either CAPRI or CAATS</w:t>
            </w:r>
            <w:r w:rsidR="00EA2D17" w:rsidRPr="00920DFF">
              <w:t>, whichever is applicable</w:t>
            </w:r>
            <w:r w:rsidR="00944E30" w:rsidRPr="00920DFF">
              <w:t>.</w:t>
            </w:r>
          </w:p>
        </w:tc>
      </w:tr>
    </w:tbl>
    <w:p w14:paraId="4E26B3B8" w14:textId="77777777" w:rsidR="002D7EA0" w:rsidRPr="00920DFF" w:rsidRDefault="002D7EA0" w:rsidP="00C9234A"/>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C9234A" w:rsidRPr="00920DFF" w14:paraId="10002DE0" w14:textId="77777777" w:rsidTr="00C9234A">
        <w:tc>
          <w:tcPr>
            <w:tcW w:w="7740" w:type="dxa"/>
            <w:shd w:val="clear" w:color="auto" w:fill="auto"/>
          </w:tcPr>
          <w:p w14:paraId="1038DAD2" w14:textId="78DE4C99" w:rsidR="008D69A9" w:rsidRPr="00920DFF" w:rsidRDefault="00C9234A" w:rsidP="003F7234">
            <w:r w:rsidRPr="00920DFF">
              <w:rPr>
                <w:b/>
                <w:i/>
              </w:rPr>
              <w:t>Note</w:t>
            </w:r>
            <w:r w:rsidR="008D69A9" w:rsidRPr="00920DFF">
              <w:rPr>
                <w:b/>
                <w:i/>
              </w:rPr>
              <w:t>s</w:t>
            </w:r>
            <w:r w:rsidRPr="00920DFF">
              <w:t xml:space="preserve">:  </w:t>
            </w:r>
          </w:p>
          <w:p w14:paraId="3EE84DCF" w14:textId="106B75DC" w:rsidR="008D69A9" w:rsidRPr="00920DFF" w:rsidRDefault="008D69A9" w:rsidP="007633DD">
            <w:pPr>
              <w:pStyle w:val="ListParagraph"/>
              <w:numPr>
                <w:ilvl w:val="0"/>
                <w:numId w:val="94"/>
              </w:numPr>
              <w:ind w:left="158" w:hanging="187"/>
            </w:pPr>
            <w:r w:rsidRPr="00920DFF">
              <w:t xml:space="preserve">For VHA examinations, try to resolve any questions </w:t>
            </w:r>
            <w:r w:rsidR="00123C08" w:rsidRPr="00920DFF">
              <w:t>or clarifications with</w:t>
            </w:r>
            <w:r w:rsidRPr="00920DFF">
              <w:t xml:space="preserve"> the RO resident clinician </w:t>
            </w:r>
            <w:r w:rsidR="00123C08" w:rsidRPr="00920DFF">
              <w:t>as much as possible</w:t>
            </w:r>
            <w:r w:rsidR="00EA2D17" w:rsidRPr="00920DFF">
              <w:t>, before calling the examination as insufficient.</w:t>
            </w:r>
          </w:p>
          <w:p w14:paraId="6F465957" w14:textId="032D7C4D" w:rsidR="00EA2D17" w:rsidRPr="00920DFF" w:rsidRDefault="00EA2D17" w:rsidP="007633DD">
            <w:pPr>
              <w:pStyle w:val="ListParagraph"/>
              <w:numPr>
                <w:ilvl w:val="0"/>
                <w:numId w:val="94"/>
              </w:numPr>
              <w:ind w:left="158" w:hanging="187"/>
            </w:pPr>
            <w:r w:rsidRPr="00920DFF">
              <w:t>For VBA-contracted examinations, the contractor has seven days to clarify any insufficiency, to avoid an insufficiency call.</w:t>
            </w:r>
          </w:p>
          <w:p w14:paraId="3DFF8E3A" w14:textId="702F6601" w:rsidR="00944E30" w:rsidRPr="00920DFF" w:rsidRDefault="00C9234A" w:rsidP="007633DD">
            <w:pPr>
              <w:pStyle w:val="ListParagraph"/>
              <w:numPr>
                <w:ilvl w:val="0"/>
                <w:numId w:val="94"/>
              </w:numPr>
              <w:ind w:left="158" w:hanging="187"/>
            </w:pPr>
            <w:r w:rsidRPr="00920DFF">
              <w:t>When the best interest of the Veteran will be advanced by a personal conference or e-mail with the examiner, such venues should always be considered</w:t>
            </w:r>
            <w:r w:rsidR="00B7214F" w:rsidRPr="00920DFF">
              <w:t>.</w:t>
            </w:r>
          </w:p>
        </w:tc>
      </w:tr>
    </w:tbl>
    <w:p w14:paraId="2158BCC5" w14:textId="1164EBD3" w:rsidR="000B6C75" w:rsidRPr="00920DFF" w:rsidRDefault="00C9234A" w:rsidP="00C9234A">
      <w:pPr>
        <w:tabs>
          <w:tab w:val="left" w:pos="9360"/>
        </w:tabs>
        <w:ind w:left="1714"/>
      </w:pPr>
      <w:r w:rsidRPr="00920DFF">
        <w:rPr>
          <w:u w:val="single"/>
        </w:rPr>
        <w:tab/>
      </w:r>
    </w:p>
    <w:p w14:paraId="3332A338" w14:textId="77777777" w:rsidR="00C9234A" w:rsidRPr="00920DFF" w:rsidRDefault="00C9234A" w:rsidP="00C9234A"/>
    <w:p w14:paraId="668B3998" w14:textId="062D7096" w:rsidR="00C9234A" w:rsidRPr="00920DFF" w:rsidRDefault="00C9234A" w:rsidP="00C9234A">
      <w:pPr>
        <w:ind w:left="1714"/>
      </w:pPr>
    </w:p>
    <w:p w14:paraId="1844E158" w14:textId="77777777" w:rsidR="00C9234A" w:rsidRPr="00920DFF" w:rsidRDefault="00C9234A" w:rsidP="00C9234A"/>
    <w:p w14:paraId="7453794C" w14:textId="72B8843D" w:rsidR="00B72EA6" w:rsidRPr="00920DFF" w:rsidRDefault="00B72EA6">
      <w:r w:rsidRPr="00920DFF">
        <w:br w:type="page"/>
      </w:r>
    </w:p>
    <w:p w14:paraId="607247E8" w14:textId="77777777" w:rsidR="006C6996" w:rsidRPr="00920DFF" w:rsidRDefault="00137CBD" w:rsidP="00F1285D">
      <w:pPr>
        <w:pStyle w:val="Heading4"/>
      </w:pPr>
      <w:bookmarkStart w:id="27" w:name="_3_._"/>
      <w:bookmarkEnd w:id="27"/>
      <w:r w:rsidRPr="00920DFF">
        <w:t>4.</w:t>
      </w:r>
      <w:r w:rsidR="00B72EA6" w:rsidRPr="00920DFF">
        <w:t xml:space="preserve">  Reviewing Examination</w:t>
      </w:r>
      <w:r w:rsidR="00EA0C3D" w:rsidRPr="00920DFF">
        <w:t xml:space="preserve"> </w:t>
      </w:r>
      <w:r w:rsidR="004C0713" w:rsidRPr="00920DFF">
        <w:t>Reports</w:t>
      </w:r>
      <w:r w:rsidR="00B72EA6" w:rsidRPr="00920DFF">
        <w:t xml:space="preserve"> for </w:t>
      </w:r>
      <w:r w:rsidR="004C0713" w:rsidRPr="00920DFF">
        <w:t>Rating Criteria</w:t>
      </w:r>
    </w:p>
    <w:p w14:paraId="7756EB15" w14:textId="5DEBB473" w:rsidR="006C6996" w:rsidRPr="00920DFF" w:rsidRDefault="003F5347" w:rsidP="003F5347">
      <w:pPr>
        <w:tabs>
          <w:tab w:val="left" w:pos="9360"/>
        </w:tabs>
        <w:ind w:left="1714"/>
        <w:rPr>
          <w:szCs w:val="20"/>
        </w:rPr>
      </w:pPr>
      <w:r w:rsidRPr="00920DFF">
        <w:rPr>
          <w:szCs w:val="20"/>
          <w:u w:val="single"/>
        </w:rPr>
        <w:tab/>
      </w:r>
    </w:p>
    <w:p w14:paraId="61033A54" w14:textId="77777777" w:rsidR="003F5347" w:rsidRPr="00920DFF" w:rsidRDefault="003F5347" w:rsidP="003F5347">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2EA6" w:rsidRPr="00920DFF" w14:paraId="54C33D4B" w14:textId="77777777" w:rsidTr="00AB62AD">
        <w:tc>
          <w:tcPr>
            <w:tcW w:w="1728" w:type="dxa"/>
            <w:shd w:val="clear" w:color="auto" w:fill="auto"/>
          </w:tcPr>
          <w:p w14:paraId="30F87F37" w14:textId="77777777" w:rsidR="00B72EA6" w:rsidRPr="00920DFF" w:rsidRDefault="00B72EA6" w:rsidP="00FC1560">
            <w:pPr>
              <w:pStyle w:val="Heading5"/>
            </w:pPr>
            <w:r w:rsidRPr="00920DFF">
              <w:t>Introduction</w:t>
            </w:r>
          </w:p>
        </w:tc>
        <w:tc>
          <w:tcPr>
            <w:tcW w:w="7740" w:type="dxa"/>
            <w:shd w:val="clear" w:color="auto" w:fill="auto"/>
          </w:tcPr>
          <w:p w14:paraId="4835375F" w14:textId="6A5D7871" w:rsidR="00B72EA6" w:rsidRPr="00920DFF" w:rsidRDefault="00B72EA6" w:rsidP="00B72EA6">
            <w:r w:rsidRPr="00920DFF">
              <w:t>This topic contains information abou</w:t>
            </w:r>
            <w:r w:rsidR="00FC1560" w:rsidRPr="00920DFF">
              <w:t>t</w:t>
            </w:r>
          </w:p>
          <w:p w14:paraId="751824E7" w14:textId="06B709C2" w:rsidR="005C0A47" w:rsidRPr="00920DFF" w:rsidRDefault="005C0A47" w:rsidP="004561A1">
            <w:pPr>
              <w:pStyle w:val="ListParagraph"/>
              <w:ind w:left="158"/>
            </w:pPr>
          </w:p>
          <w:p w14:paraId="1EA03676" w14:textId="70355D4B" w:rsidR="00975DBC" w:rsidRPr="00920DFF" w:rsidRDefault="00C832CF" w:rsidP="007633DD">
            <w:pPr>
              <w:pStyle w:val="ListParagraph"/>
              <w:numPr>
                <w:ilvl w:val="0"/>
                <w:numId w:val="39"/>
              </w:numPr>
              <w:ind w:left="158" w:hanging="187"/>
            </w:pPr>
            <w:r w:rsidRPr="00920DFF">
              <w:t>bruxism examination report review</w:t>
            </w:r>
          </w:p>
          <w:p w14:paraId="01D8AA76" w14:textId="391E8378" w:rsidR="00975DBC" w:rsidRPr="00920DFF" w:rsidRDefault="00C832CF" w:rsidP="007633DD">
            <w:pPr>
              <w:pStyle w:val="ListParagraph"/>
              <w:numPr>
                <w:ilvl w:val="0"/>
                <w:numId w:val="38"/>
              </w:numPr>
              <w:ind w:left="158" w:hanging="187"/>
            </w:pPr>
            <w:r w:rsidRPr="00920DFF">
              <w:t>eye examination report review</w:t>
            </w:r>
          </w:p>
          <w:p w14:paraId="7A0A87DB" w14:textId="070751BF" w:rsidR="00975DBC" w:rsidRPr="00920DFF" w:rsidRDefault="00C832CF" w:rsidP="007633DD">
            <w:pPr>
              <w:pStyle w:val="ListParagraph"/>
              <w:numPr>
                <w:ilvl w:val="0"/>
                <w:numId w:val="38"/>
              </w:numPr>
              <w:ind w:left="158" w:hanging="187"/>
            </w:pPr>
            <w:r w:rsidRPr="00920DFF">
              <w:t>headache examination report review</w:t>
            </w:r>
          </w:p>
          <w:p w14:paraId="0013BECA" w14:textId="07AAF5AE" w:rsidR="00B72EA6" w:rsidRPr="00920DFF" w:rsidRDefault="00C832CF" w:rsidP="007633DD">
            <w:pPr>
              <w:pStyle w:val="ListParagraph"/>
              <w:numPr>
                <w:ilvl w:val="0"/>
                <w:numId w:val="38"/>
              </w:numPr>
              <w:ind w:left="158" w:hanging="187"/>
            </w:pPr>
            <w:r w:rsidRPr="00920DFF">
              <w:rPr>
                <w:szCs w:val="20"/>
              </w:rPr>
              <w:t xml:space="preserve">hearing loss and tinnitus </w:t>
            </w:r>
            <w:r w:rsidRPr="00920DFF">
              <w:t>examination report review</w:t>
            </w:r>
          </w:p>
          <w:p w14:paraId="34C03240" w14:textId="0E36740B" w:rsidR="00975DBC" w:rsidRPr="00920DFF" w:rsidRDefault="00C832CF" w:rsidP="007633DD">
            <w:pPr>
              <w:pStyle w:val="ListParagraph"/>
              <w:numPr>
                <w:ilvl w:val="0"/>
                <w:numId w:val="38"/>
              </w:numPr>
              <w:ind w:left="158" w:hanging="187"/>
            </w:pPr>
            <w:r w:rsidRPr="00920DFF">
              <w:t>mental health examination report review</w:t>
            </w:r>
          </w:p>
          <w:p w14:paraId="235C87BF" w14:textId="7AA35309" w:rsidR="0023660A" w:rsidRPr="00920DFF" w:rsidRDefault="00C832CF" w:rsidP="007633DD">
            <w:pPr>
              <w:pStyle w:val="ListParagraph"/>
              <w:numPr>
                <w:ilvl w:val="0"/>
                <w:numId w:val="38"/>
              </w:numPr>
              <w:ind w:left="158" w:hanging="187"/>
            </w:pPr>
            <w:r w:rsidRPr="00920DFF">
              <w:rPr>
                <w:szCs w:val="20"/>
              </w:rPr>
              <w:t>metabolic equivalent</w:t>
            </w:r>
            <w:r w:rsidR="00CB2F7C" w:rsidRPr="00920DFF">
              <w:rPr>
                <w:szCs w:val="20"/>
              </w:rPr>
              <w:t>s</w:t>
            </w:r>
            <w:r w:rsidRPr="00920DFF">
              <w:rPr>
                <w:szCs w:val="20"/>
              </w:rPr>
              <w:t xml:space="preserve"> of task (MET</w:t>
            </w:r>
            <w:r w:rsidR="00CB2F7C" w:rsidRPr="00920DFF">
              <w:rPr>
                <w:szCs w:val="20"/>
              </w:rPr>
              <w:t>S</w:t>
            </w:r>
            <w:r w:rsidRPr="00920DFF">
              <w:rPr>
                <w:szCs w:val="20"/>
              </w:rPr>
              <w:t>) for heart conditions</w:t>
            </w:r>
            <w:r w:rsidRPr="00920DFF">
              <w:t xml:space="preserve"> examination report review</w:t>
            </w:r>
          </w:p>
          <w:p w14:paraId="5A2E0E0C" w14:textId="79007B52" w:rsidR="0023660A" w:rsidRPr="00920DFF" w:rsidRDefault="00C832CF" w:rsidP="007633DD">
            <w:pPr>
              <w:pStyle w:val="ListParagraph"/>
              <w:numPr>
                <w:ilvl w:val="0"/>
                <w:numId w:val="38"/>
              </w:numPr>
              <w:ind w:left="158" w:hanging="187"/>
            </w:pPr>
            <w:r w:rsidRPr="00920DFF">
              <w:t>musculoskeletal and functional loss and ROM examination report</w:t>
            </w:r>
            <w:r w:rsidR="00C22FF3" w:rsidRPr="00920DFF">
              <w:t xml:space="preserve"> review </w:t>
            </w:r>
          </w:p>
          <w:p w14:paraId="2CA77FAA" w14:textId="513DA9A3" w:rsidR="00975DBC" w:rsidRPr="00920DFF" w:rsidRDefault="00C832CF" w:rsidP="007633DD">
            <w:pPr>
              <w:pStyle w:val="ListParagraph"/>
              <w:numPr>
                <w:ilvl w:val="0"/>
                <w:numId w:val="38"/>
              </w:numPr>
              <w:ind w:left="158" w:hanging="187"/>
            </w:pPr>
            <w:r w:rsidRPr="00920DFF">
              <w:rPr>
                <w:szCs w:val="20"/>
              </w:rPr>
              <w:t xml:space="preserve">nerves </w:t>
            </w:r>
            <w:r w:rsidRPr="00920DFF">
              <w:t>examination report review</w:t>
            </w:r>
          </w:p>
          <w:p w14:paraId="108B0861" w14:textId="7D1681F5" w:rsidR="00B72EA6" w:rsidRPr="00920DFF" w:rsidRDefault="00C832CF" w:rsidP="007633DD">
            <w:pPr>
              <w:pStyle w:val="ListParagraph"/>
              <w:numPr>
                <w:ilvl w:val="0"/>
                <w:numId w:val="38"/>
              </w:numPr>
              <w:ind w:left="158" w:hanging="187"/>
            </w:pPr>
            <w:r w:rsidRPr="00920DFF">
              <w:rPr>
                <w:szCs w:val="20"/>
              </w:rPr>
              <w:t xml:space="preserve">pulmonary function test (PFT) </w:t>
            </w:r>
            <w:r w:rsidRPr="00920DFF">
              <w:t>examination report review</w:t>
            </w:r>
          </w:p>
          <w:p w14:paraId="76551A4F" w14:textId="39EAE4B9" w:rsidR="00453BD5" w:rsidRPr="00920DFF" w:rsidRDefault="00C832CF" w:rsidP="007633DD">
            <w:pPr>
              <w:pStyle w:val="ListParagraph"/>
              <w:numPr>
                <w:ilvl w:val="0"/>
                <w:numId w:val="38"/>
              </w:numPr>
              <w:ind w:left="158" w:hanging="187"/>
            </w:pPr>
            <w:r w:rsidRPr="00920DFF">
              <w:rPr>
                <w:szCs w:val="20"/>
              </w:rPr>
              <w:t>post traumatic stress disorder (PTSD) examination review</w:t>
            </w:r>
          </w:p>
          <w:p w14:paraId="4343E6C7" w14:textId="41B0682C" w:rsidR="00B72EA6" w:rsidRPr="00920DFF" w:rsidRDefault="00C832CF" w:rsidP="007633DD">
            <w:pPr>
              <w:pStyle w:val="ListParagraph"/>
              <w:numPr>
                <w:ilvl w:val="0"/>
                <w:numId w:val="38"/>
              </w:numPr>
              <w:ind w:left="158" w:hanging="187"/>
            </w:pPr>
            <w:r w:rsidRPr="00920DFF">
              <w:rPr>
                <w:szCs w:val="20"/>
              </w:rPr>
              <w:t xml:space="preserve">skin and scars </w:t>
            </w:r>
            <w:r w:rsidRPr="00920DFF">
              <w:t>examination report review</w:t>
            </w:r>
          </w:p>
          <w:p w14:paraId="157506EE" w14:textId="66B56A4B" w:rsidR="00453BD5" w:rsidRPr="00920DFF" w:rsidRDefault="00C832CF" w:rsidP="007633DD">
            <w:pPr>
              <w:pStyle w:val="ListParagraph"/>
              <w:numPr>
                <w:ilvl w:val="0"/>
                <w:numId w:val="38"/>
              </w:numPr>
              <w:ind w:left="158" w:hanging="187"/>
            </w:pPr>
            <w:r w:rsidRPr="00920DFF">
              <w:rPr>
                <w:szCs w:val="20"/>
              </w:rPr>
              <w:t>sleep disorders</w:t>
            </w:r>
            <w:r w:rsidR="00CB2F7C" w:rsidRPr="00920DFF">
              <w:rPr>
                <w:szCs w:val="20"/>
              </w:rPr>
              <w:t xml:space="preserve"> examination report review</w:t>
            </w:r>
          </w:p>
          <w:p w14:paraId="0C37BDC5" w14:textId="4653BC8C" w:rsidR="00975DBC" w:rsidRPr="00920DFF" w:rsidRDefault="00C832CF" w:rsidP="007633DD">
            <w:pPr>
              <w:pStyle w:val="ListParagraph"/>
              <w:numPr>
                <w:ilvl w:val="0"/>
                <w:numId w:val="38"/>
              </w:numPr>
              <w:ind w:left="158" w:hanging="187"/>
            </w:pPr>
            <w:r w:rsidRPr="00920DFF">
              <w:t>temporomandibular joint (TMJ) disorder examination report review</w:t>
            </w:r>
          </w:p>
          <w:p w14:paraId="573E3E4B" w14:textId="5E158AB9" w:rsidR="00B72EA6" w:rsidRPr="00920DFF" w:rsidRDefault="00C832CF" w:rsidP="007633DD">
            <w:pPr>
              <w:pStyle w:val="ListParagraph"/>
              <w:numPr>
                <w:ilvl w:val="0"/>
                <w:numId w:val="38"/>
              </w:numPr>
              <w:ind w:left="158" w:hanging="187"/>
            </w:pPr>
            <w:r w:rsidRPr="00920DFF">
              <w:rPr>
                <w:szCs w:val="20"/>
              </w:rPr>
              <w:t xml:space="preserve">traumatic brain injury (TBI) </w:t>
            </w:r>
            <w:r w:rsidRPr="00920DFF">
              <w:t>examination report review</w:t>
            </w:r>
          </w:p>
          <w:p w14:paraId="4D7D2362" w14:textId="36FA813E" w:rsidR="00B72EA6" w:rsidRPr="00920DFF" w:rsidRDefault="00B72EA6" w:rsidP="007F3B8F">
            <w:pPr>
              <w:pStyle w:val="ListParagraph"/>
              <w:ind w:left="158"/>
            </w:pPr>
          </w:p>
        </w:tc>
      </w:tr>
    </w:tbl>
    <w:p w14:paraId="61134627" w14:textId="77777777" w:rsidR="00B72EA6" w:rsidRPr="00920DFF" w:rsidRDefault="00B72EA6" w:rsidP="00B72EA6">
      <w:pPr>
        <w:tabs>
          <w:tab w:val="left" w:pos="9360"/>
        </w:tabs>
        <w:ind w:left="1714"/>
      </w:pPr>
      <w:r w:rsidRPr="00920DFF">
        <w:rPr>
          <w:u w:val="single"/>
        </w:rPr>
        <w:tab/>
      </w:r>
    </w:p>
    <w:p w14:paraId="3B773330" w14:textId="77777777" w:rsidR="00B72EA6" w:rsidRPr="00920DFF" w:rsidRDefault="00B72EA6" w:rsidP="00B72E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2EA6" w:rsidRPr="00920DFF" w14:paraId="56789F8C" w14:textId="77777777" w:rsidTr="00AB62AD">
        <w:tc>
          <w:tcPr>
            <w:tcW w:w="1728" w:type="dxa"/>
            <w:shd w:val="clear" w:color="auto" w:fill="auto"/>
          </w:tcPr>
          <w:p w14:paraId="66F39D4A" w14:textId="77777777" w:rsidR="00B72EA6" w:rsidRPr="00920DFF" w:rsidRDefault="00B72EA6" w:rsidP="00B72EA6">
            <w:pPr>
              <w:outlineLvl w:val="4"/>
              <w:rPr>
                <w:b/>
                <w:sz w:val="22"/>
                <w:szCs w:val="20"/>
              </w:rPr>
            </w:pPr>
            <w:r w:rsidRPr="00920DFF">
              <w:rPr>
                <w:b/>
                <w:sz w:val="22"/>
                <w:szCs w:val="20"/>
              </w:rPr>
              <w:t>Change Date</w:t>
            </w:r>
          </w:p>
        </w:tc>
        <w:tc>
          <w:tcPr>
            <w:tcW w:w="7740" w:type="dxa"/>
            <w:shd w:val="clear" w:color="auto" w:fill="auto"/>
          </w:tcPr>
          <w:p w14:paraId="2AE60C75" w14:textId="1E30B0B3" w:rsidR="00B72EA6" w:rsidRPr="00920DFF" w:rsidRDefault="00AC79DD" w:rsidP="00B72EA6">
            <w:r w:rsidRPr="00920DFF">
              <w:t>July 22, 2015</w:t>
            </w:r>
          </w:p>
        </w:tc>
      </w:tr>
    </w:tbl>
    <w:p w14:paraId="6C8D9CCB" w14:textId="77777777" w:rsidR="00B72EA6" w:rsidRPr="00920DFF" w:rsidRDefault="00B72EA6" w:rsidP="00B72EA6">
      <w:pPr>
        <w:tabs>
          <w:tab w:val="left" w:pos="9360"/>
        </w:tabs>
        <w:ind w:left="1714"/>
      </w:pPr>
      <w:r w:rsidRPr="00920DFF">
        <w:rPr>
          <w:u w:val="single"/>
        </w:rPr>
        <w:tab/>
      </w:r>
    </w:p>
    <w:p w14:paraId="718ED18F" w14:textId="77777777" w:rsidR="00D2646A" w:rsidRPr="00920DFF" w:rsidRDefault="00D2646A" w:rsidP="004561A1">
      <w:pPr>
        <w:tabs>
          <w:tab w:val="left" w:pos="9360"/>
        </w:tabs>
        <w:ind w:left="1714"/>
        <w:rPr>
          <w:rFonts w:eastAsiaTheme="minorHAnsi" w:cstheme="minorBidi"/>
          <w:color w:val="auto"/>
          <w:szCs w:val="22"/>
        </w:rPr>
      </w:pPr>
      <w:bookmarkStart w:id="28" w:name="_Examples_of_Insuffient"/>
      <w:bookmarkStart w:id="29" w:name="_DBQs_Not_Approved"/>
      <w:bookmarkEnd w:id="28"/>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75DBC" w:rsidRPr="00920DFF" w14:paraId="7CFA53F0" w14:textId="77777777" w:rsidTr="00AB62AD">
        <w:tc>
          <w:tcPr>
            <w:tcW w:w="1728" w:type="dxa"/>
            <w:shd w:val="clear" w:color="auto" w:fill="auto"/>
          </w:tcPr>
          <w:p w14:paraId="4D234E29" w14:textId="78266050" w:rsidR="00975DBC" w:rsidRPr="00920DFF" w:rsidRDefault="004561A1" w:rsidP="00AB62AD">
            <w:pPr>
              <w:pStyle w:val="Heading5"/>
              <w:rPr>
                <w:rFonts w:eastAsiaTheme="minorHAnsi"/>
              </w:rPr>
            </w:pPr>
            <w:bookmarkStart w:id="30" w:name="_ACE_Examination_Report"/>
            <w:bookmarkStart w:id="31" w:name="_Bruxism__Examination"/>
            <w:bookmarkEnd w:id="30"/>
            <w:bookmarkEnd w:id="31"/>
            <w:proofErr w:type="gramStart"/>
            <w:r w:rsidRPr="00920DFF">
              <w:rPr>
                <w:rFonts w:eastAsiaTheme="minorHAnsi"/>
              </w:rPr>
              <w:t>a</w:t>
            </w:r>
            <w:r w:rsidR="0005763F" w:rsidRPr="00920DFF">
              <w:rPr>
                <w:rFonts w:eastAsiaTheme="minorHAnsi"/>
              </w:rPr>
              <w:t xml:space="preserve">.  </w:t>
            </w:r>
            <w:r w:rsidR="00975DBC" w:rsidRPr="00920DFF">
              <w:rPr>
                <w:rFonts w:eastAsiaTheme="minorHAnsi"/>
              </w:rPr>
              <w:t>Bruxism</w:t>
            </w:r>
            <w:proofErr w:type="gramEnd"/>
            <w:r w:rsidR="00C22FF3" w:rsidRPr="00920DFF">
              <w:rPr>
                <w:rFonts w:eastAsiaTheme="minorHAnsi"/>
              </w:rPr>
              <w:t xml:space="preserve"> Examination Report Review</w:t>
            </w:r>
          </w:p>
        </w:tc>
        <w:tc>
          <w:tcPr>
            <w:tcW w:w="7740" w:type="dxa"/>
            <w:shd w:val="clear" w:color="auto" w:fill="auto"/>
          </w:tcPr>
          <w:p w14:paraId="5E7A5A6D" w14:textId="36FA434E" w:rsidR="00975DBC" w:rsidRPr="00920DFF" w:rsidRDefault="00975DBC" w:rsidP="00AB62AD">
            <w:pPr>
              <w:rPr>
                <w:rFonts w:eastAsiaTheme="minorHAnsi" w:cstheme="minorBidi"/>
                <w:color w:val="auto"/>
                <w:szCs w:val="22"/>
              </w:rPr>
            </w:pPr>
            <w:r w:rsidRPr="00920DFF">
              <w:rPr>
                <w:rFonts w:eastAsiaTheme="minorHAnsi" w:cstheme="minorBidi"/>
                <w:color w:val="auto"/>
                <w:szCs w:val="22"/>
              </w:rPr>
              <w:t>Bruxism is defined as excessive grinding of the teeth and/or e</w:t>
            </w:r>
            <w:r w:rsidR="000E53A8" w:rsidRPr="00920DFF">
              <w:rPr>
                <w:rFonts w:eastAsiaTheme="minorHAnsi" w:cstheme="minorBidi"/>
                <w:color w:val="auto"/>
                <w:szCs w:val="22"/>
              </w:rPr>
              <w:t>xcessive clenching of the jaw.</w:t>
            </w:r>
            <w:r w:rsidRPr="00920DFF">
              <w:rPr>
                <w:rFonts w:eastAsiaTheme="minorHAnsi" w:cstheme="minorBidi"/>
                <w:color w:val="auto"/>
                <w:szCs w:val="22"/>
              </w:rPr>
              <w:t xml:space="preserve"> </w:t>
            </w:r>
          </w:p>
          <w:p w14:paraId="16EBF825" w14:textId="77777777" w:rsidR="00975DBC" w:rsidRPr="00920DFF" w:rsidRDefault="00975DBC" w:rsidP="00AB62AD">
            <w:pPr>
              <w:rPr>
                <w:rFonts w:eastAsiaTheme="minorHAnsi" w:cstheme="minorBidi"/>
                <w:color w:val="auto"/>
                <w:szCs w:val="22"/>
              </w:rPr>
            </w:pPr>
          </w:p>
          <w:p w14:paraId="759B502C" w14:textId="4E5F46A5" w:rsidR="00975DBC" w:rsidRPr="00920DFF" w:rsidRDefault="00975DBC" w:rsidP="00AB62AD">
            <w:pPr>
              <w:rPr>
                <w:rFonts w:eastAsiaTheme="minorHAnsi" w:cstheme="minorBidi"/>
                <w:color w:val="auto"/>
                <w:szCs w:val="22"/>
              </w:rPr>
            </w:pPr>
            <w:r w:rsidRPr="00920DFF">
              <w:rPr>
                <w:rFonts w:eastAsiaTheme="minorHAnsi" w:cstheme="minorBidi"/>
                <w:color w:val="auto"/>
                <w:szCs w:val="22"/>
              </w:rPr>
              <w:t>Bruxism may not be rated as a stand-alone service-connected disability.  However, it may be considered on a secondary basis as a symptom of a service-connected disability</w:t>
            </w:r>
            <w:r w:rsidR="000E53A8" w:rsidRPr="00920DFF">
              <w:rPr>
                <w:rFonts w:eastAsiaTheme="minorHAnsi" w:cstheme="minorBidi"/>
                <w:color w:val="auto"/>
                <w:szCs w:val="22"/>
              </w:rPr>
              <w:t xml:space="preserve">, such as an anxiety disorder, TMJ dysfunction, or another disability </w:t>
            </w:r>
            <w:r w:rsidRPr="00920DFF">
              <w:rPr>
                <w:rFonts w:eastAsiaTheme="minorHAnsi" w:cstheme="minorBidi"/>
                <w:color w:val="auto"/>
                <w:szCs w:val="22"/>
              </w:rPr>
              <w:t>for rating purposes.</w:t>
            </w:r>
          </w:p>
          <w:p w14:paraId="625F92AE" w14:textId="77777777" w:rsidR="00975DBC" w:rsidRPr="00920DFF" w:rsidRDefault="00975DBC" w:rsidP="00AB62AD">
            <w:pPr>
              <w:rPr>
                <w:rFonts w:eastAsiaTheme="minorHAnsi" w:cstheme="minorBidi"/>
                <w:color w:val="auto"/>
                <w:szCs w:val="22"/>
              </w:rPr>
            </w:pPr>
          </w:p>
          <w:p w14:paraId="4418C29A" w14:textId="77777777" w:rsidR="00975DBC" w:rsidRPr="00920DFF" w:rsidRDefault="00975DBC" w:rsidP="000E53A8">
            <w:pPr>
              <w:rPr>
                <w:rFonts w:eastAsiaTheme="minorHAnsi" w:cstheme="minorBidi"/>
                <w:color w:val="auto"/>
                <w:szCs w:val="22"/>
              </w:rPr>
            </w:pPr>
            <w:r w:rsidRPr="00920DFF">
              <w:rPr>
                <w:rFonts w:eastAsiaTheme="minorHAnsi" w:cstheme="minorBidi"/>
                <w:color w:val="auto"/>
                <w:szCs w:val="22"/>
              </w:rPr>
              <w:t xml:space="preserve"> If an examination report diagnoses bruxism, the</w:t>
            </w:r>
            <w:r w:rsidR="000E53A8" w:rsidRPr="00920DFF">
              <w:rPr>
                <w:rFonts w:eastAsiaTheme="minorHAnsi" w:cstheme="minorBidi"/>
                <w:color w:val="auto"/>
                <w:szCs w:val="22"/>
              </w:rPr>
              <w:t>n the examiner</w:t>
            </w:r>
            <w:r w:rsidRPr="00920DFF">
              <w:rPr>
                <w:rFonts w:eastAsiaTheme="minorHAnsi" w:cstheme="minorBidi"/>
                <w:color w:val="auto"/>
                <w:szCs w:val="22"/>
              </w:rPr>
              <w:t xml:space="preserve"> </w:t>
            </w:r>
            <w:r w:rsidR="00DB7081" w:rsidRPr="00920DFF">
              <w:rPr>
                <w:rFonts w:eastAsiaTheme="minorHAnsi" w:cstheme="minorBidi"/>
                <w:color w:val="auto"/>
                <w:szCs w:val="22"/>
              </w:rPr>
              <w:t xml:space="preserve">has to </w:t>
            </w:r>
            <w:r w:rsidRPr="00920DFF">
              <w:rPr>
                <w:rFonts w:eastAsiaTheme="minorHAnsi" w:cstheme="minorBidi"/>
                <w:color w:val="auto"/>
                <w:szCs w:val="22"/>
              </w:rPr>
              <w:t>provide the etiology of bruxism.</w:t>
            </w:r>
          </w:p>
          <w:p w14:paraId="04EE78F2" w14:textId="77777777" w:rsidR="00CC40DA" w:rsidRPr="00920DFF" w:rsidRDefault="00CC40DA" w:rsidP="000E53A8">
            <w:pPr>
              <w:rPr>
                <w:rFonts w:eastAsiaTheme="minorHAnsi" w:cstheme="minorBidi"/>
                <w:color w:val="auto"/>
                <w:szCs w:val="22"/>
              </w:rPr>
            </w:pPr>
          </w:p>
          <w:p w14:paraId="078B103B" w14:textId="389727A7" w:rsidR="00CC40DA" w:rsidRPr="00920DFF" w:rsidRDefault="00CC40DA" w:rsidP="000E53A8">
            <w:pPr>
              <w:rPr>
                <w:rFonts w:eastAsiaTheme="minorHAnsi" w:cstheme="minorBidi"/>
                <w:color w:val="auto"/>
                <w:szCs w:val="22"/>
              </w:rPr>
            </w:pPr>
            <w:r w:rsidRPr="00920DFF">
              <w:rPr>
                <w:rFonts w:eastAsiaTheme="minorHAnsi" w:cstheme="minorBidi"/>
                <w:b/>
                <w:i/>
                <w:color w:val="auto"/>
                <w:szCs w:val="22"/>
              </w:rPr>
              <w:t>Reference</w:t>
            </w:r>
            <w:r w:rsidRPr="00920DFF">
              <w:rPr>
                <w:rFonts w:eastAsiaTheme="minorHAnsi" w:cstheme="minorBidi"/>
                <w:color w:val="auto"/>
                <w:szCs w:val="22"/>
              </w:rPr>
              <w:t>:  For information on processing dental claims, see M21-1, Part III, Subpart v, 7.C.</w:t>
            </w:r>
          </w:p>
        </w:tc>
      </w:tr>
    </w:tbl>
    <w:p w14:paraId="7DE3C3BF" w14:textId="6AC6B01B" w:rsidR="00975DBC" w:rsidRPr="00920DFF" w:rsidRDefault="00975DBC" w:rsidP="00975DBC">
      <w:pPr>
        <w:tabs>
          <w:tab w:val="left" w:pos="9360"/>
        </w:tabs>
        <w:ind w:left="1714"/>
      </w:pPr>
      <w:r w:rsidRPr="00920DFF">
        <w:rPr>
          <w:u w:val="single"/>
        </w:rPr>
        <w:tab/>
      </w:r>
    </w:p>
    <w:p w14:paraId="2E2288B8" w14:textId="77777777" w:rsidR="00975DBC" w:rsidRPr="00920DFF" w:rsidRDefault="00975DBC" w:rsidP="00B72EA6"/>
    <w:tbl>
      <w:tblPr>
        <w:tblStyle w:val="TableGrid"/>
        <w:tblW w:w="0" w:type="auto"/>
        <w:tblLook w:val="04A0" w:firstRow="1" w:lastRow="0" w:firstColumn="1" w:lastColumn="0" w:noHBand="0" w:noVBand="1"/>
      </w:tblPr>
      <w:tblGrid>
        <w:gridCol w:w="1728"/>
        <w:gridCol w:w="7740"/>
      </w:tblGrid>
      <w:tr w:rsidR="007A0E4E" w:rsidRPr="00920DFF" w14:paraId="7BD78769" w14:textId="77777777" w:rsidTr="00C23C37">
        <w:tc>
          <w:tcPr>
            <w:tcW w:w="1728" w:type="dxa"/>
            <w:shd w:val="clear" w:color="auto" w:fill="auto"/>
          </w:tcPr>
          <w:p w14:paraId="08F86BE8" w14:textId="7349E4C1" w:rsidR="007A0E4E" w:rsidRPr="00920DFF" w:rsidRDefault="004561A1" w:rsidP="00C22FF3">
            <w:pPr>
              <w:pStyle w:val="Heading5"/>
            </w:pPr>
            <w:bookmarkStart w:id="32" w:name="_.__Eye"/>
            <w:bookmarkEnd w:id="32"/>
            <w:r w:rsidRPr="00920DFF">
              <w:t>b</w:t>
            </w:r>
            <w:r w:rsidR="007A0E4E" w:rsidRPr="00920DFF">
              <w:t>.  Eye</w:t>
            </w:r>
            <w:r w:rsidR="00C22FF3" w:rsidRPr="00920DFF">
              <w:rPr>
                <w:rFonts w:eastAsiaTheme="minorHAnsi"/>
              </w:rPr>
              <w:t xml:space="preserve"> Examination Report Review</w:t>
            </w:r>
          </w:p>
        </w:tc>
        <w:tc>
          <w:tcPr>
            <w:tcW w:w="7740" w:type="dxa"/>
            <w:shd w:val="clear" w:color="auto" w:fill="auto"/>
          </w:tcPr>
          <w:p w14:paraId="3711C2BF" w14:textId="77777777" w:rsidR="00AE6A1D" w:rsidRPr="00920DFF" w:rsidRDefault="00DC026C" w:rsidP="00C23C37">
            <w:pPr>
              <w:rPr>
                <w:color w:val="auto"/>
                <w:szCs w:val="20"/>
              </w:rPr>
            </w:pPr>
            <w:r w:rsidRPr="00920DFF">
              <w:rPr>
                <w:color w:val="auto"/>
                <w:szCs w:val="20"/>
              </w:rPr>
              <w:t>E</w:t>
            </w:r>
            <w:r w:rsidR="007A0E4E" w:rsidRPr="00920DFF">
              <w:rPr>
                <w:color w:val="auto"/>
                <w:szCs w:val="20"/>
              </w:rPr>
              <w:t xml:space="preserve">xaminers must perform visual field testing using either </w:t>
            </w:r>
          </w:p>
          <w:p w14:paraId="37E8EE03" w14:textId="77777777" w:rsidR="00AE6A1D" w:rsidRPr="00920DFF" w:rsidRDefault="00AE6A1D" w:rsidP="00C23C37">
            <w:pPr>
              <w:rPr>
                <w:color w:val="auto"/>
                <w:szCs w:val="20"/>
              </w:rPr>
            </w:pPr>
          </w:p>
          <w:p w14:paraId="71539A2F" w14:textId="77777777" w:rsidR="00AE6A1D" w:rsidRPr="00920DFF" w:rsidRDefault="007A0E4E" w:rsidP="007633DD">
            <w:pPr>
              <w:pStyle w:val="ListParagraph"/>
              <w:numPr>
                <w:ilvl w:val="0"/>
                <w:numId w:val="68"/>
              </w:numPr>
              <w:ind w:left="158" w:hanging="187"/>
            </w:pPr>
            <w:r w:rsidRPr="00920DFF">
              <w:t>Goldmann kinetic perimetry</w:t>
            </w:r>
          </w:p>
          <w:p w14:paraId="1ADFC0C2" w14:textId="77777777" w:rsidR="00AE6A1D" w:rsidRPr="00920DFF" w:rsidRDefault="007A0E4E" w:rsidP="007633DD">
            <w:pPr>
              <w:pStyle w:val="ListParagraph"/>
              <w:numPr>
                <w:ilvl w:val="0"/>
                <w:numId w:val="68"/>
              </w:numPr>
              <w:ind w:left="158" w:hanging="187"/>
            </w:pPr>
            <w:r w:rsidRPr="00920DFF">
              <w:t xml:space="preserve">automated perimetry using Humphrey Model 750, Octopus Model 101, </w:t>
            </w:r>
            <w:r w:rsidRPr="00920DFF">
              <w:rPr>
                <w:b/>
                <w:i/>
              </w:rPr>
              <w:t>or</w:t>
            </w:r>
          </w:p>
          <w:p w14:paraId="4623F36C" w14:textId="3B8D3F53" w:rsidR="00DC026C" w:rsidRPr="00920DFF" w:rsidRDefault="007A0E4E" w:rsidP="007633DD">
            <w:pPr>
              <w:pStyle w:val="ListParagraph"/>
              <w:numPr>
                <w:ilvl w:val="0"/>
                <w:numId w:val="68"/>
              </w:numPr>
              <w:ind w:left="158" w:hanging="187"/>
            </w:pPr>
            <w:r w:rsidRPr="00920DFF">
              <w:t xml:space="preserve">later versions of these perimetric devices with simulated kinetic Goldmann testing capability. </w:t>
            </w:r>
          </w:p>
          <w:p w14:paraId="4C319843" w14:textId="77777777" w:rsidR="007A0E4E" w:rsidRPr="00920DFF" w:rsidRDefault="007A0E4E" w:rsidP="00C23C37">
            <w:pPr>
              <w:rPr>
                <w:color w:val="auto"/>
                <w:szCs w:val="20"/>
              </w:rPr>
            </w:pPr>
          </w:p>
          <w:p w14:paraId="16A5D6E6" w14:textId="16C09CB0" w:rsidR="00DC026C" w:rsidRPr="00920DFF" w:rsidRDefault="00DC026C" w:rsidP="00C23C37">
            <w:r w:rsidRPr="00920DFF">
              <w:rPr>
                <w:color w:val="auto"/>
                <w:szCs w:val="20"/>
              </w:rPr>
              <w:t xml:space="preserve">If the examination was not performed using the proper testing method </w:t>
            </w:r>
            <w:r w:rsidR="00AE6A1D" w:rsidRPr="00920DFF">
              <w:t>or</w:t>
            </w:r>
            <w:r w:rsidRPr="00920DFF">
              <w:t xml:space="preserve"> the results are not properly recorded on a standard </w:t>
            </w:r>
            <w:r w:rsidR="00A30738" w:rsidRPr="00920DFF">
              <w:t>Goldmann</w:t>
            </w:r>
            <w:r w:rsidRPr="00920DFF">
              <w:t xml:space="preserve"> chart as specified in the regulation, then the exam should be returned as insufficient.</w:t>
            </w:r>
          </w:p>
          <w:p w14:paraId="2ED44CF9" w14:textId="77777777" w:rsidR="00DC026C" w:rsidRPr="00920DFF" w:rsidRDefault="00DC026C" w:rsidP="00C23C37">
            <w:pPr>
              <w:rPr>
                <w:color w:val="auto"/>
                <w:szCs w:val="20"/>
              </w:rPr>
            </w:pPr>
          </w:p>
          <w:p w14:paraId="25AB29E5" w14:textId="6CF54CAB" w:rsidR="007A0E4E" w:rsidRPr="00920DFF" w:rsidRDefault="007A0E4E" w:rsidP="00C23C37">
            <w:pPr>
              <w:rPr>
                <w:color w:val="auto"/>
                <w:szCs w:val="20"/>
              </w:rPr>
            </w:pPr>
            <w:r w:rsidRPr="00920DFF">
              <w:rPr>
                <w:b/>
                <w:i/>
                <w:color w:val="auto"/>
                <w:szCs w:val="20"/>
              </w:rPr>
              <w:t>Reference</w:t>
            </w:r>
            <w:r w:rsidRPr="00920DFF">
              <w:rPr>
                <w:color w:val="auto"/>
                <w:szCs w:val="20"/>
              </w:rPr>
              <w:t>:</w:t>
            </w:r>
            <w:r w:rsidR="00327302" w:rsidRPr="00920DFF">
              <w:rPr>
                <w:color w:val="auto"/>
                <w:szCs w:val="20"/>
              </w:rPr>
              <w:t xml:space="preserve"> </w:t>
            </w:r>
            <w:r w:rsidRPr="00920DFF">
              <w:rPr>
                <w:color w:val="auto"/>
                <w:szCs w:val="20"/>
              </w:rPr>
              <w:t xml:space="preserve"> For more information about eye conditions, see </w:t>
            </w:r>
          </w:p>
          <w:p w14:paraId="3272EAB8" w14:textId="77777777" w:rsidR="007A0E4E" w:rsidRPr="00920DFF" w:rsidRDefault="007A0E4E" w:rsidP="007633DD">
            <w:pPr>
              <w:pStyle w:val="ListParagraph"/>
              <w:numPr>
                <w:ilvl w:val="0"/>
                <w:numId w:val="15"/>
              </w:numPr>
              <w:ind w:left="158" w:hanging="187"/>
            </w:pPr>
            <w:r w:rsidRPr="00920DFF">
              <w:t>M21-1, Part III, Subpart iv, 4.B.1</w:t>
            </w:r>
          </w:p>
          <w:p w14:paraId="7DA354FB" w14:textId="77777777" w:rsidR="007A0E4E" w:rsidRPr="00920DFF" w:rsidRDefault="00920DFF" w:rsidP="007633DD">
            <w:pPr>
              <w:pStyle w:val="ListParagraph"/>
              <w:numPr>
                <w:ilvl w:val="0"/>
                <w:numId w:val="15"/>
              </w:numPr>
              <w:ind w:left="158" w:hanging="187"/>
              <w:rPr>
                <w:rStyle w:val="Hyperlink"/>
                <w:color w:val="000000"/>
                <w:u w:val="none"/>
              </w:rPr>
            </w:pPr>
            <w:hyperlink r:id="rId34" w:history="1">
              <w:r w:rsidR="007A0E4E" w:rsidRPr="00920DFF">
                <w:rPr>
                  <w:rStyle w:val="Hyperlink"/>
                </w:rPr>
                <w:t>38 CFR 4.76(b)(3)</w:t>
              </w:r>
            </w:hyperlink>
          </w:p>
          <w:p w14:paraId="7E000D9A" w14:textId="77777777" w:rsidR="007A0E4E" w:rsidRPr="00920DFF" w:rsidRDefault="00920DFF" w:rsidP="007633DD">
            <w:pPr>
              <w:pStyle w:val="ListParagraph"/>
              <w:numPr>
                <w:ilvl w:val="0"/>
                <w:numId w:val="15"/>
              </w:numPr>
              <w:ind w:left="158" w:hanging="187"/>
              <w:rPr>
                <w:rStyle w:val="Hyperlink"/>
                <w:color w:val="auto"/>
                <w:u w:val="none"/>
              </w:rPr>
            </w:pPr>
            <w:hyperlink r:id="rId35" w:history="1">
              <w:r w:rsidR="007A0E4E" w:rsidRPr="00920DFF">
                <w:rPr>
                  <w:rStyle w:val="Hyperlink"/>
                </w:rPr>
                <w:t>38 CFR 4.77</w:t>
              </w:r>
            </w:hyperlink>
            <w:r w:rsidR="007A0E4E" w:rsidRPr="00920DFF">
              <w:rPr>
                <w:rStyle w:val="Hyperlink"/>
                <w:color w:val="auto"/>
                <w:u w:val="none"/>
              </w:rPr>
              <w:t>, and</w:t>
            </w:r>
          </w:p>
          <w:p w14:paraId="6316C6DA" w14:textId="77777777" w:rsidR="007A0E4E" w:rsidRPr="00920DFF" w:rsidRDefault="00920DFF" w:rsidP="007633DD">
            <w:pPr>
              <w:pStyle w:val="ListParagraph"/>
              <w:numPr>
                <w:ilvl w:val="0"/>
                <w:numId w:val="25"/>
              </w:numPr>
              <w:ind w:left="158" w:hanging="187"/>
            </w:pPr>
            <w:hyperlink r:id="rId36" w:history="1">
              <w:r w:rsidR="007A0E4E" w:rsidRPr="00920DFF">
                <w:rPr>
                  <w:rStyle w:val="Hyperlink"/>
                </w:rPr>
                <w:t>38 CFR 4.79</w:t>
              </w:r>
            </w:hyperlink>
            <w:r w:rsidR="007A0E4E" w:rsidRPr="00920DFF">
              <w:t>.</w:t>
            </w:r>
          </w:p>
        </w:tc>
      </w:tr>
    </w:tbl>
    <w:p w14:paraId="6F4A222B" w14:textId="2199C4E0" w:rsidR="007A0E4E" w:rsidRPr="00920DFF" w:rsidRDefault="007A0E4E" w:rsidP="007A0E4E">
      <w:pPr>
        <w:tabs>
          <w:tab w:val="left" w:pos="9360"/>
        </w:tabs>
        <w:ind w:left="1714"/>
      </w:pPr>
      <w:r w:rsidRPr="00920DFF">
        <w:rPr>
          <w:u w:val="single"/>
        </w:rPr>
        <w:tab/>
      </w:r>
    </w:p>
    <w:p w14:paraId="0A0DD0B3" w14:textId="77777777" w:rsidR="007A0E4E" w:rsidRPr="00920DFF" w:rsidRDefault="007A0E4E" w:rsidP="00B72EA6"/>
    <w:tbl>
      <w:tblPr>
        <w:tblStyle w:val="TableGrid"/>
        <w:tblW w:w="0" w:type="auto"/>
        <w:tblLook w:val="04A0" w:firstRow="1" w:lastRow="0" w:firstColumn="1" w:lastColumn="0" w:noHBand="0" w:noVBand="1"/>
      </w:tblPr>
      <w:tblGrid>
        <w:gridCol w:w="1728"/>
        <w:gridCol w:w="7740"/>
      </w:tblGrid>
      <w:tr w:rsidR="0023660A" w:rsidRPr="00920DFF" w14:paraId="79869C51" w14:textId="77777777" w:rsidTr="00C23C37">
        <w:tc>
          <w:tcPr>
            <w:tcW w:w="1728" w:type="dxa"/>
            <w:shd w:val="clear" w:color="auto" w:fill="auto"/>
          </w:tcPr>
          <w:p w14:paraId="4889C271" w14:textId="74D9BE84" w:rsidR="0023660A" w:rsidRPr="00920DFF" w:rsidRDefault="004561A1" w:rsidP="00C22FF3">
            <w:pPr>
              <w:pStyle w:val="Heading5"/>
            </w:pPr>
            <w:bookmarkStart w:id="33" w:name="_.__Headache"/>
            <w:bookmarkEnd w:id="33"/>
            <w:r w:rsidRPr="00920DFF">
              <w:t>c</w:t>
            </w:r>
            <w:r w:rsidR="00C22FF3" w:rsidRPr="00920DFF">
              <w:t>.  Headache</w:t>
            </w:r>
            <w:r w:rsidR="00C22FF3" w:rsidRPr="00920DFF">
              <w:rPr>
                <w:rFonts w:eastAsiaTheme="minorHAnsi"/>
              </w:rPr>
              <w:t xml:space="preserve"> Examination Report Review</w:t>
            </w:r>
          </w:p>
        </w:tc>
        <w:tc>
          <w:tcPr>
            <w:tcW w:w="7740" w:type="dxa"/>
            <w:shd w:val="clear" w:color="auto" w:fill="auto"/>
          </w:tcPr>
          <w:p w14:paraId="67F54F8D" w14:textId="2BA572A0" w:rsidR="0023660A" w:rsidRPr="00920DFF" w:rsidRDefault="00B52CC4" w:rsidP="00C23C37">
            <w:pPr>
              <w:rPr>
                <w:color w:val="auto"/>
                <w:szCs w:val="20"/>
              </w:rPr>
            </w:pPr>
            <w:r w:rsidRPr="00920DFF">
              <w:rPr>
                <w:color w:val="auto"/>
                <w:szCs w:val="20"/>
              </w:rPr>
              <w:t>A n</w:t>
            </w:r>
            <w:r w:rsidR="0023660A" w:rsidRPr="00920DFF">
              <w:rPr>
                <w:color w:val="auto"/>
                <w:szCs w:val="20"/>
              </w:rPr>
              <w:t>euro</w:t>
            </w:r>
            <w:r w:rsidRPr="00920DFF">
              <w:rPr>
                <w:color w:val="auto"/>
                <w:szCs w:val="20"/>
              </w:rPr>
              <w:t>logical</w:t>
            </w:r>
            <w:r w:rsidR="0023660A" w:rsidRPr="00920DFF">
              <w:rPr>
                <w:color w:val="auto"/>
                <w:szCs w:val="20"/>
              </w:rPr>
              <w:t xml:space="preserve"> </w:t>
            </w:r>
            <w:r w:rsidRPr="00920DFF">
              <w:rPr>
                <w:color w:val="auto"/>
                <w:szCs w:val="20"/>
              </w:rPr>
              <w:t>h</w:t>
            </w:r>
            <w:r w:rsidR="0023660A" w:rsidRPr="00920DFF">
              <w:rPr>
                <w:color w:val="auto"/>
                <w:szCs w:val="20"/>
              </w:rPr>
              <w:t xml:space="preserve">eadache examination report will be considered insufficient if the frequency of prostrating headaches and whether the headaches are migraine-type or non-migraine type are not adequately addressed. </w:t>
            </w:r>
            <w:r w:rsidR="00171107" w:rsidRPr="00920DFF">
              <w:rPr>
                <w:color w:val="auto"/>
                <w:szCs w:val="20"/>
              </w:rPr>
              <w:t xml:space="preserve"> </w:t>
            </w:r>
            <w:r w:rsidR="0023660A" w:rsidRPr="00920DFF">
              <w:rPr>
                <w:color w:val="auto"/>
                <w:szCs w:val="20"/>
              </w:rPr>
              <w:t>These examination reports require clear indication of the frequency of prostrating headaches and whether the headaches are migraine or non-migraine.</w:t>
            </w:r>
          </w:p>
          <w:p w14:paraId="48F9C0A5" w14:textId="77777777" w:rsidR="0023660A" w:rsidRPr="00920DFF" w:rsidRDefault="0023660A" w:rsidP="00C23C37">
            <w:pPr>
              <w:rPr>
                <w:color w:val="auto"/>
                <w:szCs w:val="20"/>
              </w:rPr>
            </w:pPr>
          </w:p>
          <w:p w14:paraId="30604D6A" w14:textId="073A187E" w:rsidR="0023660A" w:rsidRPr="00920DFF" w:rsidRDefault="0023660A" w:rsidP="00C23C37">
            <w:pPr>
              <w:rPr>
                <w:color w:val="auto"/>
                <w:szCs w:val="20"/>
              </w:rPr>
            </w:pPr>
            <w:r w:rsidRPr="00920DFF">
              <w:rPr>
                <w:b/>
                <w:i/>
                <w:color w:val="auto"/>
                <w:szCs w:val="20"/>
              </w:rPr>
              <w:t>Reference</w:t>
            </w:r>
            <w:r w:rsidRPr="00920DFF">
              <w:rPr>
                <w:color w:val="auto"/>
                <w:szCs w:val="20"/>
              </w:rPr>
              <w:t xml:space="preserve">: </w:t>
            </w:r>
            <w:r w:rsidR="00F85E9A" w:rsidRPr="00920DFF">
              <w:rPr>
                <w:color w:val="auto"/>
                <w:szCs w:val="20"/>
              </w:rPr>
              <w:t xml:space="preserve"> </w:t>
            </w:r>
            <w:r w:rsidRPr="00920DFF">
              <w:rPr>
                <w:color w:val="auto"/>
                <w:szCs w:val="20"/>
              </w:rPr>
              <w:t xml:space="preserve">For more information on rating migraines, see </w:t>
            </w:r>
            <w:hyperlink r:id="rId37" w:history="1">
              <w:r w:rsidRPr="00920DFF">
                <w:rPr>
                  <w:rStyle w:val="Hyperlink"/>
                  <w:szCs w:val="20"/>
                </w:rPr>
                <w:t>38 CFR 4.124a</w:t>
              </w:r>
            </w:hyperlink>
            <w:r w:rsidR="00EA0C3D" w:rsidRPr="00920DFF">
              <w:rPr>
                <w:rStyle w:val="Hyperlink"/>
                <w:szCs w:val="20"/>
              </w:rPr>
              <w:t>.</w:t>
            </w:r>
          </w:p>
        </w:tc>
      </w:tr>
    </w:tbl>
    <w:p w14:paraId="3C27D433" w14:textId="77777777" w:rsidR="0023660A" w:rsidRPr="00920DFF" w:rsidRDefault="0023660A" w:rsidP="0023660A">
      <w:pPr>
        <w:tabs>
          <w:tab w:val="left" w:pos="9360"/>
        </w:tabs>
        <w:spacing w:line="276" w:lineRule="auto"/>
        <w:ind w:left="1714"/>
        <w:rPr>
          <w:rFonts w:eastAsiaTheme="minorHAnsi" w:cstheme="minorBidi"/>
          <w:color w:val="auto"/>
          <w:szCs w:val="22"/>
        </w:rPr>
      </w:pPr>
      <w:r w:rsidRPr="00920DFF">
        <w:rPr>
          <w:rFonts w:eastAsiaTheme="minorHAnsi" w:cstheme="minorBidi"/>
          <w:color w:val="auto"/>
          <w:szCs w:val="22"/>
          <w:u w:val="single"/>
        </w:rPr>
        <w:tab/>
      </w:r>
    </w:p>
    <w:p w14:paraId="3EC79081" w14:textId="77777777" w:rsidR="0023660A" w:rsidRPr="00920DFF" w:rsidRDefault="0023660A" w:rsidP="00B72E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2EA6" w:rsidRPr="00920DFF" w14:paraId="2EA8EC1E" w14:textId="77777777" w:rsidTr="00AB62AD">
        <w:tc>
          <w:tcPr>
            <w:tcW w:w="1728" w:type="dxa"/>
            <w:shd w:val="clear" w:color="auto" w:fill="auto"/>
          </w:tcPr>
          <w:p w14:paraId="1240EFFC" w14:textId="606EB846" w:rsidR="00B72EA6" w:rsidRPr="00920DFF" w:rsidRDefault="004561A1" w:rsidP="00C22FF3">
            <w:pPr>
              <w:pStyle w:val="Heading5"/>
            </w:pPr>
            <w:bookmarkStart w:id="34" w:name="_.__Hearing"/>
            <w:bookmarkEnd w:id="34"/>
            <w:r w:rsidRPr="00920DFF">
              <w:t>d</w:t>
            </w:r>
            <w:r w:rsidR="00B72EA6" w:rsidRPr="00920DFF">
              <w:t>.  Hearing Loss and Tinnitus</w:t>
            </w:r>
            <w:r w:rsidR="00C22FF3" w:rsidRPr="00920DFF">
              <w:rPr>
                <w:rFonts w:eastAsiaTheme="minorHAnsi"/>
              </w:rPr>
              <w:t xml:space="preserve"> Examination Report Review</w:t>
            </w:r>
          </w:p>
        </w:tc>
        <w:tc>
          <w:tcPr>
            <w:tcW w:w="7740" w:type="dxa"/>
            <w:shd w:val="clear" w:color="auto" w:fill="auto"/>
          </w:tcPr>
          <w:p w14:paraId="7B39D9FF" w14:textId="1FC56E54" w:rsidR="00C30606" w:rsidRPr="00920DFF" w:rsidRDefault="00EF6998" w:rsidP="00B72EA6">
            <w:pPr>
              <w:ind w:left="-14"/>
              <w:rPr>
                <w:color w:val="auto"/>
                <w:szCs w:val="20"/>
              </w:rPr>
            </w:pPr>
            <w:r w:rsidRPr="00920DFF">
              <w:rPr>
                <w:color w:val="auto"/>
                <w:szCs w:val="20"/>
              </w:rPr>
              <w:t>A hearing loss and tinnitus</w:t>
            </w:r>
            <w:r w:rsidR="00B72EA6" w:rsidRPr="00920DFF">
              <w:rPr>
                <w:color w:val="auto"/>
                <w:szCs w:val="20"/>
              </w:rPr>
              <w:t xml:space="preserve"> examination may be considered insufficient if an opinion</w:t>
            </w:r>
            <w:r w:rsidRPr="00920DFF">
              <w:rPr>
                <w:color w:val="auto"/>
                <w:szCs w:val="20"/>
              </w:rPr>
              <w:t xml:space="preserve"> was requested by the RO and it</w:t>
            </w:r>
            <w:r w:rsidR="00B72EA6" w:rsidRPr="00920DFF">
              <w:rPr>
                <w:color w:val="auto"/>
                <w:szCs w:val="20"/>
              </w:rPr>
              <w:t xml:space="preserve"> is not provided</w:t>
            </w:r>
            <w:r w:rsidRPr="00920DFF">
              <w:rPr>
                <w:color w:val="auto"/>
                <w:szCs w:val="20"/>
              </w:rPr>
              <w:t xml:space="preserve"> in the report.</w:t>
            </w:r>
            <w:r w:rsidR="00B72EA6" w:rsidRPr="00920DFF">
              <w:rPr>
                <w:color w:val="auto"/>
                <w:szCs w:val="20"/>
              </w:rPr>
              <w:t xml:space="preserve"> </w:t>
            </w:r>
          </w:p>
          <w:p w14:paraId="70A048FA" w14:textId="77777777" w:rsidR="00C30606" w:rsidRPr="00920DFF" w:rsidRDefault="00C30606" w:rsidP="00B72EA6">
            <w:pPr>
              <w:ind w:left="-14"/>
              <w:rPr>
                <w:color w:val="auto"/>
                <w:szCs w:val="20"/>
              </w:rPr>
            </w:pPr>
          </w:p>
          <w:p w14:paraId="49D16777" w14:textId="463E3113" w:rsidR="00C30606" w:rsidRPr="00920DFF" w:rsidRDefault="00DB2BB1" w:rsidP="00B72EA6">
            <w:pPr>
              <w:ind w:left="-14"/>
              <w:rPr>
                <w:color w:val="auto"/>
                <w:szCs w:val="20"/>
              </w:rPr>
            </w:pPr>
            <w:r w:rsidRPr="00920DFF">
              <w:rPr>
                <w:color w:val="auto"/>
                <w:szCs w:val="20"/>
              </w:rPr>
              <w:t>Unus</w:t>
            </w:r>
            <w:r w:rsidR="004B01E9" w:rsidRPr="00920DFF">
              <w:rPr>
                <w:color w:val="auto"/>
                <w:szCs w:val="20"/>
              </w:rPr>
              <w:t>u</w:t>
            </w:r>
            <w:r w:rsidRPr="00920DFF">
              <w:rPr>
                <w:color w:val="auto"/>
                <w:szCs w:val="20"/>
              </w:rPr>
              <w:t>al</w:t>
            </w:r>
            <w:r w:rsidR="007A377C" w:rsidRPr="00920DFF">
              <w:rPr>
                <w:color w:val="auto"/>
                <w:szCs w:val="20"/>
              </w:rPr>
              <w:t xml:space="preserve"> circumstances may arise during the examination where the examiner will have to</w:t>
            </w:r>
          </w:p>
          <w:p w14:paraId="76CFB829" w14:textId="77777777" w:rsidR="00042FEF" w:rsidRPr="00920DFF" w:rsidRDefault="00042FEF" w:rsidP="00B72EA6">
            <w:pPr>
              <w:ind w:left="-14"/>
              <w:rPr>
                <w:color w:val="auto"/>
                <w:szCs w:val="20"/>
              </w:rPr>
            </w:pPr>
          </w:p>
          <w:p w14:paraId="5F92AF17" w14:textId="51DBF3D6" w:rsidR="00C30606" w:rsidRPr="00920DFF" w:rsidRDefault="007A377C" w:rsidP="007633DD">
            <w:pPr>
              <w:pStyle w:val="ListParagraph"/>
              <w:numPr>
                <w:ilvl w:val="0"/>
                <w:numId w:val="22"/>
              </w:numPr>
              <w:ind w:left="158" w:hanging="187"/>
            </w:pPr>
            <w:r w:rsidRPr="00920DFF">
              <w:t xml:space="preserve">state </w:t>
            </w:r>
            <w:r w:rsidR="00EF6998" w:rsidRPr="00920DFF">
              <w:t xml:space="preserve">if </w:t>
            </w:r>
            <w:r w:rsidR="00C30606" w:rsidRPr="00920DFF">
              <w:t xml:space="preserve">there </w:t>
            </w:r>
            <w:r w:rsidR="00232C70" w:rsidRPr="00920DFF">
              <w:t xml:space="preserve">are </w:t>
            </w:r>
            <w:r w:rsidR="00C30606" w:rsidRPr="00920DFF">
              <w:t>one or more frequency</w:t>
            </w:r>
            <w:r w:rsidR="00EF6998" w:rsidRPr="00920DFF">
              <w:t>(ies) that could not be tested</w:t>
            </w:r>
            <w:r w:rsidR="009C73EC" w:rsidRPr="00920DFF">
              <w:t xml:space="preserve"> (CNT)</w:t>
            </w:r>
            <w:r w:rsidR="00C30606" w:rsidRPr="00920DFF">
              <w:t xml:space="preserve"> </w:t>
            </w:r>
            <w:r w:rsidRPr="00920DFF">
              <w:t xml:space="preserve">and </w:t>
            </w:r>
            <w:r w:rsidR="00C30606" w:rsidRPr="00920DFF">
              <w:t>enter CNT in the box for frequency(ies) that could not be tested</w:t>
            </w:r>
            <w:r w:rsidRPr="00920DFF">
              <w:t>.</w:t>
            </w:r>
            <w:r w:rsidR="00CB2F7C" w:rsidRPr="00920DFF">
              <w:t xml:space="preserve"> </w:t>
            </w:r>
            <w:r w:rsidRPr="00920DFF">
              <w:t xml:space="preserve"> Then </w:t>
            </w:r>
            <w:r w:rsidR="00C30606" w:rsidRPr="00920DFF">
              <w:t>explai</w:t>
            </w:r>
            <w:r w:rsidR="009C73EC" w:rsidRPr="00920DFF">
              <w:t>n why testing could not be done</w:t>
            </w:r>
          </w:p>
          <w:p w14:paraId="35ECFF03" w14:textId="56C46200" w:rsidR="00C30606" w:rsidRPr="00920DFF" w:rsidRDefault="00EF6998" w:rsidP="007633DD">
            <w:pPr>
              <w:pStyle w:val="ListParagraph"/>
              <w:numPr>
                <w:ilvl w:val="0"/>
                <w:numId w:val="21"/>
              </w:numPr>
              <w:ind w:left="158" w:hanging="187"/>
            </w:pPr>
            <w:r w:rsidRPr="00920DFF">
              <w:t xml:space="preserve">provide an </w:t>
            </w:r>
            <w:r w:rsidR="00DB2BB1" w:rsidRPr="00920DFF">
              <w:t>explanation</w:t>
            </w:r>
            <w:r w:rsidRPr="00920DFF">
              <w:t xml:space="preserve"> of why t</w:t>
            </w:r>
            <w:r w:rsidR="00C30606" w:rsidRPr="00920DFF">
              <w:t>he use of the speech discrimination s</w:t>
            </w:r>
            <w:r w:rsidRPr="00920DFF">
              <w:t>core is not appropriate or not performed for the</w:t>
            </w:r>
            <w:r w:rsidR="00C30606" w:rsidRPr="00920DFF">
              <w:t xml:space="preserve"> Veteran</w:t>
            </w:r>
            <w:r w:rsidR="007A377C" w:rsidRPr="00920DFF">
              <w:t>, and</w:t>
            </w:r>
          </w:p>
          <w:p w14:paraId="1D05645D" w14:textId="41244718" w:rsidR="00C30606" w:rsidRPr="00920DFF" w:rsidRDefault="007A377C" w:rsidP="007633DD">
            <w:pPr>
              <w:pStyle w:val="ListParagraph"/>
              <w:numPr>
                <w:ilvl w:val="0"/>
                <w:numId w:val="21"/>
              </w:numPr>
              <w:ind w:left="158" w:hanging="187"/>
            </w:pPr>
            <w:r w:rsidRPr="00920DFF">
              <w:t xml:space="preserve">state </w:t>
            </w:r>
            <w:r w:rsidR="00C30606" w:rsidRPr="00920DFF">
              <w:t>the functional impact of tinnitus</w:t>
            </w:r>
            <w:r w:rsidRPr="00920DFF">
              <w:t>.</w:t>
            </w:r>
          </w:p>
          <w:p w14:paraId="128F61EE" w14:textId="77777777" w:rsidR="00B72EA6" w:rsidRPr="00920DFF" w:rsidRDefault="00B72EA6" w:rsidP="00B72EA6">
            <w:pPr>
              <w:ind w:left="-14"/>
              <w:rPr>
                <w:color w:val="auto"/>
                <w:szCs w:val="20"/>
              </w:rPr>
            </w:pPr>
          </w:p>
          <w:p w14:paraId="37721553" w14:textId="5ACA5FC1" w:rsidR="00B72EA6" w:rsidRPr="00920DFF" w:rsidRDefault="00B72EA6" w:rsidP="00B72EA6">
            <w:pPr>
              <w:ind w:left="-29"/>
              <w:rPr>
                <w:color w:val="auto"/>
                <w:szCs w:val="20"/>
              </w:rPr>
            </w:pPr>
            <w:r w:rsidRPr="00920DFF">
              <w:rPr>
                <w:b/>
                <w:i/>
                <w:color w:val="auto"/>
                <w:szCs w:val="20"/>
              </w:rPr>
              <w:t>Reference</w:t>
            </w:r>
            <w:r w:rsidRPr="00920DFF">
              <w:rPr>
                <w:color w:val="auto"/>
                <w:szCs w:val="20"/>
              </w:rPr>
              <w:t xml:space="preserve">: </w:t>
            </w:r>
            <w:r w:rsidR="00F85E9A" w:rsidRPr="00920DFF">
              <w:rPr>
                <w:color w:val="auto"/>
                <w:szCs w:val="20"/>
              </w:rPr>
              <w:t xml:space="preserve"> </w:t>
            </w:r>
            <w:r w:rsidRPr="00920DFF">
              <w:rPr>
                <w:color w:val="auto"/>
                <w:szCs w:val="20"/>
              </w:rPr>
              <w:t>For more information on requesting audiometric examinations and medical opinions, see M21-1, Part III, Subpart iv, 4.B.3.d</w:t>
            </w:r>
            <w:r w:rsidR="00F85517" w:rsidRPr="00920DFF">
              <w:rPr>
                <w:color w:val="auto"/>
                <w:szCs w:val="20"/>
              </w:rPr>
              <w:t>.</w:t>
            </w:r>
          </w:p>
        </w:tc>
      </w:tr>
    </w:tbl>
    <w:p w14:paraId="21770202" w14:textId="77777777" w:rsidR="00B72EA6" w:rsidRPr="00920DFF" w:rsidRDefault="00B72EA6" w:rsidP="00B72EA6">
      <w:pPr>
        <w:tabs>
          <w:tab w:val="left" w:pos="9360"/>
        </w:tabs>
        <w:spacing w:line="276" w:lineRule="auto"/>
        <w:ind w:left="1714"/>
        <w:rPr>
          <w:rFonts w:eastAsiaTheme="minorHAnsi" w:cstheme="minorBidi"/>
          <w:color w:val="auto"/>
          <w:szCs w:val="22"/>
        </w:rPr>
      </w:pPr>
      <w:r w:rsidRPr="00920DFF">
        <w:rPr>
          <w:rFonts w:eastAsiaTheme="minorHAnsi" w:cstheme="minorBidi"/>
          <w:color w:val="auto"/>
          <w:szCs w:val="22"/>
          <w:u w:val="single"/>
        </w:rPr>
        <w:tab/>
      </w:r>
    </w:p>
    <w:p w14:paraId="6D94C8A9" w14:textId="77777777" w:rsidR="00B72EA6" w:rsidRPr="00920DFF" w:rsidRDefault="00B72EA6" w:rsidP="005B726A">
      <w:pPr>
        <w:rPr>
          <w:rFonts w:eastAsiaTheme="minorHAnsi" w:cstheme="minorBidi"/>
          <w:color w:val="auto"/>
          <w:szCs w:val="22"/>
        </w:rPr>
      </w:pPr>
    </w:p>
    <w:tbl>
      <w:tblPr>
        <w:tblStyle w:val="TableGrid"/>
        <w:tblW w:w="0" w:type="auto"/>
        <w:tblLook w:val="04A0" w:firstRow="1" w:lastRow="0" w:firstColumn="1" w:lastColumn="0" w:noHBand="0" w:noVBand="1"/>
      </w:tblPr>
      <w:tblGrid>
        <w:gridCol w:w="1728"/>
        <w:gridCol w:w="7740"/>
      </w:tblGrid>
      <w:tr w:rsidR="0023660A" w:rsidRPr="00920DFF" w14:paraId="4F7D74F0" w14:textId="77777777" w:rsidTr="00C23C37">
        <w:tc>
          <w:tcPr>
            <w:tcW w:w="1728" w:type="dxa"/>
            <w:shd w:val="clear" w:color="auto" w:fill="auto"/>
          </w:tcPr>
          <w:p w14:paraId="05C9A32F" w14:textId="12A04C0B" w:rsidR="0023660A" w:rsidRPr="00920DFF" w:rsidRDefault="004561A1" w:rsidP="00C22FF3">
            <w:pPr>
              <w:pStyle w:val="Heading5"/>
            </w:pPr>
            <w:bookmarkStart w:id="35" w:name="_.__Mental"/>
            <w:bookmarkEnd w:id="35"/>
            <w:r w:rsidRPr="00920DFF">
              <w:t>e</w:t>
            </w:r>
            <w:r w:rsidR="0023660A" w:rsidRPr="00920DFF">
              <w:t>.  Mental Health</w:t>
            </w:r>
            <w:r w:rsidR="00C22FF3" w:rsidRPr="00920DFF">
              <w:rPr>
                <w:rFonts w:eastAsiaTheme="minorHAnsi"/>
              </w:rPr>
              <w:t xml:space="preserve"> Examination Report Review</w:t>
            </w:r>
          </w:p>
        </w:tc>
        <w:tc>
          <w:tcPr>
            <w:tcW w:w="7740" w:type="dxa"/>
            <w:shd w:val="clear" w:color="auto" w:fill="auto"/>
          </w:tcPr>
          <w:p w14:paraId="2385E9DD" w14:textId="3D01D978" w:rsidR="0023660A" w:rsidRPr="00920DFF" w:rsidRDefault="0023660A" w:rsidP="00C23C37">
            <w:pPr>
              <w:rPr>
                <w:color w:val="auto"/>
                <w:szCs w:val="20"/>
              </w:rPr>
            </w:pPr>
            <w:r w:rsidRPr="00920DFF">
              <w:rPr>
                <w:color w:val="auto"/>
                <w:szCs w:val="20"/>
              </w:rPr>
              <w:t>Mental health examinations can be complex when there are psychological symptoms</w:t>
            </w:r>
            <w:r w:rsidRPr="00920DFF">
              <w:t xml:space="preserve"> </w:t>
            </w:r>
            <w:r w:rsidRPr="00920DFF">
              <w:rPr>
                <w:color w:val="auto"/>
                <w:szCs w:val="20"/>
              </w:rPr>
              <w:t>existing simultaneously with and usually independently of another medical condition</w:t>
            </w:r>
            <w:r w:rsidR="003F1845" w:rsidRPr="00920DFF">
              <w:rPr>
                <w:color w:val="auto"/>
                <w:szCs w:val="20"/>
              </w:rPr>
              <w:t>, s</w:t>
            </w:r>
            <w:r w:rsidRPr="00920DFF">
              <w:rPr>
                <w:color w:val="auto"/>
                <w:szCs w:val="20"/>
              </w:rPr>
              <w:t xml:space="preserve">uch as PTSD and TBI symptoms of memory loss. </w:t>
            </w:r>
          </w:p>
          <w:p w14:paraId="63698811" w14:textId="77777777" w:rsidR="0023660A" w:rsidRPr="00920DFF" w:rsidRDefault="0023660A" w:rsidP="00C23C37">
            <w:pPr>
              <w:rPr>
                <w:color w:val="auto"/>
                <w:szCs w:val="20"/>
              </w:rPr>
            </w:pPr>
          </w:p>
          <w:p w14:paraId="6295EAA3" w14:textId="311FCFDD" w:rsidR="0023660A" w:rsidRPr="00920DFF" w:rsidRDefault="00866C0D" w:rsidP="00C23C37">
            <w:pPr>
              <w:rPr>
                <w:color w:val="auto"/>
                <w:szCs w:val="20"/>
              </w:rPr>
            </w:pPr>
            <w:r w:rsidRPr="00920DFF">
              <w:rPr>
                <w:color w:val="auto"/>
                <w:szCs w:val="20"/>
              </w:rPr>
              <w:t>An examination may be insufficient i</w:t>
            </w:r>
            <w:r w:rsidR="0077131A" w:rsidRPr="00920DFF">
              <w:rPr>
                <w:color w:val="auto"/>
                <w:szCs w:val="20"/>
              </w:rPr>
              <w:t>f</w:t>
            </w:r>
          </w:p>
          <w:p w14:paraId="19D8E187" w14:textId="77777777" w:rsidR="00042FEF" w:rsidRPr="00920DFF" w:rsidRDefault="00042FEF" w:rsidP="00C23C37">
            <w:pPr>
              <w:rPr>
                <w:color w:val="auto"/>
                <w:szCs w:val="20"/>
              </w:rPr>
            </w:pPr>
          </w:p>
          <w:p w14:paraId="2C574FB9" w14:textId="243FA0B2" w:rsidR="0023660A" w:rsidRPr="00920DFF" w:rsidRDefault="0077131A" w:rsidP="007633DD">
            <w:pPr>
              <w:pStyle w:val="ListParagraph"/>
              <w:numPr>
                <w:ilvl w:val="0"/>
                <w:numId w:val="23"/>
              </w:numPr>
              <w:ind w:left="158" w:hanging="187"/>
            </w:pPr>
            <w:r w:rsidRPr="00920DFF">
              <w:t xml:space="preserve">there is </w:t>
            </w:r>
            <w:r w:rsidR="0023660A" w:rsidRPr="00920DFF">
              <w:t>more than one mental dis</w:t>
            </w:r>
            <w:r w:rsidR="00584278" w:rsidRPr="00920DFF">
              <w:t>order</w:t>
            </w:r>
            <w:r w:rsidR="0023660A" w:rsidRPr="00920DFF">
              <w:t xml:space="preserve"> diagnosed</w:t>
            </w:r>
            <w:r w:rsidR="00866C0D" w:rsidRPr="00920DFF">
              <w:t xml:space="preserve"> and the examiner does not address the criteria for all the diagnoses</w:t>
            </w:r>
          </w:p>
          <w:p w14:paraId="2C9A4440" w14:textId="2C762488" w:rsidR="0023660A" w:rsidRPr="00920DFF" w:rsidRDefault="0077131A" w:rsidP="007633DD">
            <w:pPr>
              <w:pStyle w:val="ListParagraph"/>
              <w:numPr>
                <w:ilvl w:val="0"/>
                <w:numId w:val="23"/>
              </w:numPr>
              <w:ind w:left="158" w:hanging="187"/>
            </w:pPr>
            <w:r w:rsidRPr="00920DFF">
              <w:t xml:space="preserve">there is </w:t>
            </w:r>
            <w:r w:rsidR="0023660A" w:rsidRPr="00920DFF">
              <w:t xml:space="preserve">a diagnosis of a mental disorder and TBI, </w:t>
            </w:r>
            <w:r w:rsidR="00866C0D" w:rsidRPr="00920DFF">
              <w:t>and the examiner did not</w:t>
            </w:r>
          </w:p>
          <w:p w14:paraId="35390F23" w14:textId="77777777" w:rsidR="0023660A" w:rsidRPr="00920DFF" w:rsidRDefault="0023660A" w:rsidP="007633DD">
            <w:pPr>
              <w:pStyle w:val="ListParagraph"/>
              <w:numPr>
                <w:ilvl w:val="0"/>
                <w:numId w:val="24"/>
              </w:numPr>
              <w:ind w:left="346" w:hanging="187"/>
            </w:pPr>
            <w:r w:rsidRPr="00920DFF">
              <w:t>differentiate and list which symptom(s) is/are attributable to each diagnosis, or</w:t>
            </w:r>
          </w:p>
          <w:p w14:paraId="69067AEB" w14:textId="2A815B78" w:rsidR="0023660A" w:rsidRPr="00920DFF" w:rsidRDefault="0023660A" w:rsidP="007633DD">
            <w:pPr>
              <w:pStyle w:val="ListParagraph"/>
              <w:numPr>
                <w:ilvl w:val="0"/>
                <w:numId w:val="24"/>
              </w:numPr>
              <w:ind w:left="346" w:hanging="187"/>
            </w:pPr>
            <w:r w:rsidRPr="00920DFF">
              <w:t>provide a reason that it is not possible to differentiate what portion of each symptom is</w:t>
            </w:r>
            <w:r w:rsidR="0077131A" w:rsidRPr="00920DFF">
              <w:t xml:space="preserve"> attributable to each diagnosis, or</w:t>
            </w:r>
          </w:p>
          <w:p w14:paraId="62AD1C21" w14:textId="01E0E4DD" w:rsidR="0023660A" w:rsidRPr="00920DFF" w:rsidRDefault="0077131A" w:rsidP="007633DD">
            <w:pPr>
              <w:pStyle w:val="ListParagraph"/>
              <w:numPr>
                <w:ilvl w:val="0"/>
                <w:numId w:val="69"/>
              </w:numPr>
              <w:ind w:left="158" w:hanging="187"/>
            </w:pPr>
            <w:r w:rsidRPr="00920DFF">
              <w:t>the o</w:t>
            </w:r>
            <w:r w:rsidR="0023660A" w:rsidRPr="00920DFF">
              <w:t>ccupational</w:t>
            </w:r>
            <w:r w:rsidRPr="00920DFF">
              <w:t xml:space="preserve"> and social i</w:t>
            </w:r>
            <w:r w:rsidR="001E1E12" w:rsidRPr="00920DFF">
              <w:t>mpairment</w:t>
            </w:r>
            <w:r w:rsidR="0023660A" w:rsidRPr="00920DFF">
              <w:t xml:space="preserve"> </w:t>
            </w:r>
            <w:r w:rsidR="001E1E12" w:rsidRPr="00920DFF">
              <w:t>field</w:t>
            </w:r>
            <w:r w:rsidR="0023660A" w:rsidRPr="00920DFF">
              <w:t xml:space="preserve"> is not completed.</w:t>
            </w:r>
          </w:p>
          <w:p w14:paraId="261D13DA" w14:textId="77777777" w:rsidR="00511181" w:rsidRPr="00920DFF" w:rsidRDefault="00511181" w:rsidP="00511181">
            <w:pPr>
              <w:rPr>
                <w:color w:val="auto"/>
                <w:szCs w:val="20"/>
              </w:rPr>
            </w:pPr>
          </w:p>
          <w:p w14:paraId="4B95596F" w14:textId="77777777" w:rsidR="00511181" w:rsidRPr="00920DFF" w:rsidRDefault="00511181" w:rsidP="00511181">
            <w:pPr>
              <w:rPr>
                <w:color w:val="auto"/>
                <w:szCs w:val="20"/>
              </w:rPr>
            </w:pPr>
            <w:r w:rsidRPr="00920DFF">
              <w:rPr>
                <w:b/>
                <w:i/>
                <w:color w:val="auto"/>
                <w:szCs w:val="20"/>
              </w:rPr>
              <w:t>Reference</w:t>
            </w:r>
            <w:r w:rsidRPr="00920DFF">
              <w:rPr>
                <w:color w:val="auto"/>
                <w:szCs w:val="20"/>
              </w:rPr>
              <w:t>:  For more information on</w:t>
            </w:r>
          </w:p>
          <w:p w14:paraId="28AEA85B" w14:textId="320F4252" w:rsidR="00511181" w:rsidRPr="00920DFF" w:rsidRDefault="00511181" w:rsidP="007633DD">
            <w:pPr>
              <w:pStyle w:val="ListParagraph"/>
              <w:numPr>
                <w:ilvl w:val="0"/>
                <w:numId w:val="40"/>
              </w:numPr>
              <w:ind w:left="158" w:hanging="187"/>
            </w:pPr>
            <w:r w:rsidRPr="00920DFF">
              <w:t>considering a change in the diagnosis of a psychiatric disorder, se</w:t>
            </w:r>
            <w:r w:rsidR="00920DFF">
              <w:t xml:space="preserve">e M21-1, </w:t>
            </w:r>
            <w:bookmarkStart w:id="36" w:name="_GoBack"/>
            <w:bookmarkEnd w:id="36"/>
            <w:r w:rsidR="00920DFF">
              <w:t xml:space="preserve">Part III, Subpart iv, </w:t>
            </w:r>
            <w:r w:rsidRPr="00920DFF">
              <w:t>4.H.1.c</w:t>
            </w:r>
            <w:r w:rsidR="00EA0C3D" w:rsidRPr="00920DFF">
              <w:t>.</w:t>
            </w:r>
          </w:p>
        </w:tc>
      </w:tr>
    </w:tbl>
    <w:p w14:paraId="1AFBF8C7" w14:textId="4D9A3FE7" w:rsidR="0023660A" w:rsidRPr="00920DFF" w:rsidRDefault="0023660A" w:rsidP="0023660A">
      <w:pPr>
        <w:tabs>
          <w:tab w:val="left" w:pos="9360"/>
        </w:tabs>
        <w:spacing w:line="276" w:lineRule="auto"/>
        <w:ind w:left="1714"/>
        <w:rPr>
          <w:rFonts w:eastAsiaTheme="minorHAnsi" w:cstheme="minorBidi"/>
          <w:color w:val="auto"/>
          <w:szCs w:val="22"/>
        </w:rPr>
      </w:pPr>
      <w:r w:rsidRPr="00920DFF">
        <w:rPr>
          <w:rFonts w:eastAsiaTheme="minorHAnsi" w:cstheme="minorBidi"/>
          <w:color w:val="auto"/>
          <w:szCs w:val="22"/>
          <w:u w:val="single"/>
        </w:rPr>
        <w:tab/>
      </w:r>
    </w:p>
    <w:p w14:paraId="19E45DD1" w14:textId="77777777" w:rsidR="0023660A" w:rsidRPr="00920DFF" w:rsidRDefault="0023660A" w:rsidP="005B726A">
      <w:pPr>
        <w:rPr>
          <w:rFonts w:eastAsiaTheme="minorHAnsi" w:cstheme="minorBidi"/>
          <w:color w:val="auto"/>
          <w:szCs w:val="22"/>
        </w:rPr>
      </w:pPr>
    </w:p>
    <w:tbl>
      <w:tblPr>
        <w:tblStyle w:val="TableGrid"/>
        <w:tblW w:w="0" w:type="auto"/>
        <w:tblLook w:val="04A0" w:firstRow="1" w:lastRow="0" w:firstColumn="1" w:lastColumn="0" w:noHBand="0" w:noVBand="1"/>
      </w:tblPr>
      <w:tblGrid>
        <w:gridCol w:w="1728"/>
        <w:gridCol w:w="7740"/>
      </w:tblGrid>
      <w:tr w:rsidR="0023660A" w:rsidRPr="00920DFF" w14:paraId="3FB9DA67" w14:textId="77777777" w:rsidTr="00C23C37">
        <w:tc>
          <w:tcPr>
            <w:tcW w:w="1728" w:type="dxa"/>
            <w:shd w:val="clear" w:color="auto" w:fill="auto"/>
          </w:tcPr>
          <w:p w14:paraId="256352F9" w14:textId="5F4A8E4E" w:rsidR="0023660A" w:rsidRPr="00920DFF" w:rsidRDefault="004561A1" w:rsidP="00C22FF3">
            <w:pPr>
              <w:pStyle w:val="Heading5"/>
            </w:pPr>
            <w:bookmarkStart w:id="37" w:name="_.__Metabolic"/>
            <w:bookmarkEnd w:id="37"/>
            <w:r w:rsidRPr="00920DFF">
              <w:t>f</w:t>
            </w:r>
            <w:r w:rsidR="0023660A" w:rsidRPr="00920DFF">
              <w:t>.  MET</w:t>
            </w:r>
            <w:r w:rsidR="0016170E" w:rsidRPr="00920DFF">
              <w:t>S</w:t>
            </w:r>
            <w:r w:rsidR="0023660A" w:rsidRPr="00920DFF">
              <w:t xml:space="preserve"> for Heart Conditions</w:t>
            </w:r>
            <w:r w:rsidR="00C22FF3" w:rsidRPr="00920DFF">
              <w:rPr>
                <w:rFonts w:eastAsiaTheme="minorHAnsi"/>
              </w:rPr>
              <w:t xml:space="preserve"> Examination Report Review</w:t>
            </w:r>
          </w:p>
        </w:tc>
        <w:tc>
          <w:tcPr>
            <w:tcW w:w="7740" w:type="dxa"/>
            <w:shd w:val="clear" w:color="auto" w:fill="auto"/>
          </w:tcPr>
          <w:p w14:paraId="7FF00A71" w14:textId="4D98AC08" w:rsidR="00D31A3C" w:rsidRPr="00920DFF" w:rsidRDefault="0023660A" w:rsidP="00D31A3C">
            <w:pPr>
              <w:rPr>
                <w:color w:val="auto"/>
                <w:szCs w:val="20"/>
              </w:rPr>
            </w:pPr>
            <w:r w:rsidRPr="00920DFF">
              <w:rPr>
                <w:color w:val="auto"/>
                <w:szCs w:val="20"/>
              </w:rPr>
              <w:t>The</w:t>
            </w:r>
            <w:r w:rsidR="00D31A3C" w:rsidRPr="00920DFF">
              <w:rPr>
                <w:color w:val="auto"/>
                <w:szCs w:val="20"/>
              </w:rPr>
              <w:t xml:space="preserve"> metabolic e</w:t>
            </w:r>
            <w:r w:rsidRPr="00920DFF">
              <w:rPr>
                <w:color w:val="auto"/>
                <w:szCs w:val="20"/>
              </w:rPr>
              <w:t>quivalent</w:t>
            </w:r>
            <w:r w:rsidR="0016170E" w:rsidRPr="00920DFF">
              <w:rPr>
                <w:color w:val="auto"/>
                <w:szCs w:val="20"/>
              </w:rPr>
              <w:t>s</w:t>
            </w:r>
            <w:r w:rsidRPr="00920DFF">
              <w:rPr>
                <w:color w:val="auto"/>
                <w:szCs w:val="20"/>
              </w:rPr>
              <w:t xml:space="preserve"> </w:t>
            </w:r>
            <w:r w:rsidR="00D31A3C" w:rsidRPr="00920DFF">
              <w:rPr>
                <w:color w:val="auto"/>
                <w:szCs w:val="20"/>
              </w:rPr>
              <w:t>of task</w:t>
            </w:r>
            <w:r w:rsidRPr="00920DFF">
              <w:rPr>
                <w:color w:val="auto"/>
                <w:szCs w:val="20"/>
              </w:rPr>
              <w:t xml:space="preserve"> </w:t>
            </w:r>
            <w:r w:rsidR="00AB686A" w:rsidRPr="00920DFF">
              <w:rPr>
                <w:color w:val="auto"/>
                <w:szCs w:val="20"/>
              </w:rPr>
              <w:t>(</w:t>
            </w:r>
            <w:r w:rsidRPr="00920DFF">
              <w:rPr>
                <w:color w:val="auto"/>
                <w:szCs w:val="20"/>
              </w:rPr>
              <w:t>MET</w:t>
            </w:r>
            <w:r w:rsidR="0016170E" w:rsidRPr="00920DFF">
              <w:rPr>
                <w:color w:val="auto"/>
                <w:szCs w:val="20"/>
              </w:rPr>
              <w:t>S</w:t>
            </w:r>
            <w:r w:rsidR="00D31A3C" w:rsidRPr="00920DFF">
              <w:rPr>
                <w:color w:val="auto"/>
                <w:szCs w:val="20"/>
              </w:rPr>
              <w:t>)</w:t>
            </w:r>
            <w:r w:rsidRPr="00920DFF">
              <w:rPr>
                <w:color w:val="auto"/>
                <w:szCs w:val="20"/>
              </w:rPr>
              <w:t xml:space="preserve"> score for heart conditions can be provided as an estimate as indicated on the DBQs.  </w:t>
            </w:r>
            <w:r w:rsidR="00DB2BB1" w:rsidRPr="00920DFF">
              <w:rPr>
                <w:color w:val="auto"/>
                <w:szCs w:val="20"/>
              </w:rPr>
              <w:t xml:space="preserve">If the Veteran </w:t>
            </w:r>
            <w:r w:rsidRPr="00920DFF">
              <w:rPr>
                <w:color w:val="auto"/>
                <w:szCs w:val="20"/>
              </w:rPr>
              <w:t>has co-morbid conditions that prevents the examiner</w:t>
            </w:r>
            <w:r w:rsidR="00AB686A" w:rsidRPr="00920DFF">
              <w:rPr>
                <w:color w:val="auto"/>
                <w:szCs w:val="20"/>
              </w:rPr>
              <w:t xml:space="preserve"> from estimating the METS, </w:t>
            </w:r>
            <w:r w:rsidRPr="00920DFF">
              <w:rPr>
                <w:color w:val="auto"/>
                <w:szCs w:val="20"/>
              </w:rPr>
              <w:t xml:space="preserve">then </w:t>
            </w:r>
            <w:r w:rsidR="00AB686A" w:rsidRPr="00920DFF">
              <w:rPr>
                <w:color w:val="auto"/>
                <w:szCs w:val="20"/>
              </w:rPr>
              <w:t>the</w:t>
            </w:r>
          </w:p>
          <w:p w14:paraId="20C861FB" w14:textId="77777777" w:rsidR="00F85E9A" w:rsidRPr="00920DFF" w:rsidRDefault="00F85E9A" w:rsidP="00D31A3C">
            <w:pPr>
              <w:rPr>
                <w:color w:val="auto"/>
                <w:szCs w:val="20"/>
              </w:rPr>
            </w:pPr>
          </w:p>
          <w:p w14:paraId="04985B67" w14:textId="6E82C958" w:rsidR="00D31A3C" w:rsidRPr="00920DFF" w:rsidRDefault="00D31A3C" w:rsidP="007633DD">
            <w:pPr>
              <w:pStyle w:val="ListParagraph"/>
              <w:numPr>
                <w:ilvl w:val="0"/>
                <w:numId w:val="70"/>
              </w:numPr>
              <w:ind w:left="158" w:hanging="187"/>
            </w:pPr>
            <w:r w:rsidRPr="00920DFF">
              <w:t>examiner must indicate why a METS could not be performed, and</w:t>
            </w:r>
          </w:p>
          <w:p w14:paraId="250A446C" w14:textId="77777777" w:rsidR="0023660A" w:rsidRPr="00920DFF" w:rsidRDefault="007A6034" w:rsidP="007633DD">
            <w:pPr>
              <w:pStyle w:val="ListParagraph"/>
              <w:numPr>
                <w:ilvl w:val="0"/>
                <w:numId w:val="70"/>
              </w:numPr>
              <w:ind w:left="158" w:hanging="187"/>
            </w:pPr>
            <w:r w:rsidRPr="00920DFF">
              <w:t xml:space="preserve">the </w:t>
            </w:r>
            <w:r w:rsidR="00AB686A" w:rsidRPr="00920DFF">
              <w:t xml:space="preserve">RVSR or DRO will evaluate the condition based on the </w:t>
            </w:r>
            <w:r w:rsidR="00905B9C" w:rsidRPr="00920DFF">
              <w:t>examination results</w:t>
            </w:r>
            <w:r w:rsidR="0023660A" w:rsidRPr="00920DFF">
              <w:t>.</w:t>
            </w:r>
          </w:p>
          <w:p w14:paraId="5533DB21" w14:textId="77777777" w:rsidR="007A6034" w:rsidRPr="00920DFF" w:rsidRDefault="007A6034" w:rsidP="007A6034"/>
          <w:p w14:paraId="45F41441" w14:textId="26DC2B49" w:rsidR="007A6034" w:rsidRPr="00920DFF" w:rsidRDefault="007A6034" w:rsidP="007A6034">
            <w:r w:rsidRPr="00920DFF">
              <w:rPr>
                <w:b/>
                <w:i/>
              </w:rPr>
              <w:t>Reference</w:t>
            </w:r>
            <w:r w:rsidRPr="00920DFF">
              <w:t>:  For information on rating heart conditions, see M21-1, Part III, Subpart iv, 4.E.1</w:t>
            </w:r>
          </w:p>
        </w:tc>
      </w:tr>
    </w:tbl>
    <w:p w14:paraId="57FC849F" w14:textId="77777777" w:rsidR="0023660A" w:rsidRPr="00920DFF" w:rsidRDefault="0023660A" w:rsidP="0023660A">
      <w:pPr>
        <w:tabs>
          <w:tab w:val="left" w:pos="9360"/>
        </w:tabs>
        <w:spacing w:line="276" w:lineRule="auto"/>
        <w:ind w:left="1714"/>
        <w:rPr>
          <w:rFonts w:eastAsiaTheme="minorHAnsi" w:cstheme="minorBidi"/>
          <w:color w:val="auto"/>
          <w:szCs w:val="22"/>
        </w:rPr>
      </w:pPr>
      <w:r w:rsidRPr="00920DFF">
        <w:rPr>
          <w:rFonts w:eastAsiaTheme="minorHAnsi" w:cstheme="minorBidi"/>
          <w:color w:val="auto"/>
          <w:szCs w:val="22"/>
          <w:u w:val="single"/>
        </w:rPr>
        <w:tab/>
      </w:r>
    </w:p>
    <w:p w14:paraId="0D78B47C" w14:textId="77777777" w:rsidR="0023660A" w:rsidRPr="00920DFF" w:rsidRDefault="0023660A" w:rsidP="0023660A">
      <w:pPr>
        <w:rPr>
          <w:rFonts w:eastAsiaTheme="minorHAnsi" w:cstheme="minorBidi"/>
          <w:color w:val="auto"/>
          <w:szCs w:val="22"/>
        </w:rPr>
      </w:pPr>
    </w:p>
    <w:tbl>
      <w:tblPr>
        <w:tblStyle w:val="TableGrid"/>
        <w:tblW w:w="0" w:type="auto"/>
        <w:tblLook w:val="04A0" w:firstRow="1" w:lastRow="0" w:firstColumn="1" w:lastColumn="0" w:noHBand="0" w:noVBand="1"/>
      </w:tblPr>
      <w:tblGrid>
        <w:gridCol w:w="1732"/>
        <w:gridCol w:w="7740"/>
      </w:tblGrid>
      <w:tr w:rsidR="0023660A" w:rsidRPr="00920DFF" w14:paraId="0AD75DFD" w14:textId="77777777" w:rsidTr="00C23C37">
        <w:tc>
          <w:tcPr>
            <w:tcW w:w="1728" w:type="dxa"/>
            <w:shd w:val="clear" w:color="auto" w:fill="auto"/>
          </w:tcPr>
          <w:p w14:paraId="6AB0C206" w14:textId="3F997111" w:rsidR="0023660A" w:rsidRPr="00920DFF" w:rsidRDefault="004561A1" w:rsidP="00C22FF3">
            <w:pPr>
              <w:pStyle w:val="Heading5"/>
            </w:pPr>
            <w:bookmarkStart w:id="38" w:name="_.__Musculoskeletal"/>
            <w:bookmarkEnd w:id="38"/>
            <w:r w:rsidRPr="00920DFF">
              <w:t>g</w:t>
            </w:r>
            <w:r w:rsidR="0023660A" w:rsidRPr="00920DFF">
              <w:t>.  Musculoskeletal and Functional Loss and ROM</w:t>
            </w:r>
            <w:r w:rsidR="00C22FF3" w:rsidRPr="00920DFF">
              <w:rPr>
                <w:rFonts w:eastAsiaTheme="minorHAnsi"/>
              </w:rPr>
              <w:t xml:space="preserve"> Examination Report Review</w:t>
            </w:r>
          </w:p>
        </w:tc>
        <w:tc>
          <w:tcPr>
            <w:tcW w:w="7740" w:type="dxa"/>
            <w:shd w:val="clear" w:color="auto" w:fill="auto"/>
          </w:tcPr>
          <w:p w14:paraId="1A105D3D" w14:textId="38049A5E" w:rsidR="0023660A" w:rsidRPr="00920DFF" w:rsidRDefault="0023660A" w:rsidP="00C23C37">
            <w:r w:rsidRPr="00920DFF">
              <w:t xml:space="preserve">Musculoskeletal joint examinations must address </w:t>
            </w:r>
            <w:r w:rsidR="007A6034" w:rsidRPr="00920DFF">
              <w:t>range of motion (</w:t>
            </w:r>
            <w:r w:rsidRPr="00920DFF">
              <w:t>ROM</w:t>
            </w:r>
            <w:r w:rsidR="007A6034" w:rsidRPr="00920DFF">
              <w:t>)</w:t>
            </w:r>
            <w:r w:rsidRPr="00920DFF">
              <w:t xml:space="preserve"> criteria for repetitive </w:t>
            </w:r>
            <w:r w:rsidR="007A6034" w:rsidRPr="00920DFF">
              <w:t>motion</w:t>
            </w:r>
            <w:r w:rsidRPr="00920DFF">
              <w:t xml:space="preserve"> and flare-ups.</w:t>
            </w:r>
          </w:p>
          <w:p w14:paraId="00D5A6B6" w14:textId="77777777" w:rsidR="0023660A" w:rsidRPr="00920DFF" w:rsidRDefault="0023660A" w:rsidP="00C23C37"/>
          <w:p w14:paraId="220C8500" w14:textId="66DB1F90" w:rsidR="0023660A" w:rsidRPr="00920DFF" w:rsidRDefault="0023660A" w:rsidP="00797FC6">
            <w:r w:rsidRPr="00920DFF">
              <w:t>Following the initial assessment of ROM, the examiner must perform repetitive use testing</w:t>
            </w:r>
            <w:r w:rsidR="00797FC6" w:rsidRPr="00920DFF">
              <w:t xml:space="preserve">. </w:t>
            </w:r>
            <w:r w:rsidR="00171107" w:rsidRPr="00920DFF">
              <w:t xml:space="preserve"> </w:t>
            </w:r>
            <w:r w:rsidRPr="00920DFF">
              <w:t xml:space="preserve">After the initial measurement, the examiner must reassess ROM after 3 repetitions and report the post-test measurements. </w:t>
            </w:r>
            <w:r w:rsidR="00171107" w:rsidRPr="00920DFF">
              <w:t xml:space="preserve"> </w:t>
            </w:r>
            <w:r w:rsidRPr="00920DFF">
              <w:t>The examination is insufficient if the</w:t>
            </w:r>
            <w:r w:rsidR="00797FC6" w:rsidRPr="00920DFF">
              <w:t xml:space="preserve"> </w:t>
            </w:r>
            <w:r w:rsidRPr="00920DFF">
              <w:t>examiner does</w:t>
            </w:r>
            <w:r w:rsidR="007A6034" w:rsidRPr="00920DFF">
              <w:t xml:space="preserve"> </w:t>
            </w:r>
            <w:r w:rsidRPr="00920DFF">
              <w:t>n</w:t>
            </w:r>
            <w:r w:rsidR="007A6034" w:rsidRPr="00920DFF">
              <w:t>o</w:t>
            </w:r>
            <w:r w:rsidRPr="00920DFF">
              <w:t xml:space="preserve">t repeat ROM testing during </w:t>
            </w:r>
            <w:r w:rsidR="007A6034" w:rsidRPr="00920DFF">
              <w:t xml:space="preserve">the </w:t>
            </w:r>
            <w:r w:rsidRPr="00920DFF">
              <w:t xml:space="preserve">exam and </w:t>
            </w:r>
            <w:r w:rsidR="007A6034" w:rsidRPr="00920DFF">
              <w:t xml:space="preserve">fails to </w:t>
            </w:r>
            <w:r w:rsidRPr="00920DFF">
              <w:t>report additional functional loss</w:t>
            </w:r>
            <w:r w:rsidR="00797FC6" w:rsidRPr="00920DFF">
              <w:t>.</w:t>
            </w:r>
          </w:p>
          <w:p w14:paraId="555722B5" w14:textId="77777777" w:rsidR="0023660A" w:rsidRPr="00920DFF" w:rsidRDefault="0023660A" w:rsidP="00C23C37"/>
          <w:p w14:paraId="0ADB69D0" w14:textId="5D9C4E7A" w:rsidR="0023660A" w:rsidRPr="00920DFF" w:rsidRDefault="00797FC6" w:rsidP="00C23C37">
            <w:r w:rsidRPr="00920DFF">
              <w:t>The examiner must</w:t>
            </w:r>
            <w:r w:rsidR="0023660A" w:rsidRPr="00920DFF">
              <w:t xml:space="preserve"> address additional functional limitation or </w:t>
            </w:r>
            <w:r w:rsidRPr="00920DFF">
              <w:t>limitation of motion (</w:t>
            </w:r>
            <w:r w:rsidR="0023660A" w:rsidRPr="00920DFF">
              <w:t>LOM</w:t>
            </w:r>
            <w:r w:rsidRPr="00920DFF">
              <w:t>)</w:t>
            </w:r>
            <w:r w:rsidR="0023660A" w:rsidRPr="00920DFF">
              <w:t xml:space="preserve"> during flares</w:t>
            </w:r>
            <w:r w:rsidRPr="00920DFF">
              <w:t xml:space="preserve">-ups or </w:t>
            </w:r>
            <w:r w:rsidR="0023660A" w:rsidRPr="00920DFF">
              <w:t>re</w:t>
            </w:r>
            <w:r w:rsidR="00DB2BB1" w:rsidRPr="00920DFF">
              <w:t>peated use over time, based on the V</w:t>
            </w:r>
            <w:r w:rsidR="0023660A" w:rsidRPr="00920DFF">
              <w:t>eteran’s history and the examiner’s clinical judgment</w:t>
            </w:r>
            <w:r w:rsidR="001569F3" w:rsidRPr="00920DFF">
              <w:t>.</w:t>
            </w:r>
          </w:p>
          <w:p w14:paraId="08F3C4D5" w14:textId="77777777" w:rsidR="0023660A" w:rsidRPr="00920DFF" w:rsidRDefault="0023660A" w:rsidP="00C23C37">
            <w:pPr>
              <w:rPr>
                <w:color w:val="auto"/>
                <w:szCs w:val="20"/>
              </w:rPr>
            </w:pPr>
          </w:p>
          <w:p w14:paraId="570F34C9" w14:textId="42618346" w:rsidR="0023660A" w:rsidRPr="00920DFF" w:rsidRDefault="0023660A" w:rsidP="00C23C37">
            <w:pPr>
              <w:rPr>
                <w:color w:val="auto"/>
                <w:szCs w:val="20"/>
              </w:rPr>
            </w:pPr>
            <w:r w:rsidRPr="00920DFF">
              <w:rPr>
                <w:color w:val="auto"/>
                <w:szCs w:val="20"/>
              </w:rPr>
              <w:t>The examination report must address whether functional ability of a joint is significantly limited during flare</w:t>
            </w:r>
            <w:r w:rsidR="007A6034" w:rsidRPr="00920DFF">
              <w:rPr>
                <w:color w:val="auto"/>
                <w:szCs w:val="20"/>
              </w:rPr>
              <w:t>-</w:t>
            </w:r>
            <w:r w:rsidRPr="00920DFF">
              <w:rPr>
                <w:color w:val="auto"/>
                <w:szCs w:val="20"/>
              </w:rPr>
              <w:t xml:space="preserve">ups (to address the Court’s interpretation </w:t>
            </w:r>
            <w:r w:rsidR="001569F3" w:rsidRPr="00920DFF">
              <w:rPr>
                <w:color w:val="auto"/>
                <w:szCs w:val="20"/>
              </w:rPr>
              <w:t xml:space="preserve">of VA’s regulation in </w:t>
            </w:r>
            <w:r w:rsidR="001569F3" w:rsidRPr="00920DFF">
              <w:rPr>
                <w:i/>
                <w:color w:val="auto"/>
                <w:szCs w:val="20"/>
              </w:rPr>
              <w:t>DeLuca</w:t>
            </w:r>
            <w:r w:rsidR="001569F3" w:rsidRPr="00920DFF">
              <w:rPr>
                <w:color w:val="auto"/>
                <w:szCs w:val="20"/>
              </w:rPr>
              <w:t>) or</w:t>
            </w:r>
            <w:r w:rsidRPr="00920DFF">
              <w:rPr>
                <w:color w:val="auto"/>
                <w:szCs w:val="20"/>
              </w:rPr>
              <w:t xml:space="preserve"> when </w:t>
            </w:r>
            <w:r w:rsidR="001569F3" w:rsidRPr="00920DFF">
              <w:rPr>
                <w:color w:val="auto"/>
                <w:szCs w:val="20"/>
              </w:rPr>
              <w:t xml:space="preserve">the </w:t>
            </w:r>
            <w:r w:rsidRPr="00920DFF">
              <w:rPr>
                <w:color w:val="auto"/>
                <w:szCs w:val="20"/>
              </w:rPr>
              <w:t xml:space="preserve">joint is used repeatedly over a period of time (to address the Court’s interpretation of VA’s regulation in </w:t>
            </w:r>
            <w:r w:rsidRPr="00920DFF">
              <w:rPr>
                <w:i/>
                <w:color w:val="auto"/>
                <w:szCs w:val="20"/>
              </w:rPr>
              <w:t>Mitchel</w:t>
            </w:r>
            <w:r w:rsidRPr="00920DFF">
              <w:rPr>
                <w:color w:val="auto"/>
                <w:szCs w:val="20"/>
              </w:rPr>
              <w:t>l) because of</w:t>
            </w:r>
          </w:p>
          <w:p w14:paraId="0F456079" w14:textId="77777777" w:rsidR="00530C06" w:rsidRPr="00920DFF" w:rsidRDefault="00530C06" w:rsidP="00C23C37">
            <w:pPr>
              <w:rPr>
                <w:color w:val="auto"/>
                <w:szCs w:val="20"/>
              </w:rPr>
            </w:pPr>
          </w:p>
          <w:p w14:paraId="7D68F728" w14:textId="77777777" w:rsidR="0023660A" w:rsidRPr="00920DFF" w:rsidRDefault="0023660A" w:rsidP="007633DD">
            <w:pPr>
              <w:pStyle w:val="BulletText2"/>
              <w:numPr>
                <w:ilvl w:val="0"/>
                <w:numId w:val="20"/>
              </w:numPr>
              <w:ind w:left="158" w:hanging="187"/>
            </w:pPr>
            <w:r w:rsidRPr="00920DFF">
              <w:t>pain</w:t>
            </w:r>
          </w:p>
          <w:p w14:paraId="3EDEA833" w14:textId="77777777" w:rsidR="0023660A" w:rsidRPr="00920DFF" w:rsidRDefault="0023660A" w:rsidP="007633DD">
            <w:pPr>
              <w:pStyle w:val="BulletText2"/>
              <w:numPr>
                <w:ilvl w:val="0"/>
                <w:numId w:val="20"/>
              </w:numPr>
              <w:ind w:left="158" w:hanging="187"/>
            </w:pPr>
            <w:r w:rsidRPr="00920DFF">
              <w:t>weakness</w:t>
            </w:r>
          </w:p>
          <w:p w14:paraId="7EE7914D" w14:textId="77777777" w:rsidR="0023660A" w:rsidRPr="00920DFF" w:rsidRDefault="0023660A" w:rsidP="007633DD">
            <w:pPr>
              <w:pStyle w:val="BulletText2"/>
              <w:numPr>
                <w:ilvl w:val="0"/>
                <w:numId w:val="20"/>
              </w:numPr>
              <w:ind w:left="158" w:hanging="187"/>
            </w:pPr>
            <w:r w:rsidRPr="00920DFF">
              <w:t>fatigability</w:t>
            </w:r>
          </w:p>
          <w:p w14:paraId="14BE42F1" w14:textId="77777777" w:rsidR="0023660A" w:rsidRPr="00920DFF" w:rsidRDefault="0023660A" w:rsidP="007633DD">
            <w:pPr>
              <w:pStyle w:val="BulletText2"/>
              <w:numPr>
                <w:ilvl w:val="0"/>
                <w:numId w:val="20"/>
              </w:numPr>
              <w:ind w:left="158" w:hanging="187"/>
            </w:pPr>
            <w:r w:rsidRPr="00920DFF">
              <w:t xml:space="preserve">incoordination </w:t>
            </w:r>
          </w:p>
          <w:p w14:paraId="621AD6B7" w14:textId="77777777" w:rsidR="0023660A" w:rsidRPr="00920DFF" w:rsidRDefault="0023660A" w:rsidP="00C23C37">
            <w:pPr>
              <w:rPr>
                <w:color w:val="auto"/>
                <w:szCs w:val="20"/>
              </w:rPr>
            </w:pPr>
          </w:p>
          <w:p w14:paraId="5C968A5E" w14:textId="31F5DB3D" w:rsidR="0023660A" w:rsidRPr="00920DFF" w:rsidRDefault="0023660A" w:rsidP="00C23C37">
            <w:pPr>
              <w:rPr>
                <w:color w:val="auto"/>
                <w:szCs w:val="20"/>
              </w:rPr>
            </w:pPr>
            <w:r w:rsidRPr="00920DFF">
              <w:rPr>
                <w:color w:val="auto"/>
                <w:szCs w:val="20"/>
              </w:rPr>
              <w:t>If such</w:t>
            </w:r>
            <w:r w:rsidR="00156EEB" w:rsidRPr="00920DFF">
              <w:rPr>
                <w:color w:val="auto"/>
                <w:szCs w:val="20"/>
              </w:rPr>
              <w:t xml:space="preserve"> opinion is not feasible, then the examiner must</w:t>
            </w:r>
            <w:r w:rsidRPr="00920DFF">
              <w:rPr>
                <w:color w:val="auto"/>
                <w:szCs w:val="20"/>
              </w:rPr>
              <w:t xml:space="preserve"> state s</w:t>
            </w:r>
            <w:r w:rsidR="003F6BCA" w:rsidRPr="00920DFF">
              <w:rPr>
                <w:color w:val="auto"/>
                <w:szCs w:val="20"/>
              </w:rPr>
              <w:t>o</w:t>
            </w:r>
            <w:r w:rsidRPr="00920DFF">
              <w:rPr>
                <w:color w:val="auto"/>
                <w:szCs w:val="20"/>
              </w:rPr>
              <w:t xml:space="preserve"> and provide an explanation as to why the opinion cannot be rendered.</w:t>
            </w:r>
          </w:p>
          <w:p w14:paraId="16471DFB" w14:textId="77777777" w:rsidR="0023660A" w:rsidRPr="00920DFF" w:rsidRDefault="0023660A" w:rsidP="00C23C37">
            <w:pPr>
              <w:rPr>
                <w:color w:val="auto"/>
                <w:szCs w:val="20"/>
              </w:rPr>
            </w:pPr>
          </w:p>
          <w:p w14:paraId="4155D3E4" w14:textId="660A7BDC" w:rsidR="0023660A" w:rsidRPr="00920DFF" w:rsidRDefault="0016170E" w:rsidP="00C23C37">
            <w:pPr>
              <w:rPr>
                <w:color w:val="auto"/>
                <w:szCs w:val="20"/>
              </w:rPr>
            </w:pPr>
            <w:r w:rsidRPr="00920DFF">
              <w:rPr>
                <w:b/>
                <w:i/>
                <w:color w:val="auto"/>
                <w:szCs w:val="20"/>
              </w:rPr>
              <w:t>E</w:t>
            </w:r>
            <w:r w:rsidR="0023660A" w:rsidRPr="00920DFF">
              <w:rPr>
                <w:b/>
                <w:i/>
                <w:color w:val="auto"/>
                <w:szCs w:val="20"/>
              </w:rPr>
              <w:t>xample</w:t>
            </w:r>
            <w:r w:rsidR="0023660A" w:rsidRPr="00920DFF">
              <w:rPr>
                <w:color w:val="auto"/>
                <w:szCs w:val="20"/>
              </w:rPr>
              <w:t>: John Smith reports severe knee pain with repeated use over time when walking back and forth to the store several times a day.  During those flare ups, the ability to flex the knee is demonstrated/reported to be 0-110 degrees.</w:t>
            </w:r>
          </w:p>
          <w:p w14:paraId="7392B8BA" w14:textId="77777777" w:rsidR="00530C06" w:rsidRPr="00920DFF" w:rsidRDefault="00530C06" w:rsidP="00C23C37">
            <w:pPr>
              <w:rPr>
                <w:color w:val="auto"/>
                <w:szCs w:val="20"/>
              </w:rPr>
            </w:pPr>
          </w:p>
          <w:p w14:paraId="6678310C" w14:textId="77777777" w:rsidR="0023660A" w:rsidRPr="00920DFF" w:rsidRDefault="0023660A" w:rsidP="00C23C37">
            <w:pPr>
              <w:rPr>
                <w:color w:val="auto"/>
                <w:szCs w:val="20"/>
              </w:rPr>
            </w:pPr>
            <w:r w:rsidRPr="00920DFF">
              <w:rPr>
                <w:color w:val="auto"/>
                <w:szCs w:val="20"/>
              </w:rPr>
              <w:t>If the clinician is unable to opine based on the claimant’s reported history and knowledge gained by the examination, then an explanation as to why functional loss cannot be determined must be given on the examination report. </w:t>
            </w:r>
          </w:p>
          <w:p w14:paraId="4F09B4C4" w14:textId="77777777" w:rsidR="00797FC6" w:rsidRPr="00920DFF" w:rsidRDefault="00797FC6" w:rsidP="00C23C37">
            <w:pPr>
              <w:rPr>
                <w:color w:val="auto"/>
                <w:szCs w:val="20"/>
              </w:rPr>
            </w:pPr>
          </w:p>
          <w:p w14:paraId="2FDCD69B" w14:textId="3FE87F96" w:rsidR="00797FC6" w:rsidRPr="00920DFF" w:rsidRDefault="00797FC6" w:rsidP="00797FC6">
            <w:r w:rsidRPr="00920DFF">
              <w:t>The following terms in an examination report may lead to an insufficient examination request</w:t>
            </w:r>
          </w:p>
          <w:p w14:paraId="4621B513" w14:textId="77777777" w:rsidR="00797FC6" w:rsidRPr="00920DFF" w:rsidRDefault="00797FC6" w:rsidP="00797FC6"/>
          <w:p w14:paraId="162C7FA8" w14:textId="486EB078" w:rsidR="00797FC6" w:rsidRPr="00920DFF" w:rsidRDefault="00156EEB" w:rsidP="007633DD">
            <w:pPr>
              <w:numPr>
                <w:ilvl w:val="0"/>
                <w:numId w:val="12"/>
              </w:numPr>
              <w:ind w:left="158" w:hanging="187"/>
              <w:contextualSpacing/>
              <w:rPr>
                <w:color w:val="auto"/>
                <w:szCs w:val="20"/>
              </w:rPr>
            </w:pPr>
            <w:r w:rsidRPr="00920DFF">
              <w:rPr>
                <w:color w:val="auto"/>
                <w:szCs w:val="20"/>
              </w:rPr>
              <w:t>u</w:t>
            </w:r>
            <w:r w:rsidR="00797FC6" w:rsidRPr="00920DFF">
              <w:rPr>
                <w:color w:val="auto"/>
                <w:szCs w:val="20"/>
              </w:rPr>
              <w:t>naffected gait</w:t>
            </w:r>
            <w:r w:rsidR="00E12AB7" w:rsidRPr="00920DFF">
              <w:rPr>
                <w:color w:val="auto"/>
                <w:szCs w:val="20"/>
              </w:rPr>
              <w:t xml:space="preserve"> </w:t>
            </w:r>
            <w:r w:rsidR="00A30738" w:rsidRPr="00920DFF">
              <w:rPr>
                <w:color w:val="auto"/>
                <w:szCs w:val="20"/>
              </w:rPr>
              <w:t>but walks</w:t>
            </w:r>
            <w:r w:rsidR="00797FC6" w:rsidRPr="00920DFF">
              <w:rPr>
                <w:color w:val="auto"/>
                <w:szCs w:val="20"/>
              </w:rPr>
              <w:t xml:space="preserve"> with a cane</w:t>
            </w:r>
          </w:p>
          <w:p w14:paraId="442A1D22" w14:textId="6E6B34A4" w:rsidR="00797FC6" w:rsidRPr="00920DFF" w:rsidRDefault="00156EEB" w:rsidP="007633DD">
            <w:pPr>
              <w:numPr>
                <w:ilvl w:val="0"/>
                <w:numId w:val="12"/>
              </w:numPr>
              <w:ind w:left="158" w:hanging="187"/>
              <w:contextualSpacing/>
              <w:rPr>
                <w:color w:val="auto"/>
                <w:szCs w:val="20"/>
              </w:rPr>
            </w:pPr>
            <w:r w:rsidRPr="00920DFF">
              <w:rPr>
                <w:color w:val="auto"/>
                <w:szCs w:val="20"/>
              </w:rPr>
              <w:t>s</w:t>
            </w:r>
            <w:r w:rsidR="00797FC6" w:rsidRPr="00920DFF">
              <w:rPr>
                <w:color w:val="auto"/>
                <w:szCs w:val="20"/>
              </w:rPr>
              <w:t>urgery to joint</w:t>
            </w:r>
            <w:r w:rsidR="00E12AB7" w:rsidRPr="00920DFF">
              <w:rPr>
                <w:color w:val="auto"/>
                <w:szCs w:val="20"/>
              </w:rPr>
              <w:t xml:space="preserve"> </w:t>
            </w:r>
            <w:r w:rsidR="00A30738" w:rsidRPr="00920DFF">
              <w:rPr>
                <w:color w:val="auto"/>
                <w:szCs w:val="20"/>
              </w:rPr>
              <w:t>but scar</w:t>
            </w:r>
            <w:r w:rsidR="00797FC6" w:rsidRPr="00920DFF">
              <w:rPr>
                <w:color w:val="auto"/>
                <w:szCs w:val="20"/>
              </w:rPr>
              <w:t xml:space="preserve"> not addressed</w:t>
            </w:r>
          </w:p>
          <w:p w14:paraId="1EAC77AC" w14:textId="4A5FF375" w:rsidR="00797FC6" w:rsidRPr="00920DFF" w:rsidRDefault="00156EEB" w:rsidP="007633DD">
            <w:pPr>
              <w:numPr>
                <w:ilvl w:val="0"/>
                <w:numId w:val="12"/>
              </w:numPr>
              <w:ind w:left="158" w:hanging="187"/>
              <w:contextualSpacing/>
              <w:rPr>
                <w:color w:val="auto"/>
                <w:szCs w:val="20"/>
              </w:rPr>
            </w:pPr>
            <w:r w:rsidRPr="00920DFF">
              <w:rPr>
                <w:color w:val="auto"/>
                <w:szCs w:val="20"/>
              </w:rPr>
              <w:t>n</w:t>
            </w:r>
            <w:r w:rsidR="00797FC6" w:rsidRPr="00920DFF">
              <w:rPr>
                <w:color w:val="auto"/>
                <w:szCs w:val="20"/>
              </w:rPr>
              <w:t>o arthritis</w:t>
            </w:r>
            <w:r w:rsidR="00E12AB7" w:rsidRPr="00920DFF">
              <w:rPr>
                <w:color w:val="auto"/>
                <w:szCs w:val="20"/>
              </w:rPr>
              <w:t xml:space="preserve"> </w:t>
            </w:r>
            <w:r w:rsidR="00A30738" w:rsidRPr="00920DFF">
              <w:rPr>
                <w:color w:val="auto"/>
                <w:szCs w:val="20"/>
              </w:rPr>
              <w:t>but x</w:t>
            </w:r>
            <w:r w:rsidR="00797FC6" w:rsidRPr="00920DFF">
              <w:rPr>
                <w:color w:val="auto"/>
                <w:szCs w:val="20"/>
              </w:rPr>
              <w:t xml:space="preserve">-ray states </w:t>
            </w:r>
            <w:r w:rsidR="003F6BCA" w:rsidRPr="00920DFF">
              <w:rPr>
                <w:color w:val="auto"/>
                <w:szCs w:val="20"/>
              </w:rPr>
              <w:t>degenerative joint disease (</w:t>
            </w:r>
            <w:r w:rsidR="00797FC6" w:rsidRPr="00920DFF">
              <w:rPr>
                <w:color w:val="auto"/>
                <w:szCs w:val="20"/>
              </w:rPr>
              <w:t>DJD</w:t>
            </w:r>
            <w:r w:rsidR="003F6BCA" w:rsidRPr="00920DFF">
              <w:rPr>
                <w:color w:val="auto"/>
                <w:szCs w:val="20"/>
              </w:rPr>
              <w:t>)</w:t>
            </w:r>
          </w:p>
          <w:p w14:paraId="24E286D6" w14:textId="77777777" w:rsidR="00156EEB" w:rsidRPr="00920DFF" w:rsidRDefault="00156EEB" w:rsidP="007633DD">
            <w:pPr>
              <w:pStyle w:val="ListParagraph"/>
              <w:numPr>
                <w:ilvl w:val="0"/>
                <w:numId w:val="29"/>
              </w:numPr>
              <w:ind w:left="158" w:hanging="187"/>
              <w:rPr>
                <w:color w:val="auto"/>
                <w:szCs w:val="20"/>
              </w:rPr>
            </w:pPr>
            <w:r w:rsidRPr="00920DFF">
              <w:t>l</w:t>
            </w:r>
            <w:r w:rsidR="00797FC6" w:rsidRPr="00920DFF">
              <w:t xml:space="preserve">imited ROM but no diagnosis provided.  </w:t>
            </w:r>
          </w:p>
          <w:p w14:paraId="5977BE8D" w14:textId="557381D2" w:rsidR="00797FC6" w:rsidRPr="00920DFF" w:rsidRDefault="00797FC6" w:rsidP="007633DD">
            <w:pPr>
              <w:pStyle w:val="ListParagraph"/>
              <w:numPr>
                <w:ilvl w:val="0"/>
                <w:numId w:val="57"/>
              </w:numPr>
              <w:ind w:left="346" w:hanging="187"/>
              <w:rPr>
                <w:color w:val="auto"/>
                <w:szCs w:val="20"/>
              </w:rPr>
            </w:pPr>
            <w:r w:rsidRPr="00920DFF">
              <w:t xml:space="preserve">If the ROM is decreased for the </w:t>
            </w:r>
            <w:r w:rsidR="004F0BE7" w:rsidRPr="00920DFF">
              <w:t>a</w:t>
            </w:r>
            <w:r w:rsidRPr="00920DFF">
              <w:t>ffected joint but the ROM is the same on the unaffected joint then this is now the Veteran’s new “Normal” and must be documented as such.  Otherwise there is no explanation for decreased ROM</w:t>
            </w:r>
            <w:r w:rsidR="00156EEB" w:rsidRPr="00920DFF">
              <w:t>.</w:t>
            </w:r>
          </w:p>
          <w:p w14:paraId="478EB5B3" w14:textId="4B483772" w:rsidR="00156EEB" w:rsidRPr="00920DFF" w:rsidRDefault="00156EEB" w:rsidP="007633DD">
            <w:pPr>
              <w:pStyle w:val="ListParagraph"/>
              <w:numPr>
                <w:ilvl w:val="0"/>
                <w:numId w:val="58"/>
              </w:numPr>
              <w:ind w:left="158" w:hanging="187"/>
            </w:pPr>
            <w:r w:rsidRPr="00920DFF">
              <w:t>p</w:t>
            </w:r>
            <w:r w:rsidR="00797FC6" w:rsidRPr="00920DFF">
              <w:t>ain of joint with exam or movement bu</w:t>
            </w:r>
            <w:r w:rsidRPr="00920DFF">
              <w:t>t diagnosis is “</w:t>
            </w:r>
            <w:r w:rsidR="004F0BE7" w:rsidRPr="00920DFF">
              <w:t>n</w:t>
            </w:r>
            <w:r w:rsidRPr="00920DFF">
              <w:t xml:space="preserve">ormal joint”. </w:t>
            </w:r>
          </w:p>
          <w:p w14:paraId="61D6027C" w14:textId="0C92F41E" w:rsidR="00797FC6" w:rsidRPr="00920DFF" w:rsidRDefault="00156EEB" w:rsidP="007633DD">
            <w:pPr>
              <w:pStyle w:val="ListParagraph"/>
              <w:numPr>
                <w:ilvl w:val="0"/>
                <w:numId w:val="59"/>
              </w:numPr>
              <w:ind w:left="346" w:hanging="187"/>
            </w:pPr>
            <w:r w:rsidRPr="00920DFF">
              <w:t>i</w:t>
            </w:r>
            <w:r w:rsidR="00797FC6" w:rsidRPr="00920DFF">
              <w:t>n</w:t>
            </w:r>
            <w:r w:rsidRPr="00920DFF">
              <w:t xml:space="preserve">consistent statement and the examiner must provide an </w:t>
            </w:r>
            <w:r w:rsidR="00DB2BB1" w:rsidRPr="00920DFF">
              <w:t>explanation</w:t>
            </w:r>
            <w:r w:rsidRPr="00920DFF">
              <w:t xml:space="preserve"> in r</w:t>
            </w:r>
            <w:r w:rsidR="00797FC6" w:rsidRPr="00920DFF">
              <w:t>emarks section.</w:t>
            </w:r>
          </w:p>
          <w:p w14:paraId="6A2A3206" w14:textId="2DECDC0A" w:rsidR="00797FC6" w:rsidRPr="00920DFF" w:rsidRDefault="00156EEB" w:rsidP="007633DD">
            <w:pPr>
              <w:pStyle w:val="ListParagraph"/>
              <w:numPr>
                <w:ilvl w:val="0"/>
                <w:numId w:val="19"/>
              </w:numPr>
              <w:ind w:left="158" w:hanging="187"/>
            </w:pPr>
            <w:r w:rsidRPr="00920DFF">
              <w:t>s</w:t>
            </w:r>
            <w:r w:rsidR="00797FC6" w:rsidRPr="00920DFF">
              <w:t>tress fractures: resolved</w:t>
            </w:r>
            <w:r w:rsidRPr="00920DFF">
              <w:t>, and</w:t>
            </w:r>
          </w:p>
          <w:p w14:paraId="2BFE7BE4" w14:textId="45963144" w:rsidR="00EB3345" w:rsidRPr="00920DFF" w:rsidRDefault="00156EEB" w:rsidP="007633DD">
            <w:pPr>
              <w:pStyle w:val="ListParagraph"/>
              <w:numPr>
                <w:ilvl w:val="0"/>
                <w:numId w:val="56"/>
              </w:numPr>
              <w:ind w:left="158" w:hanging="187"/>
            </w:pPr>
            <w:r w:rsidRPr="00920DFF">
              <w:t>s</w:t>
            </w:r>
            <w:r w:rsidR="00797FC6" w:rsidRPr="00920DFF">
              <w:t>tress fractures with residual limited ROM, pain</w:t>
            </w:r>
            <w:r w:rsidRPr="00920DFF">
              <w:t>.</w:t>
            </w:r>
          </w:p>
          <w:p w14:paraId="21942C18" w14:textId="77777777" w:rsidR="00156EEB" w:rsidRPr="00920DFF" w:rsidRDefault="00156EEB" w:rsidP="00797FC6">
            <w:pPr>
              <w:rPr>
                <w:color w:val="auto"/>
                <w:szCs w:val="20"/>
              </w:rPr>
            </w:pPr>
          </w:p>
          <w:p w14:paraId="14AEA407" w14:textId="1A35526F" w:rsidR="00EB3345" w:rsidRPr="00920DFF" w:rsidRDefault="00EB3345" w:rsidP="00C23C37">
            <w:pPr>
              <w:rPr>
                <w:color w:val="auto"/>
                <w:szCs w:val="20"/>
              </w:rPr>
            </w:pPr>
            <w:r w:rsidRPr="00920DFF">
              <w:rPr>
                <w:b/>
                <w:i/>
                <w:color w:val="auto"/>
                <w:szCs w:val="20"/>
              </w:rPr>
              <w:t>Reference</w:t>
            </w:r>
            <w:r w:rsidRPr="00920DFF">
              <w:rPr>
                <w:color w:val="auto"/>
                <w:szCs w:val="20"/>
              </w:rPr>
              <w:t>:  For more information on musculoskeletal conditions, see</w:t>
            </w:r>
            <w:r w:rsidR="00BD6515" w:rsidRPr="00920DFF">
              <w:rPr>
                <w:color w:val="auto"/>
                <w:szCs w:val="20"/>
              </w:rPr>
              <w:t xml:space="preserve"> M21-1, Part III, Subpart iv, 4</w:t>
            </w:r>
            <w:r w:rsidRPr="00920DFF">
              <w:rPr>
                <w:color w:val="auto"/>
                <w:szCs w:val="20"/>
              </w:rPr>
              <w:t>.A.</w:t>
            </w:r>
          </w:p>
        </w:tc>
      </w:tr>
    </w:tbl>
    <w:p w14:paraId="033D644B" w14:textId="77777777" w:rsidR="0023660A" w:rsidRPr="00920DFF" w:rsidRDefault="0023660A" w:rsidP="0023660A">
      <w:pPr>
        <w:tabs>
          <w:tab w:val="left" w:pos="9360"/>
        </w:tabs>
        <w:spacing w:line="276" w:lineRule="auto"/>
        <w:ind w:left="1714"/>
        <w:rPr>
          <w:rFonts w:eastAsiaTheme="minorHAnsi" w:cstheme="minorBidi"/>
          <w:color w:val="auto"/>
          <w:szCs w:val="22"/>
        </w:rPr>
      </w:pPr>
      <w:r w:rsidRPr="00920DFF">
        <w:rPr>
          <w:rFonts w:eastAsiaTheme="minorHAnsi" w:cstheme="minorBidi"/>
          <w:color w:val="auto"/>
          <w:szCs w:val="22"/>
          <w:u w:val="single"/>
        </w:rPr>
        <w:tab/>
      </w:r>
    </w:p>
    <w:p w14:paraId="5E5CB39C" w14:textId="77777777" w:rsidR="0023660A" w:rsidRPr="00920DFF" w:rsidRDefault="0023660A" w:rsidP="005B726A">
      <w:pPr>
        <w:rPr>
          <w:rFonts w:eastAsiaTheme="minorHAnsi" w:cstheme="minorBidi"/>
          <w:color w:val="auto"/>
          <w:szCs w:val="22"/>
        </w:rPr>
      </w:pPr>
    </w:p>
    <w:tbl>
      <w:tblPr>
        <w:tblStyle w:val="TableGrid"/>
        <w:tblW w:w="0" w:type="auto"/>
        <w:tblLook w:val="04A0" w:firstRow="1" w:lastRow="0" w:firstColumn="1" w:lastColumn="0" w:noHBand="0" w:noVBand="1"/>
      </w:tblPr>
      <w:tblGrid>
        <w:gridCol w:w="1728"/>
        <w:gridCol w:w="7740"/>
      </w:tblGrid>
      <w:tr w:rsidR="0023660A" w:rsidRPr="00920DFF" w14:paraId="60FD459C" w14:textId="77777777" w:rsidTr="00C23C37">
        <w:tc>
          <w:tcPr>
            <w:tcW w:w="1728" w:type="dxa"/>
            <w:shd w:val="clear" w:color="auto" w:fill="auto"/>
          </w:tcPr>
          <w:p w14:paraId="2B5EB12C" w14:textId="35A62FD2" w:rsidR="0023660A" w:rsidRPr="00920DFF" w:rsidRDefault="004561A1" w:rsidP="00C22FF3">
            <w:pPr>
              <w:pStyle w:val="Heading5"/>
            </w:pPr>
            <w:bookmarkStart w:id="39" w:name="_.__Nerves"/>
            <w:bookmarkEnd w:id="39"/>
            <w:r w:rsidRPr="00920DFF">
              <w:t>h</w:t>
            </w:r>
            <w:r w:rsidR="0023660A" w:rsidRPr="00920DFF">
              <w:t>.  Nerves</w:t>
            </w:r>
            <w:r w:rsidR="00C22FF3" w:rsidRPr="00920DFF">
              <w:rPr>
                <w:rFonts w:eastAsiaTheme="minorHAnsi"/>
              </w:rPr>
              <w:t xml:space="preserve"> Examination Report Review</w:t>
            </w:r>
          </w:p>
        </w:tc>
        <w:tc>
          <w:tcPr>
            <w:tcW w:w="7740" w:type="dxa"/>
            <w:shd w:val="clear" w:color="auto" w:fill="auto"/>
          </w:tcPr>
          <w:p w14:paraId="31277DF4" w14:textId="4A64D33C" w:rsidR="001569F3" w:rsidRPr="00920DFF" w:rsidRDefault="0023660A" w:rsidP="00C23C37">
            <w:pPr>
              <w:rPr>
                <w:color w:val="auto"/>
                <w:szCs w:val="20"/>
              </w:rPr>
            </w:pPr>
            <w:r w:rsidRPr="00920DFF">
              <w:rPr>
                <w:color w:val="auto"/>
                <w:szCs w:val="20"/>
              </w:rPr>
              <w:t>Examiners must identify the nerve that best correlate</w:t>
            </w:r>
            <w:r w:rsidR="00E12AB7" w:rsidRPr="00920DFF">
              <w:rPr>
                <w:color w:val="auto"/>
                <w:szCs w:val="20"/>
              </w:rPr>
              <w:t>s</w:t>
            </w:r>
            <w:r w:rsidRPr="00920DFF">
              <w:rPr>
                <w:color w:val="auto"/>
                <w:szCs w:val="20"/>
              </w:rPr>
              <w:t xml:space="preserve"> to the area </w:t>
            </w:r>
            <w:r w:rsidR="004F0BE7" w:rsidRPr="00920DFF">
              <w:rPr>
                <w:color w:val="auto"/>
                <w:szCs w:val="20"/>
              </w:rPr>
              <w:t>a</w:t>
            </w:r>
            <w:r w:rsidRPr="00920DFF">
              <w:rPr>
                <w:color w:val="auto"/>
                <w:szCs w:val="20"/>
              </w:rPr>
              <w:t xml:space="preserve">ffected even though the condition is a spinal cord nerve condition.  </w:t>
            </w:r>
          </w:p>
          <w:p w14:paraId="50A0AF51" w14:textId="77777777" w:rsidR="001569F3" w:rsidRPr="00920DFF" w:rsidRDefault="001569F3" w:rsidP="00C23C37">
            <w:pPr>
              <w:rPr>
                <w:color w:val="auto"/>
                <w:szCs w:val="20"/>
              </w:rPr>
            </w:pPr>
          </w:p>
          <w:p w14:paraId="6ABFBBD3" w14:textId="64D4677C" w:rsidR="0023660A" w:rsidRPr="00920DFF" w:rsidRDefault="001569F3" w:rsidP="00C23C37">
            <w:pPr>
              <w:rPr>
                <w:color w:val="auto"/>
                <w:szCs w:val="20"/>
              </w:rPr>
            </w:pPr>
            <w:r w:rsidRPr="00920DFF">
              <w:rPr>
                <w:color w:val="auto"/>
                <w:szCs w:val="20"/>
              </w:rPr>
              <w:t>This information will allow t</w:t>
            </w:r>
            <w:r w:rsidR="0023660A" w:rsidRPr="00920DFF">
              <w:rPr>
                <w:color w:val="auto"/>
                <w:szCs w:val="20"/>
              </w:rPr>
              <w:t>h</w:t>
            </w:r>
            <w:r w:rsidRPr="00920DFF">
              <w:rPr>
                <w:color w:val="auto"/>
                <w:szCs w:val="20"/>
              </w:rPr>
              <w:t xml:space="preserve">e rating decision to </w:t>
            </w:r>
            <w:r w:rsidR="00A91779" w:rsidRPr="00920DFF">
              <w:rPr>
                <w:color w:val="auto"/>
                <w:szCs w:val="20"/>
              </w:rPr>
              <w:t>address</w:t>
            </w:r>
            <w:r w:rsidRPr="00920DFF">
              <w:rPr>
                <w:color w:val="auto"/>
                <w:szCs w:val="20"/>
              </w:rPr>
              <w:t xml:space="preserve"> the </w:t>
            </w:r>
            <w:r w:rsidR="0023660A" w:rsidRPr="00920DFF">
              <w:rPr>
                <w:color w:val="auto"/>
                <w:szCs w:val="20"/>
              </w:rPr>
              <w:t>functional im</w:t>
            </w:r>
            <w:r w:rsidRPr="00920DFF">
              <w:rPr>
                <w:color w:val="auto"/>
                <w:szCs w:val="20"/>
              </w:rPr>
              <w:t xml:space="preserve">pairment of the area </w:t>
            </w:r>
            <w:r w:rsidR="004F0BE7" w:rsidRPr="00920DFF">
              <w:rPr>
                <w:color w:val="auto"/>
                <w:szCs w:val="20"/>
              </w:rPr>
              <w:t>a</w:t>
            </w:r>
            <w:r w:rsidRPr="00920DFF">
              <w:rPr>
                <w:color w:val="auto"/>
                <w:szCs w:val="20"/>
              </w:rPr>
              <w:t>ffected.</w:t>
            </w:r>
          </w:p>
          <w:p w14:paraId="58957B7F" w14:textId="77777777" w:rsidR="0023660A" w:rsidRPr="00920DFF" w:rsidRDefault="0023660A" w:rsidP="00C23C37">
            <w:pPr>
              <w:rPr>
                <w:color w:val="auto"/>
                <w:szCs w:val="20"/>
              </w:rPr>
            </w:pPr>
          </w:p>
          <w:p w14:paraId="79AF9BE9" w14:textId="47D3D810" w:rsidR="0023660A" w:rsidRPr="00920DFF" w:rsidRDefault="0023660A" w:rsidP="00C23C37">
            <w:pPr>
              <w:rPr>
                <w:color w:val="auto"/>
                <w:szCs w:val="20"/>
              </w:rPr>
            </w:pPr>
            <w:r w:rsidRPr="00920DFF">
              <w:rPr>
                <w:b/>
                <w:i/>
                <w:color w:val="auto"/>
                <w:szCs w:val="20"/>
              </w:rPr>
              <w:t>Reference</w:t>
            </w:r>
            <w:r w:rsidRPr="00920DFF">
              <w:rPr>
                <w:color w:val="auto"/>
                <w:szCs w:val="20"/>
              </w:rPr>
              <w:t xml:space="preserve">:  For more information on diseases of the peripheral nerves, see </w:t>
            </w:r>
            <w:hyperlink r:id="rId38" w:history="1">
              <w:r w:rsidRPr="00920DFF">
                <w:rPr>
                  <w:rStyle w:val="Hyperlink"/>
                  <w:szCs w:val="20"/>
                </w:rPr>
                <w:t>38 CFR 4.120</w:t>
              </w:r>
            </w:hyperlink>
            <w:r w:rsidR="00EA0C3D" w:rsidRPr="00920DFF">
              <w:rPr>
                <w:color w:val="auto"/>
                <w:szCs w:val="20"/>
              </w:rPr>
              <w:t>.</w:t>
            </w:r>
          </w:p>
        </w:tc>
      </w:tr>
    </w:tbl>
    <w:p w14:paraId="6F645732" w14:textId="77777777" w:rsidR="0023660A" w:rsidRPr="00920DFF" w:rsidRDefault="0023660A" w:rsidP="0023660A">
      <w:pPr>
        <w:tabs>
          <w:tab w:val="left" w:pos="9360"/>
        </w:tabs>
        <w:spacing w:line="276" w:lineRule="auto"/>
        <w:ind w:left="1714"/>
        <w:rPr>
          <w:rFonts w:eastAsiaTheme="minorHAnsi" w:cstheme="minorBidi"/>
          <w:color w:val="auto"/>
          <w:szCs w:val="22"/>
        </w:rPr>
      </w:pPr>
      <w:r w:rsidRPr="00920DFF">
        <w:rPr>
          <w:rFonts w:eastAsiaTheme="minorHAnsi" w:cstheme="minorBidi"/>
          <w:color w:val="auto"/>
          <w:szCs w:val="22"/>
          <w:u w:val="single"/>
        </w:rPr>
        <w:tab/>
      </w:r>
    </w:p>
    <w:p w14:paraId="6D1074D3" w14:textId="77777777" w:rsidR="0023660A" w:rsidRPr="00920DFF" w:rsidRDefault="0023660A" w:rsidP="005B726A">
      <w:pPr>
        <w:rPr>
          <w:rFonts w:eastAsiaTheme="minorHAnsi" w:cstheme="minorBidi"/>
          <w:color w:val="auto"/>
          <w:szCs w:val="22"/>
        </w:rPr>
      </w:pPr>
    </w:p>
    <w:tbl>
      <w:tblPr>
        <w:tblStyle w:val="TableGrid"/>
        <w:tblW w:w="0" w:type="auto"/>
        <w:tblLook w:val="04A0" w:firstRow="1" w:lastRow="0" w:firstColumn="1" w:lastColumn="0" w:noHBand="0" w:noVBand="1"/>
      </w:tblPr>
      <w:tblGrid>
        <w:gridCol w:w="1728"/>
        <w:gridCol w:w="7740"/>
      </w:tblGrid>
      <w:tr w:rsidR="00B72EA6" w:rsidRPr="00920DFF" w14:paraId="6C2E487D" w14:textId="77777777" w:rsidTr="00AB62AD">
        <w:tc>
          <w:tcPr>
            <w:tcW w:w="1728" w:type="dxa"/>
            <w:shd w:val="clear" w:color="auto" w:fill="auto"/>
          </w:tcPr>
          <w:p w14:paraId="7FE2F599" w14:textId="19088ED3" w:rsidR="00B72EA6" w:rsidRPr="00920DFF" w:rsidRDefault="004561A1" w:rsidP="00C832CF">
            <w:pPr>
              <w:pStyle w:val="Heading5"/>
            </w:pPr>
            <w:bookmarkStart w:id="40" w:name="_.__Pulmonary"/>
            <w:bookmarkEnd w:id="40"/>
            <w:r w:rsidRPr="00920DFF">
              <w:t>i</w:t>
            </w:r>
            <w:r w:rsidR="00B72EA6" w:rsidRPr="00920DFF">
              <w:t xml:space="preserve">.  </w:t>
            </w:r>
            <w:r w:rsidR="00C832CF" w:rsidRPr="00920DFF">
              <w:t>PFT</w:t>
            </w:r>
            <w:r w:rsidR="00C22FF3" w:rsidRPr="00920DFF">
              <w:rPr>
                <w:rFonts w:eastAsiaTheme="minorHAnsi"/>
              </w:rPr>
              <w:t xml:space="preserve"> Examination Report Review</w:t>
            </w:r>
          </w:p>
        </w:tc>
        <w:tc>
          <w:tcPr>
            <w:tcW w:w="7740" w:type="dxa"/>
            <w:shd w:val="clear" w:color="auto" w:fill="auto"/>
          </w:tcPr>
          <w:p w14:paraId="4C9BDA52" w14:textId="77777777" w:rsidR="00B906C8" w:rsidRPr="00920DFF" w:rsidRDefault="00B72EA6" w:rsidP="00B72EA6">
            <w:pPr>
              <w:rPr>
                <w:color w:val="auto"/>
                <w:szCs w:val="20"/>
              </w:rPr>
            </w:pPr>
            <w:r w:rsidRPr="00920DFF">
              <w:rPr>
                <w:color w:val="auto"/>
                <w:szCs w:val="20"/>
              </w:rPr>
              <w:t xml:space="preserve">Pulmonary function tests </w:t>
            </w:r>
            <w:r w:rsidR="0062075B" w:rsidRPr="00920DFF">
              <w:rPr>
                <w:color w:val="auto"/>
                <w:szCs w:val="20"/>
              </w:rPr>
              <w:t>(PFT</w:t>
            </w:r>
            <w:r w:rsidR="00F85517" w:rsidRPr="00920DFF">
              <w:rPr>
                <w:color w:val="auto"/>
                <w:szCs w:val="20"/>
              </w:rPr>
              <w:t>s</w:t>
            </w:r>
            <w:r w:rsidR="0062075B" w:rsidRPr="00920DFF">
              <w:rPr>
                <w:color w:val="auto"/>
                <w:szCs w:val="20"/>
              </w:rPr>
              <w:t xml:space="preserve">) </w:t>
            </w:r>
            <w:r w:rsidRPr="00920DFF">
              <w:rPr>
                <w:color w:val="auto"/>
                <w:szCs w:val="20"/>
              </w:rPr>
              <w:t xml:space="preserve">are required for most pulmonary conditions unless </w:t>
            </w:r>
          </w:p>
          <w:p w14:paraId="0BEB261A" w14:textId="77777777" w:rsidR="00B906C8" w:rsidRPr="00920DFF" w:rsidRDefault="00B906C8" w:rsidP="00B72EA6">
            <w:pPr>
              <w:rPr>
                <w:color w:val="auto"/>
                <w:szCs w:val="20"/>
              </w:rPr>
            </w:pPr>
          </w:p>
          <w:p w14:paraId="63A5F668" w14:textId="77777777" w:rsidR="00B906C8" w:rsidRPr="00920DFF" w:rsidRDefault="00B72EA6" w:rsidP="007633DD">
            <w:pPr>
              <w:pStyle w:val="ListParagraph"/>
              <w:numPr>
                <w:ilvl w:val="0"/>
                <w:numId w:val="61"/>
              </w:numPr>
              <w:ind w:left="158" w:hanging="187"/>
            </w:pPr>
            <w:r w:rsidRPr="00920DFF">
              <w:t xml:space="preserve">there is a recent study in the Veteran’s records that accurately reflects </w:t>
            </w:r>
            <w:r w:rsidR="00B906C8" w:rsidRPr="00920DFF">
              <w:t>the Veteran’s current condition, or</w:t>
            </w:r>
          </w:p>
          <w:p w14:paraId="40F4F8AD" w14:textId="21CF7742" w:rsidR="00B72EA6" w:rsidRPr="00920DFF" w:rsidRDefault="00B906C8" w:rsidP="007633DD">
            <w:pPr>
              <w:pStyle w:val="ListParagraph"/>
              <w:numPr>
                <w:ilvl w:val="0"/>
                <w:numId w:val="61"/>
              </w:numPr>
              <w:ind w:left="158" w:hanging="187"/>
            </w:pPr>
            <w:proofErr w:type="gramStart"/>
            <w:r w:rsidRPr="00920DFF">
              <w:t>the</w:t>
            </w:r>
            <w:proofErr w:type="gramEnd"/>
            <w:r w:rsidRPr="00920DFF">
              <w:t xml:space="preserve"> examiner provides  an expl</w:t>
            </w:r>
            <w:r w:rsidR="004F0BE7" w:rsidRPr="00920DFF">
              <w:t>a</w:t>
            </w:r>
            <w:r w:rsidRPr="00920DFF">
              <w:t>nation on the special exc</w:t>
            </w:r>
            <w:r w:rsidR="004F0BE7" w:rsidRPr="00920DFF">
              <w:t>e</w:t>
            </w:r>
            <w:r w:rsidRPr="00920DFF">
              <w:t>ptions</w:t>
            </w:r>
            <w:r w:rsidR="00274008" w:rsidRPr="00920DFF">
              <w:t xml:space="preserve"> </w:t>
            </w:r>
            <w:r w:rsidRPr="00920DFF">
              <w:t xml:space="preserve">listed in </w:t>
            </w:r>
            <w:hyperlink r:id="rId39" w:history="1">
              <w:r w:rsidRPr="00920DFF">
                <w:rPr>
                  <w:rStyle w:val="Hyperlink"/>
                </w:rPr>
                <w:t>38 CFR 4.96(d)</w:t>
              </w:r>
              <w:r w:rsidR="00274008" w:rsidRPr="00920DFF">
                <w:rPr>
                  <w:rStyle w:val="Hyperlink"/>
                </w:rPr>
                <w:t>(i) through (iv)</w:t>
              </w:r>
            </w:hyperlink>
            <w:r w:rsidRPr="00920DFF">
              <w:t>.</w:t>
            </w:r>
            <w:r w:rsidR="00B72EA6" w:rsidRPr="00920DFF">
              <w:t xml:space="preserve">  </w:t>
            </w:r>
          </w:p>
          <w:p w14:paraId="10F4D5B3" w14:textId="77777777" w:rsidR="00B72EA6" w:rsidRPr="00920DFF" w:rsidRDefault="00B72EA6" w:rsidP="00B72EA6">
            <w:pPr>
              <w:rPr>
                <w:color w:val="auto"/>
                <w:szCs w:val="20"/>
              </w:rPr>
            </w:pPr>
          </w:p>
          <w:p w14:paraId="1BB6E722" w14:textId="77777777" w:rsidR="00B72EA6" w:rsidRPr="00920DFF" w:rsidRDefault="00B72EA6" w:rsidP="00B72EA6">
            <w:pPr>
              <w:rPr>
                <w:color w:val="auto"/>
                <w:szCs w:val="20"/>
              </w:rPr>
            </w:pPr>
            <w:r w:rsidRPr="00920DFF">
              <w:rPr>
                <w:color w:val="auto"/>
                <w:szCs w:val="20"/>
              </w:rPr>
              <w:t xml:space="preserve">Obtaining and reporting the PFT is only half of the requirement.  The other half of the requirement is for the examiner to interpret the PFT in relation to the claimed condition.  </w:t>
            </w:r>
          </w:p>
          <w:p w14:paraId="1071F81C" w14:textId="77777777" w:rsidR="00B72EA6" w:rsidRPr="00920DFF" w:rsidRDefault="00B72EA6" w:rsidP="00B72EA6">
            <w:pPr>
              <w:rPr>
                <w:color w:val="auto"/>
                <w:szCs w:val="20"/>
              </w:rPr>
            </w:pPr>
          </w:p>
          <w:p w14:paraId="2765B326" w14:textId="67A7122C" w:rsidR="00B72EA6" w:rsidRPr="00920DFF" w:rsidRDefault="00B72EA6" w:rsidP="00B72EA6">
            <w:pPr>
              <w:rPr>
                <w:color w:val="auto"/>
                <w:szCs w:val="20"/>
              </w:rPr>
            </w:pPr>
            <w:r w:rsidRPr="00920DFF">
              <w:rPr>
                <w:b/>
                <w:i/>
                <w:color w:val="auto"/>
                <w:szCs w:val="20"/>
              </w:rPr>
              <w:t>References</w:t>
            </w:r>
            <w:r w:rsidR="0022083B" w:rsidRPr="00920DFF">
              <w:rPr>
                <w:color w:val="auto"/>
                <w:szCs w:val="20"/>
              </w:rPr>
              <w:t>:  For more information on</w:t>
            </w:r>
          </w:p>
          <w:p w14:paraId="0396793F" w14:textId="5E6BC915" w:rsidR="00B72EA6" w:rsidRPr="00920DFF" w:rsidRDefault="00B72EA6" w:rsidP="007633DD">
            <w:pPr>
              <w:numPr>
                <w:ilvl w:val="0"/>
                <w:numId w:val="13"/>
              </w:numPr>
              <w:ind w:left="158" w:hanging="187"/>
              <w:contextualSpacing/>
              <w:rPr>
                <w:color w:val="auto"/>
                <w:szCs w:val="20"/>
              </w:rPr>
            </w:pPr>
            <w:r w:rsidRPr="00920DFF">
              <w:rPr>
                <w:color w:val="auto"/>
                <w:szCs w:val="20"/>
              </w:rPr>
              <w:t>when PFTs are required, see M21-1, Part III,  Subpart iv, 4.D.1.</w:t>
            </w:r>
            <w:r w:rsidR="004F0BE7" w:rsidRPr="00920DFF">
              <w:rPr>
                <w:color w:val="auto"/>
                <w:szCs w:val="20"/>
              </w:rPr>
              <w:t>i</w:t>
            </w:r>
            <w:r w:rsidRPr="00920DFF">
              <w:rPr>
                <w:color w:val="auto"/>
                <w:szCs w:val="20"/>
              </w:rPr>
              <w:t>, and</w:t>
            </w:r>
          </w:p>
          <w:p w14:paraId="3EB62175" w14:textId="680E2030" w:rsidR="00B72EA6" w:rsidRPr="00920DFF" w:rsidRDefault="00B72EA6" w:rsidP="007633DD">
            <w:pPr>
              <w:numPr>
                <w:ilvl w:val="0"/>
                <w:numId w:val="14"/>
              </w:numPr>
              <w:ind w:left="158" w:hanging="187"/>
              <w:contextualSpacing/>
              <w:rPr>
                <w:color w:val="auto"/>
                <w:szCs w:val="20"/>
              </w:rPr>
            </w:pPr>
            <w:r w:rsidRPr="00920DFF">
              <w:rPr>
                <w:color w:val="auto"/>
                <w:szCs w:val="20"/>
              </w:rPr>
              <w:t>assigning disability evaluations based on the results of PFTs, see M21-1, Part III,  Subpart iv, 4.D.1.</w:t>
            </w:r>
            <w:r w:rsidR="004F0BE7" w:rsidRPr="00920DFF">
              <w:rPr>
                <w:color w:val="auto"/>
                <w:szCs w:val="20"/>
              </w:rPr>
              <w:t>j</w:t>
            </w:r>
            <w:r w:rsidR="00EA0C3D" w:rsidRPr="00920DFF">
              <w:rPr>
                <w:color w:val="auto"/>
                <w:szCs w:val="20"/>
              </w:rPr>
              <w:t>.</w:t>
            </w:r>
          </w:p>
        </w:tc>
      </w:tr>
    </w:tbl>
    <w:p w14:paraId="469FCC16" w14:textId="70EADC9A" w:rsidR="00B72EA6" w:rsidRPr="00920DFF" w:rsidRDefault="00B72EA6" w:rsidP="00B72EA6">
      <w:pPr>
        <w:tabs>
          <w:tab w:val="left" w:pos="9360"/>
        </w:tabs>
        <w:spacing w:line="276" w:lineRule="auto"/>
        <w:ind w:left="1714"/>
        <w:rPr>
          <w:rFonts w:eastAsiaTheme="minorHAnsi" w:cstheme="minorBidi"/>
          <w:color w:val="auto"/>
          <w:szCs w:val="22"/>
        </w:rPr>
      </w:pPr>
      <w:r w:rsidRPr="00920DFF">
        <w:rPr>
          <w:rFonts w:eastAsiaTheme="minorHAnsi" w:cstheme="minorBidi"/>
          <w:color w:val="auto"/>
          <w:szCs w:val="22"/>
          <w:u w:val="single"/>
        </w:rPr>
        <w:tab/>
      </w:r>
    </w:p>
    <w:p w14:paraId="228DFD9F" w14:textId="1CFD622D" w:rsidR="00B72EA6" w:rsidRPr="00920DFF" w:rsidRDefault="00B72EA6" w:rsidP="005B726A">
      <w:pPr>
        <w:rPr>
          <w:rFonts w:eastAsiaTheme="minorHAnsi" w:cstheme="minorBidi"/>
          <w:color w:val="auto"/>
          <w:szCs w:val="22"/>
        </w:rPr>
      </w:pPr>
    </w:p>
    <w:tbl>
      <w:tblPr>
        <w:tblW w:w="0" w:type="auto"/>
        <w:tblLayout w:type="fixed"/>
        <w:tblLook w:val="0000" w:firstRow="0" w:lastRow="0" w:firstColumn="0" w:lastColumn="0" w:noHBand="0" w:noVBand="0"/>
      </w:tblPr>
      <w:tblGrid>
        <w:gridCol w:w="1728"/>
        <w:gridCol w:w="7740"/>
      </w:tblGrid>
      <w:tr w:rsidR="00A22B73" w:rsidRPr="00920DFF" w14:paraId="023FC456" w14:textId="77777777" w:rsidTr="00543AAA">
        <w:tc>
          <w:tcPr>
            <w:tcW w:w="1728" w:type="dxa"/>
          </w:tcPr>
          <w:p w14:paraId="71AEA757" w14:textId="6DE1C78A" w:rsidR="00A22B73" w:rsidRPr="00920DFF" w:rsidRDefault="004561A1" w:rsidP="00614CF6">
            <w:pPr>
              <w:pStyle w:val="Heading5"/>
            </w:pPr>
            <w:bookmarkStart w:id="41" w:name="_.__PTSD"/>
            <w:bookmarkEnd w:id="41"/>
            <w:r w:rsidRPr="00920DFF">
              <w:t>j</w:t>
            </w:r>
            <w:r w:rsidR="00A22B73" w:rsidRPr="00920DFF">
              <w:t>.  PTSD Examination Re</w:t>
            </w:r>
            <w:r w:rsidR="00614CF6" w:rsidRPr="00920DFF">
              <w:t>view</w:t>
            </w:r>
          </w:p>
        </w:tc>
        <w:tc>
          <w:tcPr>
            <w:tcW w:w="7740" w:type="dxa"/>
          </w:tcPr>
          <w:p w14:paraId="5456A5BF" w14:textId="785BE8F3" w:rsidR="00A22B73" w:rsidRPr="00920DFF" w:rsidRDefault="00A22B73" w:rsidP="00543AAA">
            <w:pPr>
              <w:pStyle w:val="BlockText"/>
            </w:pPr>
            <w:r w:rsidRPr="00920DFF">
              <w:t xml:space="preserve">Reasons that a PTSD examination report may be insufficient for VA purposes </w:t>
            </w:r>
            <w:r w:rsidR="00966F53" w:rsidRPr="00920DFF">
              <w:t>are detailed in M21-1, Part III, Subpart iv, 4.H.5.c</w:t>
            </w:r>
            <w:r w:rsidR="00E12AB7" w:rsidRPr="00920DFF">
              <w:t>.</w:t>
            </w:r>
          </w:p>
          <w:p w14:paraId="725000E8" w14:textId="133E2D55" w:rsidR="00614CF6" w:rsidRPr="00920DFF" w:rsidRDefault="00614CF6" w:rsidP="00966F53">
            <w:pPr>
              <w:pStyle w:val="ListParagraph"/>
              <w:ind w:left="158"/>
              <w:rPr>
                <w:bCs/>
              </w:rPr>
            </w:pPr>
          </w:p>
        </w:tc>
      </w:tr>
    </w:tbl>
    <w:p w14:paraId="5B4713A6" w14:textId="5116E2A5" w:rsidR="00A22B73" w:rsidRPr="00920DFF" w:rsidRDefault="005814A3" w:rsidP="005814A3">
      <w:pPr>
        <w:tabs>
          <w:tab w:val="left" w:pos="9360"/>
        </w:tabs>
        <w:ind w:left="1714"/>
        <w:rPr>
          <w:rFonts w:eastAsiaTheme="minorHAnsi" w:cstheme="minorBidi"/>
          <w:color w:val="auto"/>
          <w:szCs w:val="22"/>
        </w:rPr>
      </w:pPr>
      <w:r w:rsidRPr="00920DFF">
        <w:rPr>
          <w:rFonts w:eastAsiaTheme="minorHAnsi" w:cstheme="minorBidi"/>
          <w:color w:val="auto"/>
          <w:szCs w:val="22"/>
          <w:u w:val="single"/>
        </w:rPr>
        <w:tab/>
      </w:r>
    </w:p>
    <w:p w14:paraId="23615F13" w14:textId="77777777" w:rsidR="00866C0D" w:rsidRPr="00920DFF" w:rsidRDefault="00866C0D" w:rsidP="005B726A">
      <w:pPr>
        <w:rPr>
          <w:rFonts w:eastAsiaTheme="minorHAnsi" w:cstheme="minorBidi"/>
          <w:color w:val="auto"/>
          <w:szCs w:val="22"/>
        </w:rPr>
      </w:pPr>
    </w:p>
    <w:tbl>
      <w:tblPr>
        <w:tblStyle w:val="TableGrid"/>
        <w:tblW w:w="0" w:type="auto"/>
        <w:tblLook w:val="04A0" w:firstRow="1" w:lastRow="0" w:firstColumn="1" w:lastColumn="0" w:noHBand="0" w:noVBand="1"/>
      </w:tblPr>
      <w:tblGrid>
        <w:gridCol w:w="1728"/>
        <w:gridCol w:w="7740"/>
      </w:tblGrid>
      <w:tr w:rsidR="00B72EA6" w:rsidRPr="00920DFF" w14:paraId="65082926" w14:textId="77777777" w:rsidTr="00AB62AD">
        <w:tc>
          <w:tcPr>
            <w:tcW w:w="1728" w:type="dxa"/>
            <w:shd w:val="clear" w:color="auto" w:fill="auto"/>
          </w:tcPr>
          <w:p w14:paraId="2CDE481E" w14:textId="13B9C478" w:rsidR="00B72EA6" w:rsidRPr="00920DFF" w:rsidRDefault="004561A1" w:rsidP="00C22FF3">
            <w:pPr>
              <w:pStyle w:val="Heading5"/>
            </w:pPr>
            <w:bookmarkStart w:id="42" w:name="_.__Skin"/>
            <w:bookmarkEnd w:id="42"/>
            <w:r w:rsidRPr="00920DFF">
              <w:t>k</w:t>
            </w:r>
            <w:r w:rsidR="00B72EA6" w:rsidRPr="00920DFF">
              <w:t>.  Skin and Scars</w:t>
            </w:r>
            <w:r w:rsidR="00C22FF3" w:rsidRPr="00920DFF">
              <w:rPr>
                <w:rFonts w:eastAsiaTheme="minorHAnsi"/>
              </w:rPr>
              <w:t xml:space="preserve"> Examination Report Review</w:t>
            </w:r>
          </w:p>
        </w:tc>
        <w:tc>
          <w:tcPr>
            <w:tcW w:w="7740" w:type="dxa"/>
            <w:shd w:val="clear" w:color="auto" w:fill="auto"/>
          </w:tcPr>
          <w:p w14:paraId="12CEABC7" w14:textId="52EDD81B" w:rsidR="00722549" w:rsidRPr="00920DFF" w:rsidRDefault="00722549" w:rsidP="00B72EA6">
            <w:pPr>
              <w:rPr>
                <w:color w:val="auto"/>
                <w:szCs w:val="20"/>
              </w:rPr>
            </w:pPr>
            <w:r w:rsidRPr="00920DFF">
              <w:rPr>
                <w:color w:val="auto"/>
                <w:szCs w:val="20"/>
              </w:rPr>
              <w:t>To ensure a s</w:t>
            </w:r>
            <w:r w:rsidR="00B72EA6" w:rsidRPr="00920DFF">
              <w:rPr>
                <w:color w:val="auto"/>
                <w:szCs w:val="20"/>
              </w:rPr>
              <w:t xml:space="preserve">kin or </w:t>
            </w:r>
            <w:r w:rsidRPr="00920DFF">
              <w:rPr>
                <w:color w:val="auto"/>
                <w:szCs w:val="20"/>
              </w:rPr>
              <w:t>s</w:t>
            </w:r>
            <w:r w:rsidR="00B72EA6" w:rsidRPr="00920DFF">
              <w:rPr>
                <w:color w:val="auto"/>
                <w:szCs w:val="20"/>
              </w:rPr>
              <w:t>car examination is not considered insuffi</w:t>
            </w:r>
            <w:r w:rsidR="00D27869" w:rsidRPr="00920DFF">
              <w:rPr>
                <w:color w:val="auto"/>
                <w:szCs w:val="20"/>
              </w:rPr>
              <w:t xml:space="preserve">cient, </w:t>
            </w:r>
            <w:r w:rsidR="00966F53" w:rsidRPr="00920DFF">
              <w:rPr>
                <w:color w:val="auto"/>
                <w:szCs w:val="20"/>
              </w:rPr>
              <w:t xml:space="preserve">the sections regarding body surface areas on the </w:t>
            </w:r>
            <w:r w:rsidR="004909A7" w:rsidRPr="00920DFF">
              <w:rPr>
                <w:color w:val="auto"/>
                <w:szCs w:val="20"/>
              </w:rPr>
              <w:t>s</w:t>
            </w:r>
            <w:r w:rsidR="00966F53" w:rsidRPr="00920DFF">
              <w:rPr>
                <w:color w:val="auto"/>
                <w:szCs w:val="20"/>
              </w:rPr>
              <w:t xml:space="preserve">kin DBQ would need to be completed.  Specifically, the affected </w:t>
            </w:r>
            <w:r w:rsidR="00D27869" w:rsidRPr="00920DFF">
              <w:rPr>
                <w:color w:val="auto"/>
                <w:szCs w:val="20"/>
              </w:rPr>
              <w:t>areas need</w:t>
            </w:r>
            <w:r w:rsidR="00B72EA6" w:rsidRPr="00920DFF">
              <w:rPr>
                <w:color w:val="auto"/>
                <w:szCs w:val="20"/>
              </w:rPr>
              <w:t xml:space="preserve"> </w:t>
            </w:r>
          </w:p>
          <w:p w14:paraId="39958BF1" w14:textId="77777777" w:rsidR="00722549" w:rsidRPr="00920DFF" w:rsidRDefault="00722549" w:rsidP="00B72EA6">
            <w:pPr>
              <w:rPr>
                <w:color w:val="auto"/>
                <w:szCs w:val="20"/>
              </w:rPr>
            </w:pPr>
          </w:p>
          <w:p w14:paraId="020E51AE" w14:textId="4A072DE8" w:rsidR="00722549" w:rsidRPr="00920DFF" w:rsidRDefault="00D27869" w:rsidP="007633DD">
            <w:pPr>
              <w:pStyle w:val="ListParagraph"/>
              <w:numPr>
                <w:ilvl w:val="0"/>
                <w:numId w:val="16"/>
              </w:numPr>
              <w:ind w:left="158" w:hanging="187"/>
            </w:pPr>
            <w:r w:rsidRPr="00920DFF">
              <w:t xml:space="preserve">to be </w:t>
            </w:r>
            <w:r w:rsidR="00B72EA6" w:rsidRPr="00920DFF">
              <w:t>measured</w:t>
            </w:r>
            <w:r w:rsidR="008510EA" w:rsidRPr="00920DFF">
              <w:t xml:space="preserve"> to include the length and </w:t>
            </w:r>
            <w:r w:rsidR="00DB2BB1" w:rsidRPr="00920DFF">
              <w:t>width</w:t>
            </w:r>
            <w:r w:rsidR="008510EA" w:rsidRPr="00920DFF">
              <w:t xml:space="preserve"> of the affected area</w:t>
            </w:r>
            <w:r w:rsidR="00B72EA6" w:rsidRPr="00920DFF">
              <w:t xml:space="preserve"> </w:t>
            </w:r>
          </w:p>
          <w:p w14:paraId="59C5406D" w14:textId="1790A117" w:rsidR="00722549" w:rsidRPr="00920DFF" w:rsidRDefault="00966F53" w:rsidP="007633DD">
            <w:pPr>
              <w:pStyle w:val="ListParagraph"/>
              <w:numPr>
                <w:ilvl w:val="0"/>
                <w:numId w:val="16"/>
              </w:numPr>
              <w:ind w:left="158" w:hanging="187"/>
            </w:pPr>
            <w:r w:rsidRPr="00920DFF">
              <w:t xml:space="preserve">a description of </w:t>
            </w:r>
            <w:r w:rsidR="00B72EA6" w:rsidRPr="00920DFF">
              <w:t>the quality of the skin condition or</w:t>
            </w:r>
            <w:r w:rsidR="00D27869" w:rsidRPr="00920DFF">
              <w:t xml:space="preserve"> </w:t>
            </w:r>
            <w:r w:rsidR="00A30738" w:rsidRPr="00920DFF">
              <w:t>scar, and</w:t>
            </w:r>
            <w:r w:rsidR="00B72EA6" w:rsidRPr="00920DFF">
              <w:t xml:space="preserve"> </w:t>
            </w:r>
          </w:p>
          <w:p w14:paraId="28B0CC41" w14:textId="6BDC59B7" w:rsidR="00722549" w:rsidRPr="00920DFF" w:rsidRDefault="00966F53" w:rsidP="007633DD">
            <w:pPr>
              <w:pStyle w:val="ListParagraph"/>
              <w:numPr>
                <w:ilvl w:val="0"/>
                <w:numId w:val="17"/>
              </w:numPr>
              <w:ind w:left="158" w:hanging="187"/>
            </w:pPr>
            <w:r w:rsidRPr="00920DFF">
              <w:t xml:space="preserve">a description of </w:t>
            </w:r>
            <w:r w:rsidR="00722549" w:rsidRPr="00920DFF">
              <w:t xml:space="preserve">the percentage of total body surface and </w:t>
            </w:r>
            <w:r w:rsidR="005743CF" w:rsidRPr="00920DFF">
              <w:t>exposed body surface</w:t>
            </w:r>
            <w:r w:rsidRPr="00920DFF">
              <w:t xml:space="preserve"> affected</w:t>
            </w:r>
            <w:r w:rsidR="00722549" w:rsidRPr="00920DFF">
              <w:t>.</w:t>
            </w:r>
          </w:p>
          <w:p w14:paraId="77381CB1" w14:textId="77777777" w:rsidR="00722549" w:rsidRPr="00920DFF" w:rsidRDefault="00722549" w:rsidP="00722549">
            <w:pPr>
              <w:ind w:left="-29"/>
            </w:pPr>
          </w:p>
          <w:p w14:paraId="7D622033" w14:textId="6548B41A" w:rsidR="00DF7CE0" w:rsidRPr="00920DFF" w:rsidRDefault="008510EA" w:rsidP="00722549">
            <w:pPr>
              <w:ind w:left="-29"/>
            </w:pPr>
            <w:r w:rsidRPr="00920DFF">
              <w:rPr>
                <w:b/>
                <w:i/>
              </w:rPr>
              <w:t>Note</w:t>
            </w:r>
            <w:r w:rsidRPr="00920DFF">
              <w:t>:  Do not return the</w:t>
            </w:r>
            <w:r w:rsidR="00DF7CE0" w:rsidRPr="00920DFF">
              <w:t xml:space="preserve"> skin or scar</w:t>
            </w:r>
            <w:r w:rsidRPr="00920DFF">
              <w:t xml:space="preserve"> exam</w:t>
            </w:r>
            <w:r w:rsidR="00DF7CE0" w:rsidRPr="00920DFF">
              <w:t>ination</w:t>
            </w:r>
            <w:r w:rsidRPr="00920DFF">
              <w:t xml:space="preserve"> as insufficient </w:t>
            </w:r>
            <w:r w:rsidR="00DF7CE0" w:rsidRPr="00920DFF">
              <w:t>to</w:t>
            </w:r>
            <w:r w:rsidRPr="00920DFF">
              <w:t xml:space="preserve"> request color photographs</w:t>
            </w:r>
            <w:r w:rsidR="00DF7CE0" w:rsidRPr="00920DFF">
              <w:t xml:space="preserve"> if they are not included with the examination report</w:t>
            </w:r>
            <w:r w:rsidRPr="00920DFF">
              <w:t>.</w:t>
            </w:r>
            <w:r w:rsidR="00171107" w:rsidRPr="00920DFF">
              <w:t xml:space="preserve"> </w:t>
            </w:r>
            <w:r w:rsidRPr="00920DFF">
              <w:t xml:space="preserve"> </w:t>
            </w:r>
            <w:r w:rsidR="00DF7CE0" w:rsidRPr="00920DFF">
              <w:t>However, if photographs are included then consider the evidence when evaluating the criteria.</w:t>
            </w:r>
          </w:p>
          <w:p w14:paraId="500F0ACA" w14:textId="77777777" w:rsidR="00B72EA6" w:rsidRPr="00920DFF" w:rsidRDefault="00B72EA6" w:rsidP="00B72EA6">
            <w:pPr>
              <w:rPr>
                <w:color w:val="auto"/>
                <w:szCs w:val="20"/>
              </w:rPr>
            </w:pPr>
          </w:p>
          <w:p w14:paraId="0F0F9D09" w14:textId="2EC2687C" w:rsidR="00C149F1" w:rsidRPr="00920DFF" w:rsidRDefault="00C149F1" w:rsidP="00B72EA6">
            <w:pPr>
              <w:rPr>
                <w:color w:val="auto"/>
                <w:szCs w:val="20"/>
              </w:rPr>
            </w:pPr>
            <w:r w:rsidRPr="00920DFF">
              <w:rPr>
                <w:b/>
                <w:i/>
                <w:color w:val="auto"/>
                <w:szCs w:val="20"/>
              </w:rPr>
              <w:t>Reference</w:t>
            </w:r>
            <w:r w:rsidRPr="00920DFF">
              <w:rPr>
                <w:color w:val="auto"/>
                <w:szCs w:val="20"/>
              </w:rPr>
              <w:t xml:space="preserve">:  For more </w:t>
            </w:r>
            <w:r w:rsidR="00DB2BB1" w:rsidRPr="00920DFF">
              <w:rPr>
                <w:color w:val="auto"/>
                <w:szCs w:val="20"/>
              </w:rPr>
              <w:t>information</w:t>
            </w:r>
            <w:r w:rsidRPr="00920DFF">
              <w:rPr>
                <w:color w:val="auto"/>
                <w:szCs w:val="20"/>
              </w:rPr>
              <w:t xml:space="preserve"> on rating skin and scars, see </w:t>
            </w:r>
            <w:hyperlink r:id="rId40" w:history="1">
              <w:r w:rsidRPr="00920DFF">
                <w:rPr>
                  <w:rStyle w:val="Hyperlink"/>
                  <w:szCs w:val="20"/>
                </w:rPr>
                <w:t>38 CFR 4.118</w:t>
              </w:r>
            </w:hyperlink>
            <w:r w:rsidRPr="00920DFF">
              <w:rPr>
                <w:color w:val="auto"/>
                <w:szCs w:val="20"/>
              </w:rPr>
              <w:t>.</w:t>
            </w:r>
          </w:p>
        </w:tc>
      </w:tr>
    </w:tbl>
    <w:p w14:paraId="051F9091" w14:textId="77777777" w:rsidR="00B72EA6" w:rsidRPr="00920DFF" w:rsidRDefault="00B72EA6" w:rsidP="00B72EA6">
      <w:pPr>
        <w:tabs>
          <w:tab w:val="left" w:pos="9360"/>
        </w:tabs>
        <w:spacing w:line="276" w:lineRule="auto"/>
        <w:ind w:left="1714"/>
        <w:rPr>
          <w:rFonts w:eastAsiaTheme="minorHAnsi" w:cstheme="minorBidi"/>
          <w:color w:val="auto"/>
          <w:szCs w:val="22"/>
        </w:rPr>
      </w:pPr>
      <w:r w:rsidRPr="00920DFF">
        <w:rPr>
          <w:rFonts w:eastAsiaTheme="minorHAnsi" w:cstheme="minorBidi"/>
          <w:color w:val="auto"/>
          <w:szCs w:val="22"/>
          <w:u w:val="single"/>
        </w:rPr>
        <w:tab/>
      </w:r>
    </w:p>
    <w:p w14:paraId="5259AA6B" w14:textId="4D78BC93" w:rsidR="00DE024A" w:rsidRPr="00920DFF" w:rsidRDefault="00DE024A" w:rsidP="005B726A">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E024A" w:rsidRPr="00920DFF" w14:paraId="4C04EBC6" w14:textId="77777777" w:rsidTr="00DE024A">
        <w:tc>
          <w:tcPr>
            <w:tcW w:w="1728" w:type="dxa"/>
            <w:shd w:val="clear" w:color="auto" w:fill="auto"/>
          </w:tcPr>
          <w:p w14:paraId="30EDC7CA" w14:textId="51837810" w:rsidR="00DE024A" w:rsidRPr="00920DFF" w:rsidRDefault="004561A1" w:rsidP="00DE024A">
            <w:pPr>
              <w:pStyle w:val="Heading5"/>
              <w:rPr>
                <w:rFonts w:eastAsiaTheme="minorHAnsi"/>
              </w:rPr>
            </w:pPr>
            <w:bookmarkStart w:id="43" w:name="_Sleep_Disorders"/>
            <w:bookmarkEnd w:id="43"/>
            <w:r w:rsidRPr="00920DFF">
              <w:rPr>
                <w:rFonts w:eastAsiaTheme="minorHAnsi"/>
              </w:rPr>
              <w:t>l</w:t>
            </w:r>
            <w:r w:rsidR="0005763F" w:rsidRPr="00920DFF">
              <w:rPr>
                <w:rFonts w:eastAsiaTheme="minorHAnsi"/>
              </w:rPr>
              <w:t xml:space="preserve">.  </w:t>
            </w:r>
            <w:r w:rsidR="00DE024A" w:rsidRPr="00920DFF">
              <w:rPr>
                <w:rFonts w:eastAsiaTheme="minorHAnsi"/>
              </w:rPr>
              <w:t>Sleep Disorders</w:t>
            </w:r>
            <w:r w:rsidR="009B266B" w:rsidRPr="00920DFF">
              <w:rPr>
                <w:rFonts w:eastAsiaTheme="minorHAnsi"/>
              </w:rPr>
              <w:t xml:space="preserve"> Examination Review</w:t>
            </w:r>
          </w:p>
        </w:tc>
        <w:tc>
          <w:tcPr>
            <w:tcW w:w="7740" w:type="dxa"/>
            <w:shd w:val="clear" w:color="auto" w:fill="auto"/>
          </w:tcPr>
          <w:p w14:paraId="11235515" w14:textId="2280AD66" w:rsidR="00DE024A" w:rsidRPr="00920DFF" w:rsidRDefault="00C06D74" w:rsidP="005B726A">
            <w:pPr>
              <w:rPr>
                <w:rFonts w:eastAsiaTheme="minorHAnsi" w:cstheme="minorBidi"/>
                <w:color w:val="auto"/>
                <w:szCs w:val="22"/>
              </w:rPr>
            </w:pPr>
            <w:r w:rsidRPr="00920DFF">
              <w:rPr>
                <w:rFonts w:eastAsiaTheme="minorHAnsi" w:cstheme="minorBidi"/>
                <w:color w:val="auto"/>
                <w:szCs w:val="22"/>
              </w:rPr>
              <w:t>Sleep apnea must be diagnosed with a sleep study.</w:t>
            </w:r>
            <w:r w:rsidR="005A5EB7" w:rsidRPr="00920DFF">
              <w:rPr>
                <w:rFonts w:eastAsiaTheme="minorHAnsi" w:cstheme="minorBidi"/>
                <w:color w:val="auto"/>
                <w:szCs w:val="22"/>
              </w:rPr>
              <w:t xml:space="preserve"> </w:t>
            </w:r>
            <w:r w:rsidRPr="00920DFF">
              <w:rPr>
                <w:rFonts w:eastAsiaTheme="minorHAnsi" w:cstheme="minorBidi"/>
                <w:color w:val="auto"/>
                <w:szCs w:val="22"/>
              </w:rPr>
              <w:t xml:space="preserve"> </w:t>
            </w:r>
            <w:r w:rsidR="00945F0A" w:rsidRPr="00920DFF">
              <w:rPr>
                <w:rFonts w:eastAsiaTheme="minorHAnsi" w:cstheme="minorBidi"/>
                <w:color w:val="auto"/>
                <w:szCs w:val="22"/>
              </w:rPr>
              <w:t>Review the sleep study to ensure the condition is interpreted in relationship to</w:t>
            </w:r>
            <w:r w:rsidR="004909A7" w:rsidRPr="00920DFF">
              <w:rPr>
                <w:rFonts w:eastAsiaTheme="minorHAnsi" w:cstheme="minorBidi"/>
                <w:color w:val="auto"/>
                <w:szCs w:val="22"/>
              </w:rPr>
              <w:t xml:space="preserve"> the</w:t>
            </w:r>
            <w:r w:rsidR="00945F0A" w:rsidRPr="00920DFF">
              <w:rPr>
                <w:rFonts w:eastAsiaTheme="minorHAnsi" w:cstheme="minorBidi"/>
                <w:color w:val="auto"/>
                <w:szCs w:val="22"/>
              </w:rPr>
              <w:t xml:space="preserve"> claimed condition.</w:t>
            </w:r>
          </w:p>
          <w:p w14:paraId="6D0E6F18" w14:textId="77777777" w:rsidR="005A5EB7" w:rsidRPr="00920DFF" w:rsidRDefault="005A5EB7" w:rsidP="005B726A">
            <w:pPr>
              <w:rPr>
                <w:rFonts w:eastAsiaTheme="minorHAnsi" w:cstheme="minorBidi"/>
                <w:color w:val="auto"/>
                <w:szCs w:val="22"/>
              </w:rPr>
            </w:pPr>
          </w:p>
          <w:p w14:paraId="075F9883" w14:textId="003F64DA" w:rsidR="005A5EB7" w:rsidRPr="00920DFF" w:rsidRDefault="005A5EB7" w:rsidP="005B726A">
            <w:pPr>
              <w:rPr>
                <w:rFonts w:eastAsiaTheme="minorHAnsi" w:cstheme="minorBidi"/>
                <w:color w:val="auto"/>
                <w:szCs w:val="22"/>
              </w:rPr>
            </w:pPr>
            <w:r w:rsidRPr="00920DFF">
              <w:rPr>
                <w:rFonts w:eastAsiaTheme="minorHAnsi" w:cstheme="minorBidi"/>
                <w:color w:val="auto"/>
                <w:szCs w:val="22"/>
              </w:rPr>
              <w:t>If there is a co</w:t>
            </w:r>
            <w:r w:rsidR="00EC208F" w:rsidRPr="00920DFF">
              <w:rPr>
                <w:rFonts w:eastAsiaTheme="minorHAnsi" w:cstheme="minorBidi"/>
                <w:color w:val="auto"/>
                <w:szCs w:val="22"/>
              </w:rPr>
              <w:t>-</w:t>
            </w:r>
            <w:r w:rsidRPr="00920DFF">
              <w:rPr>
                <w:rFonts w:eastAsiaTheme="minorHAnsi" w:cstheme="minorBidi"/>
                <w:color w:val="auto"/>
                <w:szCs w:val="22"/>
              </w:rPr>
              <w:t xml:space="preserve">morbid </w:t>
            </w:r>
            <w:r w:rsidR="00982D0D" w:rsidRPr="00920DFF">
              <w:rPr>
                <w:rFonts w:eastAsiaTheme="minorHAnsi" w:cstheme="minorBidi"/>
                <w:color w:val="auto"/>
                <w:szCs w:val="22"/>
              </w:rPr>
              <w:t>service</w:t>
            </w:r>
            <w:r w:rsidR="000058A0" w:rsidRPr="00920DFF">
              <w:rPr>
                <w:rFonts w:eastAsiaTheme="minorHAnsi" w:cstheme="minorBidi"/>
                <w:color w:val="auto"/>
                <w:szCs w:val="22"/>
              </w:rPr>
              <w:t>-</w:t>
            </w:r>
            <w:r w:rsidR="00982D0D" w:rsidRPr="00920DFF">
              <w:rPr>
                <w:rFonts w:eastAsiaTheme="minorHAnsi" w:cstheme="minorBidi"/>
                <w:color w:val="auto"/>
                <w:szCs w:val="22"/>
              </w:rPr>
              <w:t xml:space="preserve">connected </w:t>
            </w:r>
            <w:r w:rsidRPr="00920DFF">
              <w:rPr>
                <w:rFonts w:eastAsiaTheme="minorHAnsi" w:cstheme="minorBidi"/>
                <w:color w:val="auto"/>
                <w:szCs w:val="22"/>
              </w:rPr>
              <w:t>condition to the sleep apnea</w:t>
            </w:r>
            <w:r w:rsidR="00EC208F" w:rsidRPr="00920DFF">
              <w:rPr>
                <w:rFonts w:eastAsiaTheme="minorHAnsi" w:cstheme="minorBidi"/>
                <w:color w:val="auto"/>
                <w:szCs w:val="22"/>
              </w:rPr>
              <w:t xml:space="preserve"> which requires a PFT</w:t>
            </w:r>
            <w:r w:rsidRPr="00920DFF">
              <w:rPr>
                <w:rFonts w:eastAsiaTheme="minorHAnsi" w:cstheme="minorBidi"/>
                <w:color w:val="auto"/>
                <w:szCs w:val="22"/>
              </w:rPr>
              <w:t xml:space="preserve">, like asthma, ensure that </w:t>
            </w:r>
            <w:r w:rsidR="00EC208F" w:rsidRPr="00920DFF">
              <w:rPr>
                <w:rFonts w:eastAsiaTheme="minorHAnsi" w:cstheme="minorBidi"/>
                <w:color w:val="auto"/>
                <w:szCs w:val="22"/>
              </w:rPr>
              <w:t>such testing</w:t>
            </w:r>
            <w:r w:rsidRPr="00920DFF">
              <w:rPr>
                <w:rFonts w:eastAsiaTheme="minorHAnsi" w:cstheme="minorBidi"/>
                <w:color w:val="auto"/>
                <w:szCs w:val="22"/>
              </w:rPr>
              <w:t xml:space="preserve"> was completed.</w:t>
            </w:r>
          </w:p>
          <w:p w14:paraId="686C1B77" w14:textId="77777777" w:rsidR="00DE024A" w:rsidRPr="00920DFF" w:rsidRDefault="00DE024A" w:rsidP="005B726A">
            <w:pPr>
              <w:rPr>
                <w:rFonts w:eastAsiaTheme="minorHAnsi" w:cstheme="minorBidi"/>
                <w:color w:val="auto"/>
                <w:szCs w:val="22"/>
              </w:rPr>
            </w:pPr>
          </w:p>
          <w:p w14:paraId="47773AB7" w14:textId="0AF59FA0" w:rsidR="00945F0A" w:rsidRPr="00920DFF" w:rsidRDefault="00945F0A" w:rsidP="00945F0A">
            <w:pPr>
              <w:ind w:left="-29"/>
            </w:pPr>
            <w:r w:rsidRPr="00920DFF">
              <w:t xml:space="preserve">Sleep </w:t>
            </w:r>
            <w:r w:rsidR="00DB2BB1" w:rsidRPr="00920DFF">
              <w:t>disturbances</w:t>
            </w:r>
            <w:r w:rsidRPr="00920DFF">
              <w:t xml:space="preserve"> including insomnia </w:t>
            </w:r>
            <w:r w:rsidR="00C06D74" w:rsidRPr="00920DFF">
              <w:t xml:space="preserve">may be claimed </w:t>
            </w:r>
            <w:r w:rsidRPr="00920DFF">
              <w:t>as a secondary condition</w:t>
            </w:r>
            <w:r w:rsidR="004909A7" w:rsidRPr="00920DFF">
              <w:t>, but not inclusively</w:t>
            </w:r>
            <w:r w:rsidR="00DE024A" w:rsidRPr="00920DFF">
              <w:t xml:space="preserve"> </w:t>
            </w:r>
            <w:r w:rsidRPr="00920DFF">
              <w:t>to</w:t>
            </w:r>
            <w:r w:rsidR="004909A7" w:rsidRPr="00920DFF">
              <w:t>,</w:t>
            </w:r>
          </w:p>
          <w:p w14:paraId="09F193F7" w14:textId="77777777" w:rsidR="00F85E9A" w:rsidRPr="00920DFF" w:rsidRDefault="00F85E9A" w:rsidP="00945F0A">
            <w:pPr>
              <w:ind w:left="-29"/>
            </w:pPr>
          </w:p>
          <w:p w14:paraId="76C7357F" w14:textId="13C60E2D" w:rsidR="00945F0A" w:rsidRPr="00920DFF" w:rsidRDefault="00945F0A" w:rsidP="007633DD">
            <w:pPr>
              <w:pStyle w:val="ListParagraph"/>
              <w:numPr>
                <w:ilvl w:val="0"/>
                <w:numId w:val="47"/>
              </w:numPr>
              <w:ind w:left="158" w:hanging="187"/>
            </w:pPr>
            <w:r w:rsidRPr="00920DFF">
              <w:t>mental health disorders</w:t>
            </w:r>
          </w:p>
          <w:p w14:paraId="75F61E82" w14:textId="04053726" w:rsidR="00DE024A" w:rsidRPr="00920DFF" w:rsidRDefault="00C90956" w:rsidP="007633DD">
            <w:pPr>
              <w:pStyle w:val="ListParagraph"/>
              <w:numPr>
                <w:ilvl w:val="0"/>
                <w:numId w:val="47"/>
              </w:numPr>
              <w:ind w:left="158" w:hanging="187"/>
            </w:pPr>
            <w:r w:rsidRPr="00920DFF">
              <w:t>pain experienced from a service-connected disability</w:t>
            </w:r>
            <w:r w:rsidR="00F87F34" w:rsidRPr="00920DFF">
              <w:t>, and/or</w:t>
            </w:r>
          </w:p>
          <w:p w14:paraId="73094818" w14:textId="57216EF7" w:rsidR="00DE024A" w:rsidRPr="00920DFF" w:rsidRDefault="00BE51B6" w:rsidP="007633DD">
            <w:pPr>
              <w:pStyle w:val="ListParagraph"/>
              <w:numPr>
                <w:ilvl w:val="0"/>
                <w:numId w:val="48"/>
              </w:numPr>
              <w:ind w:left="158" w:hanging="187"/>
              <w:rPr>
                <w:rFonts w:eastAsiaTheme="minorHAnsi" w:cstheme="minorBidi"/>
                <w:color w:val="auto"/>
                <w:szCs w:val="22"/>
              </w:rPr>
            </w:pPr>
            <w:r w:rsidRPr="00920DFF">
              <w:t>signs or symptoms of undiagnosed illness and medically unexplained chronic multisymptom illnesses</w:t>
            </w:r>
            <w:r w:rsidR="00F87F34" w:rsidRPr="00920DFF">
              <w:t>.</w:t>
            </w:r>
          </w:p>
          <w:p w14:paraId="788C25B6" w14:textId="77777777" w:rsidR="002A3944" w:rsidRPr="00920DFF" w:rsidRDefault="002A3944" w:rsidP="00945F0A">
            <w:pPr>
              <w:rPr>
                <w:rFonts w:eastAsiaTheme="minorHAnsi" w:cstheme="minorBidi"/>
                <w:color w:val="auto"/>
                <w:szCs w:val="22"/>
              </w:rPr>
            </w:pPr>
          </w:p>
          <w:p w14:paraId="033F00F2" w14:textId="4B0FC146" w:rsidR="00897B14" w:rsidRPr="00920DFF" w:rsidRDefault="00897B14" w:rsidP="00DE024A">
            <w:pPr>
              <w:rPr>
                <w:rFonts w:eastAsiaTheme="minorHAnsi" w:cstheme="minorBidi"/>
                <w:color w:val="auto"/>
                <w:szCs w:val="22"/>
              </w:rPr>
            </w:pPr>
            <w:r w:rsidRPr="00920DFF">
              <w:rPr>
                <w:rFonts w:eastAsiaTheme="minorHAnsi" w:cstheme="minorBidi"/>
                <w:b/>
                <w:i/>
                <w:color w:val="auto"/>
                <w:szCs w:val="22"/>
              </w:rPr>
              <w:t>Note</w:t>
            </w:r>
            <w:r w:rsidRPr="00920DFF">
              <w:rPr>
                <w:rFonts w:eastAsiaTheme="minorHAnsi" w:cstheme="minorBidi"/>
                <w:color w:val="auto"/>
                <w:szCs w:val="22"/>
              </w:rPr>
              <w:t xml:space="preserve">:  </w:t>
            </w:r>
            <w:r w:rsidR="00693ABA" w:rsidRPr="00920DFF">
              <w:rPr>
                <w:rFonts w:eastAsiaTheme="minorHAnsi" w:cstheme="minorBidi"/>
                <w:color w:val="auto"/>
                <w:szCs w:val="22"/>
              </w:rPr>
              <w:t>When the s</w:t>
            </w:r>
            <w:r w:rsidRPr="00920DFF">
              <w:rPr>
                <w:rFonts w:eastAsiaTheme="minorHAnsi" w:cstheme="minorBidi"/>
                <w:color w:val="auto"/>
                <w:szCs w:val="22"/>
              </w:rPr>
              <w:t>leep apnea DBQ is negative for a diagnosis of sleep apnea, but the examiner provides information about sleep disturbances, then review the report to determine if an additional secondary medical opinion DBQ is required.</w:t>
            </w:r>
          </w:p>
          <w:p w14:paraId="2313F897" w14:textId="77777777" w:rsidR="00897B14" w:rsidRPr="00920DFF" w:rsidRDefault="00897B14" w:rsidP="00DE024A">
            <w:pPr>
              <w:rPr>
                <w:rFonts w:eastAsiaTheme="minorHAnsi" w:cstheme="minorBidi"/>
                <w:b/>
                <w:i/>
                <w:color w:val="auto"/>
                <w:szCs w:val="22"/>
              </w:rPr>
            </w:pPr>
          </w:p>
          <w:p w14:paraId="4C5B4258" w14:textId="77777777" w:rsidR="00DE024A" w:rsidRPr="00920DFF" w:rsidRDefault="00DE024A" w:rsidP="00DE024A">
            <w:pPr>
              <w:rPr>
                <w:rFonts w:eastAsiaTheme="minorHAnsi" w:cstheme="minorBidi"/>
                <w:color w:val="auto"/>
                <w:szCs w:val="22"/>
              </w:rPr>
            </w:pPr>
            <w:r w:rsidRPr="00920DFF">
              <w:rPr>
                <w:rFonts w:eastAsiaTheme="minorHAnsi" w:cstheme="minorBidi"/>
                <w:b/>
                <w:i/>
                <w:color w:val="auto"/>
                <w:szCs w:val="22"/>
              </w:rPr>
              <w:t>References</w:t>
            </w:r>
            <w:r w:rsidRPr="00920DFF">
              <w:rPr>
                <w:rFonts w:eastAsiaTheme="minorHAnsi" w:cstheme="minorBidi"/>
                <w:color w:val="auto"/>
                <w:szCs w:val="22"/>
              </w:rPr>
              <w:t>:  For more information on</w:t>
            </w:r>
          </w:p>
          <w:p w14:paraId="417CC117" w14:textId="4303B8A8" w:rsidR="00BE51B6" w:rsidRPr="00920DFF" w:rsidRDefault="00BE51B6" w:rsidP="007633DD">
            <w:pPr>
              <w:pStyle w:val="ListParagraph"/>
              <w:numPr>
                <w:ilvl w:val="0"/>
                <w:numId w:val="49"/>
              </w:numPr>
              <w:ind w:left="158" w:hanging="187"/>
              <w:rPr>
                <w:rFonts w:eastAsiaTheme="minorHAnsi"/>
              </w:rPr>
            </w:pPr>
            <w:r w:rsidRPr="00920DFF">
              <w:rPr>
                <w:rFonts w:eastAsiaTheme="minorHAnsi"/>
              </w:rPr>
              <w:t>sleep apnea and sleep studies</w:t>
            </w:r>
            <w:r w:rsidR="00897B14" w:rsidRPr="00920DFF">
              <w:rPr>
                <w:rFonts w:eastAsiaTheme="minorHAnsi"/>
              </w:rPr>
              <w:t>, see M21-1, Part</w:t>
            </w:r>
            <w:r w:rsidRPr="00920DFF">
              <w:rPr>
                <w:rFonts w:eastAsiaTheme="minorHAnsi"/>
              </w:rPr>
              <w:t xml:space="preserve"> </w:t>
            </w:r>
            <w:r w:rsidR="00897B14" w:rsidRPr="00920DFF">
              <w:rPr>
                <w:rFonts w:eastAsiaTheme="minorHAnsi"/>
              </w:rPr>
              <w:t xml:space="preserve">III, Subpart iv, </w:t>
            </w:r>
            <w:r w:rsidR="00DE024A" w:rsidRPr="00920DFF">
              <w:rPr>
                <w:rFonts w:eastAsiaTheme="minorHAnsi"/>
              </w:rPr>
              <w:t xml:space="preserve">4.D.1.l </w:t>
            </w:r>
          </w:p>
          <w:p w14:paraId="7B6970A2" w14:textId="434C2836" w:rsidR="00DE024A" w:rsidRPr="00920DFF" w:rsidRDefault="00BE51B6" w:rsidP="007633DD">
            <w:pPr>
              <w:pStyle w:val="ListParagraph"/>
              <w:numPr>
                <w:ilvl w:val="0"/>
                <w:numId w:val="49"/>
              </w:numPr>
              <w:ind w:left="158" w:hanging="187"/>
              <w:rPr>
                <w:rFonts w:eastAsiaTheme="minorHAnsi"/>
              </w:rPr>
            </w:pPr>
            <w:r w:rsidRPr="00920DFF">
              <w:rPr>
                <w:rFonts w:eastAsiaTheme="minorHAnsi"/>
              </w:rPr>
              <w:t xml:space="preserve">signs or symptoms of undiagnosed illness and medically unexplained chronic multisymptom illnesses, see </w:t>
            </w:r>
            <w:hyperlink r:id="rId41" w:history="1">
              <w:r w:rsidRPr="00920DFF">
                <w:rPr>
                  <w:rStyle w:val="Hyperlink"/>
                  <w:rFonts w:eastAsiaTheme="minorHAnsi"/>
                </w:rPr>
                <w:t>38 CFR 3.317(b)(9)</w:t>
              </w:r>
            </w:hyperlink>
          </w:p>
          <w:p w14:paraId="18576E81" w14:textId="00CFDE6D" w:rsidR="00F934FD" w:rsidRPr="00920DFF" w:rsidRDefault="00C90956" w:rsidP="007633DD">
            <w:pPr>
              <w:pStyle w:val="ListParagraph"/>
              <w:numPr>
                <w:ilvl w:val="0"/>
                <w:numId w:val="50"/>
              </w:numPr>
              <w:ind w:left="158" w:hanging="187"/>
              <w:rPr>
                <w:rFonts w:eastAsiaTheme="minorHAnsi"/>
              </w:rPr>
            </w:pPr>
            <w:r w:rsidRPr="00920DFF">
              <w:rPr>
                <w:rFonts w:eastAsiaTheme="minorHAnsi"/>
              </w:rPr>
              <w:t xml:space="preserve">sleep apnea schedule of ratings, see </w:t>
            </w:r>
            <w:hyperlink r:id="rId42" w:history="1">
              <w:r w:rsidRPr="00920DFF">
                <w:rPr>
                  <w:rStyle w:val="Hyperlink"/>
                  <w:rFonts w:eastAsiaTheme="minorHAnsi"/>
                </w:rPr>
                <w:t>38 CFR 4.97</w:t>
              </w:r>
              <w:r w:rsidR="00E12AB7" w:rsidRPr="00920DFF">
                <w:rPr>
                  <w:rStyle w:val="Hyperlink"/>
                  <w:rFonts w:eastAsiaTheme="minorHAnsi"/>
                </w:rPr>
                <w:t>,</w:t>
              </w:r>
              <w:r w:rsidRPr="00920DFF">
                <w:rPr>
                  <w:rStyle w:val="Hyperlink"/>
                  <w:rFonts w:eastAsiaTheme="minorHAnsi"/>
                </w:rPr>
                <w:t xml:space="preserve"> diagnostic code 6847</w:t>
              </w:r>
            </w:hyperlink>
          </w:p>
          <w:p w14:paraId="0565C957" w14:textId="0EBF5FFA" w:rsidR="0062075B" w:rsidRPr="00920DFF" w:rsidRDefault="00897B14" w:rsidP="007633DD">
            <w:pPr>
              <w:pStyle w:val="ListParagraph"/>
              <w:numPr>
                <w:ilvl w:val="0"/>
                <w:numId w:val="50"/>
              </w:numPr>
              <w:ind w:left="158" w:hanging="187"/>
              <w:rPr>
                <w:rFonts w:eastAsiaTheme="minorHAnsi"/>
              </w:rPr>
            </w:pPr>
            <w:r w:rsidRPr="00920DFF">
              <w:rPr>
                <w:rFonts w:eastAsiaTheme="minorHAnsi"/>
              </w:rPr>
              <w:t xml:space="preserve">PFT </w:t>
            </w:r>
            <w:r w:rsidR="00F87F34" w:rsidRPr="00920DFF">
              <w:rPr>
                <w:rFonts w:eastAsiaTheme="minorHAnsi"/>
              </w:rPr>
              <w:t xml:space="preserve">examination </w:t>
            </w:r>
            <w:r w:rsidR="0062075B" w:rsidRPr="00920DFF">
              <w:rPr>
                <w:rFonts w:eastAsiaTheme="minorHAnsi"/>
              </w:rPr>
              <w:t>review, see M21-1, Part III, Subpart iv, 3.D</w:t>
            </w:r>
            <w:r w:rsidR="003D6EF9" w:rsidRPr="00920DFF">
              <w:rPr>
                <w:rFonts w:eastAsiaTheme="minorHAnsi"/>
              </w:rPr>
              <w:t>.3</w:t>
            </w:r>
            <w:r w:rsidR="0062075B" w:rsidRPr="00920DFF">
              <w:rPr>
                <w:rFonts w:eastAsiaTheme="minorHAnsi"/>
              </w:rPr>
              <w:t>.</w:t>
            </w:r>
            <w:r w:rsidR="003D6EF9" w:rsidRPr="00920DFF">
              <w:rPr>
                <w:rFonts w:eastAsiaTheme="minorHAnsi"/>
              </w:rPr>
              <w:t>l</w:t>
            </w:r>
            <w:r w:rsidR="00F87F34" w:rsidRPr="00920DFF">
              <w:rPr>
                <w:rFonts w:eastAsiaTheme="minorHAnsi"/>
              </w:rPr>
              <w:t>, and</w:t>
            </w:r>
          </w:p>
          <w:p w14:paraId="2D164FEC" w14:textId="6CB70340" w:rsidR="00897B14" w:rsidRPr="00920DFF" w:rsidRDefault="00897B14" w:rsidP="007633DD">
            <w:pPr>
              <w:pStyle w:val="ListParagraph"/>
              <w:numPr>
                <w:ilvl w:val="0"/>
                <w:numId w:val="51"/>
              </w:numPr>
              <w:ind w:left="158" w:hanging="187"/>
              <w:rPr>
                <w:rFonts w:eastAsiaTheme="minorHAnsi"/>
              </w:rPr>
            </w:pPr>
            <w:r w:rsidRPr="00920DFF">
              <w:rPr>
                <w:rFonts w:eastAsiaTheme="minorHAnsi"/>
              </w:rPr>
              <w:t xml:space="preserve">examination DBQ, see </w:t>
            </w:r>
            <w:hyperlink r:id="rId43" w:history="1">
              <w:r w:rsidRPr="00920DFF">
                <w:rPr>
                  <w:rStyle w:val="Hyperlink"/>
                  <w:rFonts w:eastAsiaTheme="minorHAnsi"/>
                  <w:i/>
                </w:rPr>
                <w:t>VA Form 21-0960L-2 Sleep Apnea Disability Benefits Questionnaire</w:t>
              </w:r>
            </w:hyperlink>
            <w:r w:rsidR="005D2077" w:rsidRPr="00920DFF">
              <w:rPr>
                <w:rStyle w:val="Hyperlink"/>
                <w:rFonts w:eastAsiaTheme="minorHAnsi"/>
                <w:u w:val="none"/>
              </w:rPr>
              <w:t>.</w:t>
            </w:r>
            <w:r w:rsidRPr="00920DFF">
              <w:rPr>
                <w:rFonts w:eastAsiaTheme="minorHAnsi"/>
              </w:rPr>
              <w:t xml:space="preserve"> </w:t>
            </w:r>
          </w:p>
        </w:tc>
      </w:tr>
    </w:tbl>
    <w:p w14:paraId="70AA39CF" w14:textId="44144F2E" w:rsidR="00DE024A" w:rsidRPr="00920DFF" w:rsidRDefault="00DE024A" w:rsidP="00DE024A">
      <w:pPr>
        <w:tabs>
          <w:tab w:val="left" w:pos="9360"/>
        </w:tabs>
        <w:ind w:left="1714"/>
        <w:rPr>
          <w:rFonts w:eastAsiaTheme="minorHAnsi" w:cstheme="minorBidi"/>
          <w:color w:val="auto"/>
          <w:szCs w:val="22"/>
        </w:rPr>
      </w:pPr>
      <w:r w:rsidRPr="00920DFF">
        <w:rPr>
          <w:rFonts w:eastAsiaTheme="minorHAnsi" w:cstheme="minorBidi"/>
          <w:color w:val="auto"/>
          <w:szCs w:val="22"/>
          <w:u w:val="single"/>
        </w:rPr>
        <w:tab/>
      </w:r>
    </w:p>
    <w:p w14:paraId="1B48C927" w14:textId="77777777" w:rsidR="00DE024A" w:rsidRPr="00920DFF" w:rsidRDefault="00DE024A" w:rsidP="005B726A">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660A" w:rsidRPr="00920DFF" w14:paraId="5E2E6D3C" w14:textId="77777777" w:rsidTr="00C23C37">
        <w:tc>
          <w:tcPr>
            <w:tcW w:w="1728" w:type="dxa"/>
            <w:shd w:val="clear" w:color="auto" w:fill="auto"/>
          </w:tcPr>
          <w:p w14:paraId="349A4C0D" w14:textId="622E162A" w:rsidR="0023660A" w:rsidRPr="00920DFF" w:rsidRDefault="004561A1" w:rsidP="00C23C37">
            <w:pPr>
              <w:pStyle w:val="Heading5"/>
              <w:rPr>
                <w:rFonts w:eastAsiaTheme="minorHAnsi"/>
              </w:rPr>
            </w:pPr>
            <w:bookmarkStart w:id="44" w:name="_TMJ_Examination_Report"/>
            <w:bookmarkEnd w:id="44"/>
            <w:r w:rsidRPr="00920DFF">
              <w:rPr>
                <w:rFonts w:eastAsiaTheme="minorHAnsi"/>
              </w:rPr>
              <w:t>m</w:t>
            </w:r>
            <w:r w:rsidR="0005763F" w:rsidRPr="00920DFF">
              <w:rPr>
                <w:rFonts w:eastAsiaTheme="minorHAnsi"/>
              </w:rPr>
              <w:t xml:space="preserve">.  </w:t>
            </w:r>
            <w:r w:rsidR="0023660A" w:rsidRPr="00920DFF">
              <w:rPr>
                <w:rFonts w:eastAsiaTheme="minorHAnsi"/>
              </w:rPr>
              <w:t>TMJ</w:t>
            </w:r>
            <w:r w:rsidR="00C22FF3" w:rsidRPr="00920DFF">
              <w:rPr>
                <w:rFonts w:eastAsiaTheme="minorHAnsi"/>
              </w:rPr>
              <w:t xml:space="preserve"> Examination Report Review</w:t>
            </w:r>
          </w:p>
        </w:tc>
        <w:tc>
          <w:tcPr>
            <w:tcW w:w="7740" w:type="dxa"/>
            <w:shd w:val="clear" w:color="auto" w:fill="auto"/>
          </w:tcPr>
          <w:p w14:paraId="1E6455D5" w14:textId="637E9641" w:rsidR="0023660A" w:rsidRPr="00920DFF" w:rsidRDefault="0023660A" w:rsidP="00C23C37">
            <w:pPr>
              <w:rPr>
                <w:rFonts w:eastAsiaTheme="minorHAnsi" w:cstheme="minorBidi"/>
                <w:color w:val="auto"/>
                <w:szCs w:val="22"/>
              </w:rPr>
            </w:pPr>
            <w:r w:rsidRPr="00920DFF">
              <w:rPr>
                <w:rFonts w:eastAsiaTheme="minorHAnsi" w:cstheme="minorBidi"/>
                <w:color w:val="auto"/>
                <w:szCs w:val="22"/>
              </w:rPr>
              <w:t xml:space="preserve">There is no need to </w:t>
            </w:r>
            <w:r w:rsidR="00301575" w:rsidRPr="00920DFF">
              <w:rPr>
                <w:rFonts w:eastAsiaTheme="minorHAnsi" w:cstheme="minorBidi"/>
                <w:color w:val="auto"/>
                <w:szCs w:val="22"/>
              </w:rPr>
              <w:t>return a TMJ</w:t>
            </w:r>
            <w:r w:rsidR="00DC026C" w:rsidRPr="00920DFF">
              <w:rPr>
                <w:rFonts w:eastAsiaTheme="minorHAnsi" w:cstheme="minorBidi"/>
                <w:color w:val="auto"/>
                <w:szCs w:val="22"/>
              </w:rPr>
              <w:t xml:space="preserve"> </w:t>
            </w:r>
            <w:r w:rsidR="00F87F34" w:rsidRPr="00920DFF">
              <w:rPr>
                <w:rFonts w:eastAsiaTheme="minorHAnsi" w:cstheme="minorBidi"/>
                <w:color w:val="auto"/>
                <w:szCs w:val="22"/>
              </w:rPr>
              <w:t>examination</w:t>
            </w:r>
            <w:r w:rsidRPr="00920DFF">
              <w:rPr>
                <w:rFonts w:eastAsiaTheme="minorHAnsi" w:cstheme="minorBidi"/>
                <w:color w:val="auto"/>
                <w:szCs w:val="22"/>
              </w:rPr>
              <w:t xml:space="preserve"> to VHA simply because a dentist did not perform the examination.  TMJ is musculoskeletal in nature.</w:t>
            </w:r>
          </w:p>
          <w:p w14:paraId="0A3D8E52" w14:textId="77777777" w:rsidR="0023660A" w:rsidRPr="00920DFF" w:rsidRDefault="0023660A" w:rsidP="00C23C37">
            <w:pPr>
              <w:rPr>
                <w:rFonts w:eastAsiaTheme="minorHAnsi" w:cstheme="minorBidi"/>
                <w:color w:val="auto"/>
                <w:szCs w:val="22"/>
              </w:rPr>
            </w:pPr>
          </w:p>
          <w:p w14:paraId="76898D44" w14:textId="301A849A" w:rsidR="0023660A" w:rsidRPr="00920DFF" w:rsidRDefault="0023660A" w:rsidP="00C23C37">
            <w:pPr>
              <w:rPr>
                <w:rFonts w:eastAsiaTheme="minorHAnsi" w:cstheme="minorBidi"/>
                <w:color w:val="auto"/>
                <w:szCs w:val="22"/>
              </w:rPr>
            </w:pPr>
            <w:r w:rsidRPr="00920DFF">
              <w:rPr>
                <w:rFonts w:eastAsiaTheme="minorHAnsi" w:cstheme="minorBidi"/>
                <w:b/>
                <w:i/>
                <w:color w:val="auto"/>
                <w:szCs w:val="22"/>
              </w:rPr>
              <w:t>Important</w:t>
            </w:r>
            <w:r w:rsidRPr="00920DFF">
              <w:rPr>
                <w:rFonts w:eastAsiaTheme="minorHAnsi" w:cstheme="minorBidi"/>
                <w:color w:val="auto"/>
                <w:szCs w:val="22"/>
              </w:rPr>
              <w:t xml:space="preserve">: </w:t>
            </w:r>
            <w:r w:rsidR="00F85E9A" w:rsidRPr="00920DFF">
              <w:rPr>
                <w:rFonts w:eastAsiaTheme="minorHAnsi" w:cstheme="minorBidi"/>
                <w:color w:val="auto"/>
                <w:szCs w:val="22"/>
              </w:rPr>
              <w:t xml:space="preserve"> </w:t>
            </w:r>
            <w:r w:rsidR="00F87F34" w:rsidRPr="00920DFF">
              <w:rPr>
                <w:rFonts w:eastAsiaTheme="minorHAnsi" w:cstheme="minorBidi"/>
                <w:color w:val="auto"/>
                <w:szCs w:val="22"/>
              </w:rPr>
              <w:t>As part of the musculoskeletal requirements, t</w:t>
            </w:r>
            <w:r w:rsidRPr="00920DFF">
              <w:rPr>
                <w:rFonts w:eastAsiaTheme="minorHAnsi" w:cstheme="minorBidi"/>
                <w:color w:val="auto"/>
                <w:szCs w:val="22"/>
              </w:rPr>
              <w:t xml:space="preserve">he TMJ DBQ requires the examiner to address </w:t>
            </w:r>
          </w:p>
          <w:p w14:paraId="15FD73B9" w14:textId="5C4884ED" w:rsidR="0023660A" w:rsidRPr="00920DFF" w:rsidRDefault="0023660A" w:rsidP="007633DD">
            <w:pPr>
              <w:pStyle w:val="ListParagraph"/>
              <w:numPr>
                <w:ilvl w:val="0"/>
                <w:numId w:val="35"/>
              </w:numPr>
              <w:ind w:left="158" w:hanging="187"/>
              <w:rPr>
                <w:rFonts w:eastAsiaTheme="minorHAnsi"/>
              </w:rPr>
            </w:pPr>
            <w:r w:rsidRPr="00920DFF">
              <w:rPr>
                <w:rFonts w:eastAsiaTheme="minorHAnsi"/>
              </w:rPr>
              <w:t xml:space="preserve">flare-ups </w:t>
            </w:r>
            <w:r w:rsidR="004909A7" w:rsidRPr="00920DFF">
              <w:rPr>
                <w:rFonts w:eastAsiaTheme="minorHAnsi"/>
              </w:rPr>
              <w:t xml:space="preserve">that </w:t>
            </w:r>
            <w:r w:rsidRPr="00920DFF">
              <w:rPr>
                <w:rFonts w:eastAsiaTheme="minorHAnsi"/>
              </w:rPr>
              <w:t>impact the function of the temporomandibular joint</w:t>
            </w:r>
          </w:p>
          <w:p w14:paraId="374D4A03" w14:textId="77777777" w:rsidR="0023660A" w:rsidRPr="00920DFF" w:rsidRDefault="0023660A" w:rsidP="007633DD">
            <w:pPr>
              <w:pStyle w:val="ListParagraph"/>
              <w:numPr>
                <w:ilvl w:val="0"/>
                <w:numId w:val="35"/>
              </w:numPr>
              <w:ind w:left="158" w:hanging="187"/>
              <w:rPr>
                <w:rFonts w:eastAsiaTheme="minorHAnsi"/>
              </w:rPr>
            </w:pPr>
            <w:r w:rsidRPr="00920DFF">
              <w:rPr>
                <w:rFonts w:eastAsiaTheme="minorHAnsi"/>
              </w:rPr>
              <w:t>initial ROM measurements</w:t>
            </w:r>
          </w:p>
          <w:p w14:paraId="2B1D2BB5" w14:textId="77777777" w:rsidR="0023660A" w:rsidRPr="00920DFF" w:rsidRDefault="0023660A" w:rsidP="007633DD">
            <w:pPr>
              <w:pStyle w:val="ListParagraph"/>
              <w:numPr>
                <w:ilvl w:val="0"/>
                <w:numId w:val="35"/>
              </w:numPr>
              <w:ind w:left="158" w:hanging="187"/>
              <w:rPr>
                <w:rFonts w:eastAsiaTheme="minorHAnsi"/>
              </w:rPr>
            </w:pPr>
            <w:r w:rsidRPr="00920DFF">
              <w:rPr>
                <w:rFonts w:eastAsiaTheme="minorHAnsi"/>
              </w:rPr>
              <w:t>ROM measurement after repetitive use testing</w:t>
            </w:r>
          </w:p>
          <w:p w14:paraId="192297B2" w14:textId="77777777" w:rsidR="0023660A" w:rsidRPr="00920DFF" w:rsidRDefault="0023660A" w:rsidP="007633DD">
            <w:pPr>
              <w:pStyle w:val="ListParagraph"/>
              <w:numPr>
                <w:ilvl w:val="0"/>
                <w:numId w:val="35"/>
              </w:numPr>
              <w:ind w:left="158" w:hanging="187"/>
              <w:rPr>
                <w:rFonts w:eastAsiaTheme="minorHAnsi"/>
              </w:rPr>
            </w:pPr>
            <w:r w:rsidRPr="00920DFF">
              <w:rPr>
                <w:rFonts w:eastAsiaTheme="minorHAnsi"/>
              </w:rPr>
              <w:t>functional loss and additional limitation in ROM, and</w:t>
            </w:r>
          </w:p>
          <w:p w14:paraId="5F225271" w14:textId="77777777" w:rsidR="0023660A" w:rsidRPr="00920DFF" w:rsidRDefault="0023660A" w:rsidP="007633DD">
            <w:pPr>
              <w:pStyle w:val="ListParagraph"/>
              <w:numPr>
                <w:ilvl w:val="0"/>
                <w:numId w:val="35"/>
              </w:numPr>
              <w:ind w:left="158" w:hanging="187"/>
              <w:rPr>
                <w:rFonts w:eastAsiaTheme="minorHAnsi"/>
              </w:rPr>
            </w:pPr>
            <w:r w:rsidRPr="00920DFF">
              <w:rPr>
                <w:rFonts w:eastAsiaTheme="minorHAnsi"/>
              </w:rPr>
              <w:t>pain (pain on palpation) and crepitus.</w:t>
            </w:r>
          </w:p>
          <w:p w14:paraId="42C19D88" w14:textId="77777777" w:rsidR="0023660A" w:rsidRPr="00920DFF" w:rsidRDefault="0023660A" w:rsidP="00C23C37">
            <w:pPr>
              <w:rPr>
                <w:rFonts w:eastAsiaTheme="minorHAnsi" w:cstheme="minorBidi"/>
                <w:color w:val="auto"/>
                <w:szCs w:val="22"/>
              </w:rPr>
            </w:pPr>
          </w:p>
          <w:p w14:paraId="18C53423" w14:textId="731F1B8D" w:rsidR="0023660A" w:rsidRPr="00920DFF" w:rsidRDefault="0023660A" w:rsidP="00C23C37">
            <w:pPr>
              <w:rPr>
                <w:rFonts w:eastAsiaTheme="minorHAnsi" w:cstheme="minorBidi"/>
                <w:color w:val="auto"/>
                <w:szCs w:val="22"/>
              </w:rPr>
            </w:pPr>
            <w:r w:rsidRPr="00920DFF">
              <w:rPr>
                <w:rFonts w:eastAsiaTheme="minorHAnsi" w:cstheme="minorBidi"/>
                <w:b/>
                <w:i/>
                <w:color w:val="auto"/>
                <w:szCs w:val="22"/>
              </w:rPr>
              <w:t>Reference</w:t>
            </w:r>
            <w:r w:rsidR="00530C06" w:rsidRPr="00920DFF">
              <w:rPr>
                <w:rFonts w:eastAsiaTheme="minorHAnsi" w:cstheme="minorBidi"/>
                <w:b/>
                <w:i/>
                <w:color w:val="auto"/>
                <w:szCs w:val="22"/>
              </w:rPr>
              <w:t>s</w:t>
            </w:r>
            <w:r w:rsidRPr="00920DFF">
              <w:rPr>
                <w:rFonts w:eastAsiaTheme="minorHAnsi" w:cstheme="minorBidi"/>
                <w:color w:val="auto"/>
                <w:szCs w:val="22"/>
              </w:rPr>
              <w:t xml:space="preserve">:  For more information about </w:t>
            </w:r>
          </w:p>
          <w:p w14:paraId="606DF25D" w14:textId="77777777" w:rsidR="0023660A" w:rsidRPr="00920DFF" w:rsidRDefault="0023660A" w:rsidP="007633DD">
            <w:pPr>
              <w:pStyle w:val="ListParagraph"/>
              <w:numPr>
                <w:ilvl w:val="0"/>
                <w:numId w:val="37"/>
              </w:numPr>
              <w:ind w:left="158" w:hanging="187"/>
              <w:rPr>
                <w:rStyle w:val="Hyperlink"/>
                <w:rFonts w:eastAsiaTheme="minorHAnsi" w:cstheme="minorBidi"/>
                <w:color w:val="auto"/>
                <w:szCs w:val="22"/>
              </w:rPr>
            </w:pPr>
            <w:r w:rsidRPr="00920DFF">
              <w:rPr>
                <w:rFonts w:eastAsiaTheme="minorHAnsi" w:cstheme="minorBidi"/>
                <w:color w:val="auto"/>
                <w:szCs w:val="22"/>
              </w:rPr>
              <w:t xml:space="preserve">rating TMJ, see </w:t>
            </w:r>
            <w:hyperlink r:id="rId44" w:history="1">
              <w:r w:rsidRPr="00920DFF">
                <w:rPr>
                  <w:rStyle w:val="Hyperlink"/>
                  <w:rFonts w:eastAsiaTheme="minorHAnsi" w:cstheme="minorBidi"/>
                  <w:color w:val="auto"/>
                  <w:szCs w:val="22"/>
                </w:rPr>
                <w:t>38 CFR 4.150</w:t>
              </w:r>
            </w:hyperlink>
            <w:r w:rsidRPr="00920DFF">
              <w:rPr>
                <w:rStyle w:val="Hyperlink"/>
                <w:rFonts w:eastAsiaTheme="minorHAnsi" w:cstheme="minorBidi"/>
                <w:color w:val="auto"/>
                <w:szCs w:val="22"/>
                <w:u w:val="none"/>
              </w:rPr>
              <w:t>, and</w:t>
            </w:r>
          </w:p>
          <w:p w14:paraId="74F7B6D8" w14:textId="77777777" w:rsidR="0023660A" w:rsidRPr="00920DFF" w:rsidRDefault="0023660A" w:rsidP="007633DD">
            <w:pPr>
              <w:pStyle w:val="ListParagraph"/>
              <w:numPr>
                <w:ilvl w:val="0"/>
                <w:numId w:val="36"/>
              </w:numPr>
              <w:ind w:left="158" w:hanging="187"/>
              <w:rPr>
                <w:rFonts w:eastAsiaTheme="minorHAnsi" w:cstheme="minorBidi"/>
                <w:color w:val="auto"/>
                <w:szCs w:val="22"/>
              </w:rPr>
            </w:pPr>
            <w:r w:rsidRPr="00920DFF">
              <w:rPr>
                <w:rFonts w:eastAsiaTheme="minorHAnsi" w:cstheme="minorBidi"/>
                <w:color w:val="auto"/>
                <w:szCs w:val="22"/>
              </w:rPr>
              <w:t xml:space="preserve">the TMJ DBQ, see </w:t>
            </w:r>
            <w:hyperlink r:id="rId45" w:history="1">
              <w:r w:rsidRPr="00920DFF">
                <w:rPr>
                  <w:rStyle w:val="Hyperlink"/>
                  <w:rFonts w:eastAsiaTheme="minorHAnsi" w:cstheme="minorBidi"/>
                  <w:i/>
                  <w:szCs w:val="22"/>
                </w:rPr>
                <w:t>VA Form 21-0960M-15, Temporomandibular Joint (TMJ) Conditions Disability Benefits Questionnaire</w:t>
              </w:r>
            </w:hyperlink>
            <w:r w:rsidRPr="00920DFF">
              <w:rPr>
                <w:rFonts w:eastAsiaTheme="minorHAnsi" w:cstheme="minorBidi"/>
                <w:color w:val="auto"/>
                <w:szCs w:val="22"/>
              </w:rPr>
              <w:t>.</w:t>
            </w:r>
          </w:p>
        </w:tc>
      </w:tr>
    </w:tbl>
    <w:p w14:paraId="36217EE0" w14:textId="77777777" w:rsidR="0023660A" w:rsidRPr="00920DFF" w:rsidRDefault="0023660A" w:rsidP="0023660A">
      <w:pPr>
        <w:tabs>
          <w:tab w:val="left" w:pos="9360"/>
        </w:tabs>
        <w:spacing w:line="276" w:lineRule="auto"/>
        <w:ind w:left="1714"/>
        <w:rPr>
          <w:rFonts w:eastAsiaTheme="minorHAnsi" w:cstheme="minorBidi"/>
          <w:color w:val="auto"/>
          <w:szCs w:val="22"/>
        </w:rPr>
      </w:pPr>
      <w:r w:rsidRPr="00920DFF">
        <w:rPr>
          <w:rFonts w:eastAsiaTheme="minorHAnsi" w:cstheme="minorBidi"/>
          <w:color w:val="auto"/>
          <w:szCs w:val="22"/>
          <w:u w:val="single"/>
        </w:rPr>
        <w:tab/>
      </w:r>
    </w:p>
    <w:p w14:paraId="21872060" w14:textId="77777777" w:rsidR="0023660A" w:rsidRPr="00920DFF" w:rsidRDefault="0023660A" w:rsidP="005B726A">
      <w:pPr>
        <w:rPr>
          <w:rFonts w:eastAsiaTheme="minorHAnsi" w:cstheme="minorBidi"/>
          <w:color w:val="auto"/>
          <w:szCs w:val="22"/>
        </w:rPr>
      </w:pPr>
    </w:p>
    <w:tbl>
      <w:tblPr>
        <w:tblStyle w:val="TableGrid"/>
        <w:tblW w:w="0" w:type="auto"/>
        <w:tblLook w:val="04A0" w:firstRow="1" w:lastRow="0" w:firstColumn="1" w:lastColumn="0" w:noHBand="0" w:noVBand="1"/>
      </w:tblPr>
      <w:tblGrid>
        <w:gridCol w:w="1728"/>
        <w:gridCol w:w="7740"/>
      </w:tblGrid>
      <w:tr w:rsidR="00B72EA6" w:rsidRPr="00B72EA6" w14:paraId="480D95EF" w14:textId="77777777" w:rsidTr="00AB62AD">
        <w:tc>
          <w:tcPr>
            <w:tcW w:w="1728" w:type="dxa"/>
            <w:shd w:val="clear" w:color="auto" w:fill="auto"/>
          </w:tcPr>
          <w:p w14:paraId="14F38FC5" w14:textId="1D1541BF" w:rsidR="00B72EA6" w:rsidRPr="00920DFF" w:rsidRDefault="004561A1" w:rsidP="004909A7">
            <w:pPr>
              <w:pStyle w:val="Heading5"/>
            </w:pPr>
            <w:bookmarkStart w:id="45" w:name="_.__Traumatic"/>
            <w:bookmarkEnd w:id="45"/>
            <w:r w:rsidRPr="00920DFF">
              <w:t>n</w:t>
            </w:r>
            <w:r w:rsidR="00B72EA6" w:rsidRPr="00920DFF">
              <w:t>.  T</w:t>
            </w:r>
            <w:r w:rsidR="004909A7" w:rsidRPr="00920DFF">
              <w:t>BI</w:t>
            </w:r>
            <w:r w:rsidR="00C22FF3" w:rsidRPr="00920DFF">
              <w:rPr>
                <w:rFonts w:eastAsiaTheme="minorHAnsi"/>
              </w:rPr>
              <w:t xml:space="preserve"> Examination Report Review</w:t>
            </w:r>
          </w:p>
        </w:tc>
        <w:tc>
          <w:tcPr>
            <w:tcW w:w="7740" w:type="dxa"/>
            <w:shd w:val="clear" w:color="auto" w:fill="auto"/>
          </w:tcPr>
          <w:p w14:paraId="20B134F1" w14:textId="3299651D" w:rsidR="006558C4" w:rsidRPr="00920DFF" w:rsidRDefault="007A052D" w:rsidP="007A052D">
            <w:r w:rsidRPr="00920DFF">
              <w:rPr>
                <w:color w:val="auto"/>
                <w:szCs w:val="20"/>
              </w:rPr>
              <w:t>Ensure the</w:t>
            </w:r>
            <w:r w:rsidR="00B72EA6" w:rsidRPr="00920DFF">
              <w:rPr>
                <w:color w:val="auto"/>
                <w:szCs w:val="20"/>
              </w:rPr>
              <w:t xml:space="preserve"> </w:t>
            </w:r>
            <w:r w:rsidRPr="00920DFF">
              <w:rPr>
                <w:color w:val="auto"/>
                <w:szCs w:val="20"/>
              </w:rPr>
              <w:t xml:space="preserve">initial </w:t>
            </w:r>
            <w:r w:rsidR="00B72EA6" w:rsidRPr="00920DFF">
              <w:rPr>
                <w:color w:val="auto"/>
                <w:szCs w:val="20"/>
              </w:rPr>
              <w:t xml:space="preserve">TBI diagnosis is </w:t>
            </w:r>
            <w:r w:rsidRPr="00920DFF">
              <w:rPr>
                <w:color w:val="auto"/>
                <w:szCs w:val="20"/>
              </w:rPr>
              <w:t>conducted by a qualified examiner</w:t>
            </w:r>
            <w:r w:rsidR="00B72EA6" w:rsidRPr="00920DFF">
              <w:t xml:space="preserve">. </w:t>
            </w:r>
          </w:p>
          <w:p w14:paraId="49FAB909" w14:textId="77777777" w:rsidR="007A052D" w:rsidRPr="00920DFF" w:rsidRDefault="007A052D" w:rsidP="00B72EA6">
            <w:pPr>
              <w:rPr>
                <w:color w:val="auto"/>
                <w:szCs w:val="20"/>
              </w:rPr>
            </w:pPr>
          </w:p>
          <w:p w14:paraId="697EA7E3" w14:textId="7249D94D" w:rsidR="00100124" w:rsidRPr="00920DFF" w:rsidRDefault="00100124" w:rsidP="00B72EA6">
            <w:pPr>
              <w:rPr>
                <w:color w:val="auto"/>
                <w:szCs w:val="20"/>
              </w:rPr>
            </w:pPr>
            <w:r w:rsidRPr="00920DFF">
              <w:rPr>
                <w:color w:val="auto"/>
                <w:szCs w:val="20"/>
              </w:rPr>
              <w:t>The examiner must address</w:t>
            </w:r>
          </w:p>
          <w:p w14:paraId="16225955" w14:textId="77777777" w:rsidR="00100124" w:rsidRPr="00920DFF" w:rsidRDefault="00100124" w:rsidP="00B72EA6">
            <w:pPr>
              <w:rPr>
                <w:color w:val="auto"/>
                <w:szCs w:val="20"/>
              </w:rPr>
            </w:pPr>
          </w:p>
          <w:p w14:paraId="3EC9DD2F" w14:textId="2C31B2C8" w:rsidR="00100124" w:rsidRPr="00920DFF" w:rsidRDefault="00100124" w:rsidP="007633DD">
            <w:pPr>
              <w:pStyle w:val="ListParagraph"/>
              <w:numPr>
                <w:ilvl w:val="0"/>
                <w:numId w:val="26"/>
              </w:numPr>
              <w:ind w:left="158" w:hanging="187"/>
            </w:pPr>
            <w:r w:rsidRPr="00920DFF">
              <w:t>all the of facets of the TBI diagnosis</w:t>
            </w:r>
            <w:r w:rsidR="004F3BA8" w:rsidRPr="00920DFF">
              <w:t>, and</w:t>
            </w:r>
          </w:p>
          <w:p w14:paraId="2A85A722" w14:textId="77777777" w:rsidR="00913A17" w:rsidRPr="00920DFF" w:rsidRDefault="004F3BA8" w:rsidP="007633DD">
            <w:pPr>
              <w:pStyle w:val="ListParagraph"/>
              <w:numPr>
                <w:ilvl w:val="0"/>
                <w:numId w:val="27"/>
              </w:numPr>
              <w:ind w:left="346" w:hanging="187"/>
            </w:pPr>
            <w:r w:rsidRPr="00920DFF">
              <w:t>if any facets are left blank, it must be indicated in the remarks section of the DBQ that the symptoms are related to a non-TBI condition</w:t>
            </w:r>
            <w:r w:rsidR="00913A17" w:rsidRPr="00920DFF">
              <w:t>,</w:t>
            </w:r>
            <w:r w:rsidRPr="00920DFF">
              <w:t xml:space="preserve"> and</w:t>
            </w:r>
          </w:p>
          <w:p w14:paraId="406966E3" w14:textId="64697E8B" w:rsidR="004F3BA8" w:rsidRPr="00920DFF" w:rsidRDefault="004F3BA8" w:rsidP="007633DD">
            <w:pPr>
              <w:pStyle w:val="ListParagraph"/>
              <w:numPr>
                <w:ilvl w:val="0"/>
                <w:numId w:val="27"/>
              </w:numPr>
              <w:ind w:left="346" w:hanging="187"/>
            </w:pPr>
            <w:r w:rsidRPr="00920DFF">
              <w:t>provide an explanation</w:t>
            </w:r>
          </w:p>
          <w:p w14:paraId="6379534C" w14:textId="2FB67F29" w:rsidR="004F3BA8" w:rsidRPr="00920DFF" w:rsidRDefault="00100124" w:rsidP="007633DD">
            <w:pPr>
              <w:pStyle w:val="ListParagraph"/>
              <w:numPr>
                <w:ilvl w:val="0"/>
                <w:numId w:val="71"/>
              </w:numPr>
              <w:ind w:left="158" w:hanging="187"/>
            </w:pPr>
            <w:r w:rsidRPr="00920DFF">
              <w:t>any additional residuals, other findings, diagnostic testing, and functional impact of the diagnosis</w:t>
            </w:r>
            <w:r w:rsidR="004F3BA8" w:rsidRPr="00920DFF">
              <w:t>, and</w:t>
            </w:r>
            <w:r w:rsidR="00913A17" w:rsidRPr="00920DFF">
              <w:t xml:space="preserve"> </w:t>
            </w:r>
            <w:r w:rsidR="004F3BA8" w:rsidRPr="00920DFF">
              <w:t>an explanation regarding conflicting diagnoses from medical vs. mental health clinicians must be provided</w:t>
            </w:r>
          </w:p>
          <w:p w14:paraId="44AA6245" w14:textId="525DF834" w:rsidR="004F3BA8" w:rsidRPr="00920DFF" w:rsidRDefault="00100124" w:rsidP="007633DD">
            <w:pPr>
              <w:pStyle w:val="ListParagraph"/>
              <w:numPr>
                <w:ilvl w:val="0"/>
                <w:numId w:val="28"/>
              </w:numPr>
              <w:ind w:left="158" w:hanging="187"/>
            </w:pPr>
            <w:r w:rsidRPr="00920DFF">
              <w:t>other pertinent physical findings, scars, complications, co</w:t>
            </w:r>
            <w:r w:rsidR="00B11544" w:rsidRPr="00920DFF">
              <w:t xml:space="preserve">nditions, signs and/or symptoms such as </w:t>
            </w:r>
            <w:r w:rsidR="004F3BA8" w:rsidRPr="00920DFF">
              <w:t>mental, physical or neurological conditions or residuals attributable to a TBI (such as migraine headaches or Meniere’s disease), and</w:t>
            </w:r>
            <w:r w:rsidR="00DA51C1" w:rsidRPr="00920DFF">
              <w:t xml:space="preserve"> </w:t>
            </w:r>
          </w:p>
          <w:p w14:paraId="4BB32AA1" w14:textId="7C21DEAA" w:rsidR="00100124" w:rsidRPr="00920DFF" w:rsidRDefault="004F3BA8" w:rsidP="007633DD">
            <w:pPr>
              <w:pStyle w:val="ListParagraph"/>
              <w:numPr>
                <w:ilvl w:val="0"/>
                <w:numId w:val="54"/>
              </w:numPr>
              <w:ind w:left="158" w:hanging="187"/>
            </w:pPr>
            <w:r w:rsidRPr="00920DFF">
              <w:t xml:space="preserve">the </w:t>
            </w:r>
            <w:r w:rsidR="00100124" w:rsidRPr="00920DFF">
              <w:t>functional impact o</w:t>
            </w:r>
            <w:r w:rsidR="00693ABA" w:rsidRPr="00920DFF">
              <w:t>n the Veteran’s ability to work</w:t>
            </w:r>
            <w:r w:rsidR="00913A17" w:rsidRPr="00920DFF">
              <w:t>.</w:t>
            </w:r>
          </w:p>
          <w:p w14:paraId="515B0FEA" w14:textId="77777777" w:rsidR="00693ABA" w:rsidRPr="00920DFF" w:rsidRDefault="00693ABA" w:rsidP="00693ABA">
            <w:pPr>
              <w:ind w:left="-29"/>
            </w:pPr>
          </w:p>
          <w:p w14:paraId="081CDF1C" w14:textId="7A7BA946" w:rsidR="00D621F4" w:rsidRPr="00920DFF" w:rsidRDefault="00693ABA" w:rsidP="00693ABA">
            <w:pPr>
              <w:ind w:left="-29"/>
            </w:pPr>
            <w:r w:rsidRPr="00920DFF">
              <w:t>A mental health</w:t>
            </w:r>
            <w:r w:rsidR="00D621F4" w:rsidRPr="00920DFF">
              <w:t xml:space="preserve"> evaluation alone </w:t>
            </w:r>
            <w:r w:rsidR="004909A7" w:rsidRPr="00920DFF">
              <w:t>is not sufficient in addressing</w:t>
            </w:r>
            <w:r w:rsidR="00DB2BB1" w:rsidRPr="00920DFF">
              <w:t xml:space="preserve"> TBI.</w:t>
            </w:r>
            <w:r w:rsidR="00D621F4" w:rsidRPr="00920DFF">
              <w:t xml:space="preserve"> </w:t>
            </w:r>
            <w:r w:rsidR="00A30738" w:rsidRPr="00920DFF">
              <w:t xml:space="preserve"> </w:t>
            </w:r>
            <w:r w:rsidR="00D621F4" w:rsidRPr="00920DFF">
              <w:t xml:space="preserve">TBI </w:t>
            </w:r>
            <w:r w:rsidR="00DB2BB1" w:rsidRPr="00920DFF">
              <w:t xml:space="preserve">examination completed </w:t>
            </w:r>
            <w:r w:rsidR="00D621F4" w:rsidRPr="00920DFF">
              <w:t xml:space="preserve">by </w:t>
            </w:r>
            <w:r w:rsidR="00DB2BB1" w:rsidRPr="00920DFF">
              <w:t xml:space="preserve">a </w:t>
            </w:r>
            <w:r w:rsidR="00D621F4" w:rsidRPr="00920DFF">
              <w:t>medi</w:t>
            </w:r>
            <w:r w:rsidRPr="00920DFF">
              <w:t>cal clinician with input from a mental health</w:t>
            </w:r>
            <w:r w:rsidR="004F22D7" w:rsidRPr="00920DFF">
              <w:t xml:space="preserve"> examiner need</w:t>
            </w:r>
            <w:r w:rsidR="00D621F4" w:rsidRPr="00920DFF">
              <w:t xml:space="preserve"> to be completed </w:t>
            </w:r>
            <w:r w:rsidR="00913A17" w:rsidRPr="00920DFF">
              <w:t>when</w:t>
            </w:r>
            <w:r w:rsidRPr="00920DFF">
              <w:t xml:space="preserve"> attributable signs and symptoms</w:t>
            </w:r>
            <w:r w:rsidR="00913A17" w:rsidRPr="00920DFF">
              <w:t xml:space="preserve"> co-exist</w:t>
            </w:r>
            <w:r w:rsidR="00D621F4" w:rsidRPr="00920DFF">
              <w:t>.</w:t>
            </w:r>
          </w:p>
          <w:p w14:paraId="7AD4E6E0" w14:textId="77777777" w:rsidR="004F22D7" w:rsidRPr="00920DFF" w:rsidRDefault="004F22D7" w:rsidP="004F22D7"/>
          <w:p w14:paraId="43828FD1" w14:textId="6F436DDD" w:rsidR="00865109" w:rsidRPr="00920DFF" w:rsidRDefault="004F22D7" w:rsidP="004F22D7">
            <w:r w:rsidRPr="00920DFF">
              <w:t>O</w:t>
            </w:r>
            <w:r w:rsidR="00D621F4" w:rsidRPr="00920DFF">
              <w:t xml:space="preserve">bjective evidence </w:t>
            </w:r>
            <w:r w:rsidR="00865109" w:rsidRPr="00920DFF">
              <w:t>and</w:t>
            </w:r>
            <w:r w:rsidRPr="00920DFF">
              <w:t xml:space="preserve"> </w:t>
            </w:r>
            <w:r w:rsidR="00DB2BB1" w:rsidRPr="00920DFF">
              <w:t>neuropsychiatric</w:t>
            </w:r>
            <w:r w:rsidRPr="00920DFF">
              <w:t xml:space="preserve"> testing </w:t>
            </w:r>
            <w:r w:rsidR="00865109" w:rsidRPr="00920DFF">
              <w:t>may be required</w:t>
            </w:r>
            <w:r w:rsidRPr="00920DFF">
              <w:t xml:space="preserve"> </w:t>
            </w:r>
            <w:r w:rsidR="00865109" w:rsidRPr="00920DFF">
              <w:t xml:space="preserve">when cognitive impairment symptoms are identified. </w:t>
            </w:r>
            <w:r w:rsidR="00171107" w:rsidRPr="00920DFF">
              <w:t xml:space="preserve"> </w:t>
            </w:r>
            <w:r w:rsidR="00865109" w:rsidRPr="00920DFF">
              <w:t xml:space="preserve">Some examples of </w:t>
            </w:r>
            <w:r w:rsidR="00DB2BB1" w:rsidRPr="00920DFF">
              <w:t>cognitive</w:t>
            </w:r>
            <w:r w:rsidR="00865109" w:rsidRPr="00920DFF">
              <w:t xml:space="preserve"> impairment symptomology include</w:t>
            </w:r>
          </w:p>
          <w:p w14:paraId="5C20987E" w14:textId="20892F3F" w:rsidR="004F22D7" w:rsidRPr="00920DFF" w:rsidRDefault="004F22D7" w:rsidP="004F22D7"/>
          <w:p w14:paraId="2DE6C64E" w14:textId="147E804A" w:rsidR="004F22D7" w:rsidRPr="00920DFF" w:rsidRDefault="004F22D7" w:rsidP="007633DD">
            <w:pPr>
              <w:pStyle w:val="ListParagraph"/>
              <w:numPr>
                <w:ilvl w:val="0"/>
                <w:numId w:val="55"/>
              </w:numPr>
              <w:ind w:left="158" w:hanging="187"/>
            </w:pPr>
            <w:r w:rsidRPr="00920DFF">
              <w:t>memory loss</w:t>
            </w:r>
            <w:r w:rsidR="00913A17" w:rsidRPr="00920DFF">
              <w:t>, and</w:t>
            </w:r>
          </w:p>
          <w:p w14:paraId="23583B70" w14:textId="3A38D43D" w:rsidR="00D621F4" w:rsidRPr="00920DFF" w:rsidRDefault="00913A17" w:rsidP="007633DD">
            <w:pPr>
              <w:pStyle w:val="ListParagraph"/>
              <w:numPr>
                <w:ilvl w:val="0"/>
                <w:numId w:val="55"/>
              </w:numPr>
              <w:ind w:left="158" w:hanging="187"/>
            </w:pPr>
            <w:r w:rsidRPr="00920DFF">
              <w:t xml:space="preserve">reduced attention, </w:t>
            </w:r>
            <w:r w:rsidR="004F22D7" w:rsidRPr="00920DFF">
              <w:t>concentration, and</w:t>
            </w:r>
            <w:r w:rsidRPr="00920DFF">
              <w:t xml:space="preserve"> </w:t>
            </w:r>
            <w:r w:rsidR="004F22D7" w:rsidRPr="00920DFF">
              <w:t>executive functioning</w:t>
            </w:r>
            <w:r w:rsidR="00D621F4" w:rsidRPr="00920DFF">
              <w:t>.</w:t>
            </w:r>
          </w:p>
          <w:p w14:paraId="307BCE04" w14:textId="77777777" w:rsidR="00D621F4" w:rsidRPr="00920DFF" w:rsidRDefault="00D621F4" w:rsidP="00D621F4">
            <w:pPr>
              <w:ind w:left="-29"/>
            </w:pPr>
          </w:p>
          <w:p w14:paraId="42664DCE" w14:textId="425905BC" w:rsidR="00671310" w:rsidRPr="00920DFF" w:rsidRDefault="007A726E" w:rsidP="00B72EA6">
            <w:pPr>
              <w:rPr>
                <w:color w:val="auto"/>
                <w:szCs w:val="20"/>
              </w:rPr>
            </w:pPr>
            <w:r w:rsidRPr="00920DFF">
              <w:rPr>
                <w:b/>
                <w:i/>
                <w:color w:val="auto"/>
                <w:szCs w:val="20"/>
              </w:rPr>
              <w:t>Reference</w:t>
            </w:r>
            <w:r w:rsidR="007A052D" w:rsidRPr="00920DFF">
              <w:rPr>
                <w:b/>
                <w:i/>
                <w:color w:val="auto"/>
                <w:szCs w:val="20"/>
              </w:rPr>
              <w:t>s</w:t>
            </w:r>
            <w:r w:rsidRPr="00920DFF">
              <w:rPr>
                <w:color w:val="auto"/>
                <w:szCs w:val="20"/>
              </w:rPr>
              <w:t xml:space="preserve">:  For more information </w:t>
            </w:r>
            <w:r w:rsidR="007A052D" w:rsidRPr="00920DFF">
              <w:rPr>
                <w:color w:val="auto"/>
                <w:szCs w:val="20"/>
              </w:rPr>
              <w:t>on</w:t>
            </w:r>
            <w:r w:rsidR="00671310" w:rsidRPr="00920DFF">
              <w:rPr>
                <w:color w:val="auto"/>
                <w:szCs w:val="20"/>
              </w:rPr>
              <w:t xml:space="preserve"> </w:t>
            </w:r>
          </w:p>
          <w:p w14:paraId="6C3DC8E6" w14:textId="7C9D174F" w:rsidR="007A052D" w:rsidRPr="00920DFF" w:rsidRDefault="007A052D" w:rsidP="007633DD">
            <w:pPr>
              <w:pStyle w:val="ListParagraph"/>
              <w:numPr>
                <w:ilvl w:val="0"/>
                <w:numId w:val="18"/>
              </w:numPr>
              <w:ind w:left="158" w:hanging="187"/>
            </w:pPr>
            <w:r w:rsidRPr="00920DFF">
              <w:t>TBI examiner qualifications, see M</w:t>
            </w:r>
            <w:r w:rsidR="00C97C8B" w:rsidRPr="00920DFF">
              <w:t>2</w:t>
            </w:r>
            <w:r w:rsidR="006B13F6" w:rsidRPr="00920DFF">
              <w:t>1-1, Part III, Subpart iv, 3.D.2</w:t>
            </w:r>
            <w:r w:rsidR="00C97C8B" w:rsidRPr="00920DFF">
              <w:t>.</w:t>
            </w:r>
            <w:r w:rsidR="006B13F6" w:rsidRPr="00920DFF">
              <w:t>h</w:t>
            </w:r>
            <w:r w:rsidR="00913A17" w:rsidRPr="00920DFF">
              <w:t>, and</w:t>
            </w:r>
          </w:p>
          <w:p w14:paraId="3132F171" w14:textId="217EEA18" w:rsidR="00913A17" w:rsidRPr="00920DFF" w:rsidRDefault="009A730F" w:rsidP="007633DD">
            <w:pPr>
              <w:pStyle w:val="ListParagraph"/>
              <w:numPr>
                <w:ilvl w:val="0"/>
                <w:numId w:val="18"/>
              </w:numPr>
              <w:ind w:left="158" w:hanging="187"/>
            </w:pPr>
            <w:r w:rsidRPr="00920DFF">
              <w:t>evaluating</w:t>
            </w:r>
            <w:r w:rsidR="00F85E9A" w:rsidRPr="00920DFF">
              <w:t xml:space="preserve"> TBI, see</w:t>
            </w:r>
          </w:p>
          <w:p w14:paraId="19D91721" w14:textId="0A654842" w:rsidR="007A726E" w:rsidRPr="00920DFF" w:rsidRDefault="00671310" w:rsidP="007633DD">
            <w:pPr>
              <w:pStyle w:val="ListParagraph"/>
              <w:numPr>
                <w:ilvl w:val="0"/>
                <w:numId w:val="72"/>
              </w:numPr>
              <w:ind w:left="346" w:hanging="187"/>
            </w:pPr>
            <w:r w:rsidRPr="00920DFF">
              <w:t>M21-1, Part III, Subpart iv, 4.G.2, and</w:t>
            </w:r>
          </w:p>
          <w:p w14:paraId="257D03F5" w14:textId="620A5F97" w:rsidR="007A726E" w:rsidRPr="00920DFF" w:rsidRDefault="00920DFF" w:rsidP="007633DD">
            <w:pPr>
              <w:pStyle w:val="ListParagraph"/>
              <w:numPr>
                <w:ilvl w:val="0"/>
                <w:numId w:val="72"/>
              </w:numPr>
              <w:ind w:left="346" w:hanging="187"/>
              <w:rPr>
                <w:color w:val="auto"/>
                <w:szCs w:val="20"/>
              </w:rPr>
            </w:pPr>
            <w:hyperlink r:id="rId46" w:history="1">
              <w:r w:rsidR="00671310" w:rsidRPr="00920DFF">
                <w:rPr>
                  <w:rStyle w:val="Hyperlink"/>
                </w:rPr>
                <w:t xml:space="preserve">38 CFR </w:t>
              </w:r>
              <w:r w:rsidR="005743CF" w:rsidRPr="00920DFF">
                <w:rPr>
                  <w:rStyle w:val="Hyperlink"/>
                </w:rPr>
                <w:t>4.124a</w:t>
              </w:r>
            </w:hyperlink>
            <w:r w:rsidR="005D2077" w:rsidRPr="00920DFF">
              <w:rPr>
                <w:rStyle w:val="Hyperlink"/>
              </w:rPr>
              <w:t>.</w:t>
            </w:r>
          </w:p>
        </w:tc>
      </w:tr>
    </w:tbl>
    <w:p w14:paraId="4C3DDA0D" w14:textId="02D41DB8" w:rsidR="00B72EA6" w:rsidRPr="00B72EA6" w:rsidRDefault="00B72EA6" w:rsidP="00B72EA6">
      <w:pPr>
        <w:tabs>
          <w:tab w:val="left" w:pos="9360"/>
        </w:tabs>
        <w:spacing w:line="276" w:lineRule="auto"/>
        <w:ind w:left="1714"/>
        <w:rPr>
          <w:rFonts w:eastAsiaTheme="minorHAnsi" w:cstheme="minorBidi"/>
          <w:color w:val="auto"/>
          <w:szCs w:val="22"/>
        </w:rPr>
      </w:pPr>
      <w:r w:rsidRPr="00B72EA6">
        <w:rPr>
          <w:rFonts w:eastAsiaTheme="minorHAnsi" w:cstheme="minorBidi"/>
          <w:color w:val="auto"/>
          <w:szCs w:val="22"/>
          <w:u w:val="single"/>
        </w:rPr>
        <w:tab/>
      </w:r>
    </w:p>
    <w:p w14:paraId="0528A755" w14:textId="5387F2DC" w:rsidR="00B72EA6" w:rsidRPr="00B72EA6" w:rsidRDefault="00B72EA6" w:rsidP="00B72EA6">
      <w:pPr>
        <w:tabs>
          <w:tab w:val="left" w:pos="9360"/>
        </w:tabs>
        <w:spacing w:line="276" w:lineRule="auto"/>
        <w:ind w:left="1714"/>
        <w:rPr>
          <w:rFonts w:eastAsiaTheme="minorHAnsi" w:cstheme="minorBidi"/>
          <w:color w:val="auto"/>
          <w:szCs w:val="22"/>
        </w:rPr>
      </w:pPr>
      <w:bookmarkStart w:id="46" w:name="_._Examination_Diagnosis"/>
      <w:bookmarkStart w:id="47" w:name="_.__Inconsistence"/>
      <w:bookmarkStart w:id="48" w:name="_.__Examples"/>
      <w:bookmarkEnd w:id="46"/>
      <w:bookmarkEnd w:id="47"/>
      <w:bookmarkEnd w:id="48"/>
    </w:p>
    <w:sectPr w:rsidR="00B72EA6" w:rsidRPr="00B72EA6">
      <w:headerReference w:type="even" r:id="rId47"/>
      <w:headerReference w:type="default" r:id="rId48"/>
      <w:footerReference w:type="even" r:id="rId49"/>
      <w:footerReference w:type="default" r:id="rId50"/>
      <w:pgSz w:w="12240" w:h="15840"/>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CC1E1" w14:textId="77777777" w:rsidR="00A30738" w:rsidRDefault="00A30738">
      <w:r>
        <w:separator/>
      </w:r>
    </w:p>
  </w:endnote>
  <w:endnote w:type="continuationSeparator" w:id="0">
    <w:p w14:paraId="300DFB38" w14:textId="77777777" w:rsidR="00A30738" w:rsidRDefault="00A30738">
      <w:r>
        <w:continuationSeparator/>
      </w:r>
    </w:p>
  </w:endnote>
  <w:endnote w:type="continuationNotice" w:id="1">
    <w:p w14:paraId="2FEA5F63" w14:textId="77777777" w:rsidR="00A30738" w:rsidRDefault="00A30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D7F8" w14:textId="0914D3EC" w:rsidR="00A30738" w:rsidRDefault="00A30738">
    <w:pPr>
      <w:pStyle w:val="Footer"/>
      <w:tabs>
        <w:tab w:val="left" w:pos="0"/>
        <w:tab w:val="right" w:pos="9274"/>
      </w:tabs>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D7F9" w14:textId="5C0B8532" w:rsidR="00A30738" w:rsidRDefault="00A30738">
    <w:pPr>
      <w:pStyle w:val="Footer"/>
      <w:tabs>
        <w:tab w:val="left" w:pos="0"/>
        <w:tab w:val="right" w:pos="9274"/>
      </w:tabs>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704FF" w14:textId="77777777" w:rsidR="00A30738" w:rsidRDefault="00A30738">
      <w:r>
        <w:separator/>
      </w:r>
    </w:p>
  </w:footnote>
  <w:footnote w:type="continuationSeparator" w:id="0">
    <w:p w14:paraId="6D68CCA4" w14:textId="77777777" w:rsidR="00A30738" w:rsidRDefault="00A30738">
      <w:r>
        <w:continuationSeparator/>
      </w:r>
    </w:p>
  </w:footnote>
  <w:footnote w:type="continuationNotice" w:id="1">
    <w:p w14:paraId="00BD9BFC" w14:textId="77777777" w:rsidR="00A30738" w:rsidRDefault="00A307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D7F6" w14:textId="1A021D07" w:rsidR="00A30738" w:rsidRDefault="00A30738">
    <w:pPr>
      <w:pStyle w:val="Header"/>
    </w:pPr>
    <w:r>
      <w:rPr>
        <w:b/>
        <w:sz w:val="20"/>
      </w:rPr>
      <w:t>M21-</w:t>
    </w:r>
    <w:r>
      <w:rPr>
        <w:b/>
        <w:sz w:val="20"/>
        <w:lang w:val="en-US"/>
      </w:rPr>
      <w:t>1</w:t>
    </w:r>
    <w:r>
      <w:rPr>
        <w:b/>
        <w:sz w:val="20"/>
      </w:rPr>
      <w:t>, Part III, Subpart iv, Chapter 3, Section D</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D7F7" w14:textId="3E4C5DB3" w:rsidR="00A30738" w:rsidRDefault="00A30738">
    <w:pPr>
      <w:pStyle w:val="Header"/>
    </w:pPr>
    <w:r>
      <w:rPr>
        <w:b/>
        <w:sz w:val="20"/>
      </w:rPr>
      <w:tab/>
    </w:r>
    <w:r>
      <w:rPr>
        <w:b/>
        <w:sz w:val="20"/>
      </w:rPr>
      <w:tab/>
      <w:t>M21-</w:t>
    </w:r>
    <w:r>
      <w:rPr>
        <w:b/>
        <w:sz w:val="20"/>
        <w:lang w:val="en-US"/>
      </w:rPr>
      <w:t>1</w:t>
    </w:r>
    <w:r>
      <w:rPr>
        <w:b/>
        <w:sz w:val="20"/>
      </w:rPr>
      <w:t>, Part III, Subpart iv, Chapter 3, Section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43B57"/>
    <w:multiLevelType w:val="hybridMultilevel"/>
    <w:tmpl w:val="65643076"/>
    <w:lvl w:ilvl="0" w:tplc="BB24F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4761F"/>
    <w:multiLevelType w:val="hybridMultilevel"/>
    <w:tmpl w:val="91165BAC"/>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0808"/>
    <w:multiLevelType w:val="hybridMultilevel"/>
    <w:tmpl w:val="83328272"/>
    <w:lvl w:ilvl="0" w:tplc="78F01B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D2ADD"/>
    <w:multiLevelType w:val="hybridMultilevel"/>
    <w:tmpl w:val="16E80F24"/>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936BF"/>
    <w:multiLevelType w:val="hybridMultilevel"/>
    <w:tmpl w:val="12D4AA0A"/>
    <w:lvl w:ilvl="0" w:tplc="5C3A8D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572B7"/>
    <w:multiLevelType w:val="hybridMultilevel"/>
    <w:tmpl w:val="4B5A5344"/>
    <w:lvl w:ilvl="0" w:tplc="9B162A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3933AA"/>
    <w:multiLevelType w:val="hybridMultilevel"/>
    <w:tmpl w:val="80A48952"/>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A233F"/>
    <w:multiLevelType w:val="hybridMultilevel"/>
    <w:tmpl w:val="9BF44860"/>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24616"/>
    <w:multiLevelType w:val="hybridMultilevel"/>
    <w:tmpl w:val="D918EFFE"/>
    <w:lvl w:ilvl="0" w:tplc="7DC8CF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251D64"/>
    <w:multiLevelType w:val="hybridMultilevel"/>
    <w:tmpl w:val="691A6704"/>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3B445B"/>
    <w:multiLevelType w:val="hybridMultilevel"/>
    <w:tmpl w:val="4028B854"/>
    <w:lvl w:ilvl="0" w:tplc="BB24F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3078C"/>
    <w:multiLevelType w:val="hybridMultilevel"/>
    <w:tmpl w:val="4CCCA070"/>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8F31C9"/>
    <w:multiLevelType w:val="hybridMultilevel"/>
    <w:tmpl w:val="5F4C601A"/>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BF0516"/>
    <w:multiLevelType w:val="hybridMultilevel"/>
    <w:tmpl w:val="BE0A326C"/>
    <w:lvl w:ilvl="0" w:tplc="7DC8CF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130BF"/>
    <w:multiLevelType w:val="hybridMultilevel"/>
    <w:tmpl w:val="BDC2719E"/>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8E72A2"/>
    <w:multiLevelType w:val="hybridMultilevel"/>
    <w:tmpl w:val="FDCADA18"/>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BD0C2C"/>
    <w:multiLevelType w:val="hybridMultilevel"/>
    <w:tmpl w:val="2FEE3E64"/>
    <w:lvl w:ilvl="0" w:tplc="0BC83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BF54941"/>
    <w:multiLevelType w:val="hybridMultilevel"/>
    <w:tmpl w:val="0EE00508"/>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7F265F"/>
    <w:multiLevelType w:val="hybridMultilevel"/>
    <w:tmpl w:val="9F96D774"/>
    <w:lvl w:ilvl="0" w:tplc="BB24F9F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0A62EB"/>
    <w:multiLevelType w:val="hybridMultilevel"/>
    <w:tmpl w:val="19DA3B3C"/>
    <w:lvl w:ilvl="0" w:tplc="6AE8E4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5403D4"/>
    <w:multiLevelType w:val="hybridMultilevel"/>
    <w:tmpl w:val="33406496"/>
    <w:lvl w:ilvl="0" w:tplc="192ABB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824BBA"/>
    <w:multiLevelType w:val="hybridMultilevel"/>
    <w:tmpl w:val="E91674E0"/>
    <w:lvl w:ilvl="0" w:tplc="080AE3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D21D1B"/>
    <w:multiLevelType w:val="hybridMultilevel"/>
    <w:tmpl w:val="9C222FA6"/>
    <w:lvl w:ilvl="0" w:tplc="0ADAC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DF12BC"/>
    <w:multiLevelType w:val="hybridMultilevel"/>
    <w:tmpl w:val="B79C805C"/>
    <w:lvl w:ilvl="0" w:tplc="6D1665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873486"/>
    <w:multiLevelType w:val="hybridMultilevel"/>
    <w:tmpl w:val="50123518"/>
    <w:lvl w:ilvl="0" w:tplc="BB24F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220912"/>
    <w:multiLevelType w:val="hybridMultilevel"/>
    <w:tmpl w:val="5E988516"/>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5E084B"/>
    <w:multiLevelType w:val="hybridMultilevel"/>
    <w:tmpl w:val="A89AAC64"/>
    <w:lvl w:ilvl="0" w:tplc="FE209D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E24FFF"/>
    <w:multiLevelType w:val="hybridMultilevel"/>
    <w:tmpl w:val="41002C7A"/>
    <w:lvl w:ilvl="0" w:tplc="0BC83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9C532AF"/>
    <w:multiLevelType w:val="hybridMultilevel"/>
    <w:tmpl w:val="3BF47A58"/>
    <w:lvl w:ilvl="0" w:tplc="88189F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722094"/>
    <w:multiLevelType w:val="hybridMultilevel"/>
    <w:tmpl w:val="2248A122"/>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A112BC"/>
    <w:multiLevelType w:val="hybridMultilevel"/>
    <w:tmpl w:val="BF64E92C"/>
    <w:lvl w:ilvl="0" w:tplc="D11A50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2F77AE"/>
    <w:multiLevelType w:val="hybridMultilevel"/>
    <w:tmpl w:val="27E6111C"/>
    <w:lvl w:ilvl="0" w:tplc="310044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2D6145"/>
    <w:multiLevelType w:val="hybridMultilevel"/>
    <w:tmpl w:val="E36C24BE"/>
    <w:lvl w:ilvl="0" w:tplc="174402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C97C3D"/>
    <w:multiLevelType w:val="hybridMultilevel"/>
    <w:tmpl w:val="FC32B78C"/>
    <w:lvl w:ilvl="0" w:tplc="7A8813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272BF5"/>
    <w:multiLevelType w:val="hybridMultilevel"/>
    <w:tmpl w:val="3A926E24"/>
    <w:lvl w:ilvl="0" w:tplc="B98E22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5F5FF3"/>
    <w:multiLevelType w:val="hybridMultilevel"/>
    <w:tmpl w:val="4BAEA620"/>
    <w:lvl w:ilvl="0" w:tplc="98D6EB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355801"/>
    <w:multiLevelType w:val="hybridMultilevel"/>
    <w:tmpl w:val="D0A02688"/>
    <w:lvl w:ilvl="0" w:tplc="6DC45F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49475B"/>
    <w:multiLevelType w:val="hybridMultilevel"/>
    <w:tmpl w:val="71E61A42"/>
    <w:lvl w:ilvl="0" w:tplc="B136D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8542EE0"/>
    <w:multiLevelType w:val="hybridMultilevel"/>
    <w:tmpl w:val="10B41686"/>
    <w:lvl w:ilvl="0" w:tplc="FCF028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26138D"/>
    <w:multiLevelType w:val="hybridMultilevel"/>
    <w:tmpl w:val="53E26F4A"/>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397FEC"/>
    <w:multiLevelType w:val="hybridMultilevel"/>
    <w:tmpl w:val="890E8060"/>
    <w:lvl w:ilvl="0" w:tplc="FCF028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AC348D"/>
    <w:multiLevelType w:val="hybridMultilevel"/>
    <w:tmpl w:val="6B7851D8"/>
    <w:lvl w:ilvl="0" w:tplc="7E10A0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A3014D3"/>
    <w:multiLevelType w:val="hybridMultilevel"/>
    <w:tmpl w:val="273C87B6"/>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6039BB"/>
    <w:multiLevelType w:val="hybridMultilevel"/>
    <w:tmpl w:val="155A6826"/>
    <w:lvl w:ilvl="0" w:tplc="ACA85A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091596"/>
    <w:multiLevelType w:val="hybridMultilevel"/>
    <w:tmpl w:val="A3A8F28A"/>
    <w:lvl w:ilvl="0" w:tplc="192ABB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0B25DB"/>
    <w:multiLevelType w:val="hybridMultilevel"/>
    <w:tmpl w:val="12080EE8"/>
    <w:lvl w:ilvl="0" w:tplc="D42AFA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EE929BF"/>
    <w:multiLevelType w:val="hybridMultilevel"/>
    <w:tmpl w:val="76BEEEDC"/>
    <w:lvl w:ilvl="0" w:tplc="8C7260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C563F3"/>
    <w:multiLevelType w:val="hybridMultilevel"/>
    <w:tmpl w:val="401E3CFA"/>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C96FEE"/>
    <w:multiLevelType w:val="hybridMultilevel"/>
    <w:tmpl w:val="92E85510"/>
    <w:lvl w:ilvl="0" w:tplc="A2BC93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901BB7"/>
    <w:multiLevelType w:val="hybridMultilevel"/>
    <w:tmpl w:val="DBB2F9CE"/>
    <w:lvl w:ilvl="0" w:tplc="F412F1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9C3658"/>
    <w:multiLevelType w:val="hybridMultilevel"/>
    <w:tmpl w:val="08949AF2"/>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7E31FA4"/>
    <w:multiLevelType w:val="hybridMultilevel"/>
    <w:tmpl w:val="34AE6674"/>
    <w:lvl w:ilvl="0" w:tplc="4148F0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E66F01"/>
    <w:multiLevelType w:val="hybridMultilevel"/>
    <w:tmpl w:val="7D34C716"/>
    <w:lvl w:ilvl="0" w:tplc="B804FA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FA6655"/>
    <w:multiLevelType w:val="hybridMultilevel"/>
    <w:tmpl w:val="3D1E0726"/>
    <w:lvl w:ilvl="0" w:tplc="D11A50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3254B4"/>
    <w:multiLevelType w:val="hybridMultilevel"/>
    <w:tmpl w:val="9064F02C"/>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5D0624"/>
    <w:multiLevelType w:val="hybridMultilevel"/>
    <w:tmpl w:val="79D6AC0E"/>
    <w:lvl w:ilvl="0" w:tplc="42AE5B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4A903309"/>
    <w:multiLevelType w:val="hybridMultilevel"/>
    <w:tmpl w:val="394201AE"/>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4154DE"/>
    <w:multiLevelType w:val="hybridMultilevel"/>
    <w:tmpl w:val="4190B48C"/>
    <w:lvl w:ilvl="0" w:tplc="ACA85A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FBB7D16"/>
    <w:multiLevelType w:val="hybridMultilevel"/>
    <w:tmpl w:val="1DEC71F0"/>
    <w:lvl w:ilvl="0" w:tplc="357EA4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25E1719"/>
    <w:multiLevelType w:val="hybridMultilevel"/>
    <w:tmpl w:val="9E2EBB38"/>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2606562"/>
    <w:multiLevelType w:val="hybridMultilevel"/>
    <w:tmpl w:val="4D52A4C8"/>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1B5D1B"/>
    <w:multiLevelType w:val="hybridMultilevel"/>
    <w:tmpl w:val="5A224DA6"/>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094BAE"/>
    <w:multiLevelType w:val="hybridMultilevel"/>
    <w:tmpl w:val="313AEA76"/>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EC3AC4"/>
    <w:multiLevelType w:val="hybridMultilevel"/>
    <w:tmpl w:val="6906A868"/>
    <w:lvl w:ilvl="0" w:tplc="D520E5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800D28"/>
    <w:multiLevelType w:val="hybridMultilevel"/>
    <w:tmpl w:val="E0082D7A"/>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4D0FAA"/>
    <w:multiLevelType w:val="hybridMultilevel"/>
    <w:tmpl w:val="256E478A"/>
    <w:lvl w:ilvl="0" w:tplc="D07CAA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0C2F6A"/>
    <w:multiLevelType w:val="hybridMultilevel"/>
    <w:tmpl w:val="7F8EF316"/>
    <w:lvl w:ilvl="0" w:tplc="075CC4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5EDC6006"/>
    <w:multiLevelType w:val="hybridMultilevel"/>
    <w:tmpl w:val="3684BB5C"/>
    <w:lvl w:ilvl="0" w:tplc="656E86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EE53FD6"/>
    <w:multiLevelType w:val="hybridMultilevel"/>
    <w:tmpl w:val="6D50094E"/>
    <w:lvl w:ilvl="0" w:tplc="4148F052">
      <w:start w:val="1"/>
      <w:numFmt w:val="bullet"/>
      <w:lvlRestart w:val="0"/>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
    <w:nsid w:val="5F2F6213"/>
    <w:multiLevelType w:val="hybridMultilevel"/>
    <w:tmpl w:val="A2E49458"/>
    <w:lvl w:ilvl="0" w:tplc="6AE8E4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72">
    <w:nsid w:val="5F57587C"/>
    <w:multiLevelType w:val="hybridMultilevel"/>
    <w:tmpl w:val="97BEDB94"/>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815256"/>
    <w:multiLevelType w:val="hybridMultilevel"/>
    <w:tmpl w:val="D2742324"/>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2DB3D68"/>
    <w:multiLevelType w:val="hybridMultilevel"/>
    <w:tmpl w:val="CBC6FE0C"/>
    <w:lvl w:ilvl="0" w:tplc="21D42084">
      <w:start w:val="1"/>
      <w:numFmt w:val="bullet"/>
      <w:pStyle w:val="BulletText1"/>
      <w:lvlText w:val=""/>
      <w:lvlJc w:val="left"/>
      <w:pPr>
        <w:tabs>
          <w:tab w:val="num" w:pos="263"/>
        </w:tabs>
        <w:ind w:left="26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4722A61"/>
    <w:multiLevelType w:val="hybridMultilevel"/>
    <w:tmpl w:val="074A1D88"/>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5680EBC"/>
    <w:multiLevelType w:val="hybridMultilevel"/>
    <w:tmpl w:val="D76032AC"/>
    <w:lvl w:ilvl="0" w:tplc="BB24F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71A1E06"/>
    <w:multiLevelType w:val="hybridMultilevel"/>
    <w:tmpl w:val="006EC46C"/>
    <w:lvl w:ilvl="0" w:tplc="C0C285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A3C5507"/>
    <w:multiLevelType w:val="hybridMultilevel"/>
    <w:tmpl w:val="704A39E6"/>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DF15BA"/>
    <w:multiLevelType w:val="hybridMultilevel"/>
    <w:tmpl w:val="54D29222"/>
    <w:lvl w:ilvl="0" w:tplc="E078E8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E417918"/>
    <w:multiLevelType w:val="hybridMultilevel"/>
    <w:tmpl w:val="D3DC552A"/>
    <w:lvl w:ilvl="0" w:tplc="ADA63C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45118B"/>
    <w:multiLevelType w:val="hybridMultilevel"/>
    <w:tmpl w:val="8B64FAC6"/>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614F71"/>
    <w:multiLevelType w:val="hybridMultilevel"/>
    <w:tmpl w:val="E1F0568E"/>
    <w:lvl w:ilvl="0" w:tplc="C330AC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F206105"/>
    <w:multiLevelType w:val="hybridMultilevel"/>
    <w:tmpl w:val="959C28A4"/>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F6E13AD"/>
    <w:multiLevelType w:val="hybridMultilevel"/>
    <w:tmpl w:val="05421228"/>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FF8426D"/>
    <w:multiLevelType w:val="hybridMultilevel"/>
    <w:tmpl w:val="15AA89C4"/>
    <w:lvl w:ilvl="0" w:tplc="F412F1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2D3C51"/>
    <w:multiLevelType w:val="hybridMultilevel"/>
    <w:tmpl w:val="6420AA20"/>
    <w:lvl w:ilvl="0" w:tplc="52A4C0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087B4C"/>
    <w:multiLevelType w:val="hybridMultilevel"/>
    <w:tmpl w:val="E50A62C6"/>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545E2E"/>
    <w:multiLevelType w:val="hybridMultilevel"/>
    <w:tmpl w:val="97A4EAB8"/>
    <w:lvl w:ilvl="0" w:tplc="4148F0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99D58C9"/>
    <w:multiLevelType w:val="hybridMultilevel"/>
    <w:tmpl w:val="E1F86B3C"/>
    <w:lvl w:ilvl="0" w:tplc="FE209D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B96913"/>
    <w:multiLevelType w:val="hybridMultilevel"/>
    <w:tmpl w:val="A2320616"/>
    <w:lvl w:ilvl="0" w:tplc="6AE8E4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A674A2"/>
    <w:multiLevelType w:val="hybridMultilevel"/>
    <w:tmpl w:val="77C65730"/>
    <w:lvl w:ilvl="0" w:tplc="FE209D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DBA1561"/>
    <w:multiLevelType w:val="hybridMultilevel"/>
    <w:tmpl w:val="B978C31A"/>
    <w:lvl w:ilvl="0" w:tplc="BB24F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DFE5536"/>
    <w:multiLevelType w:val="hybridMultilevel"/>
    <w:tmpl w:val="70C6B4C6"/>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0"/>
  </w:num>
  <w:num w:numId="3">
    <w:abstractNumId w:val="86"/>
  </w:num>
  <w:num w:numId="4">
    <w:abstractNumId w:val="32"/>
  </w:num>
  <w:num w:numId="5">
    <w:abstractNumId w:val="39"/>
  </w:num>
  <w:num w:numId="6">
    <w:abstractNumId w:val="41"/>
  </w:num>
  <w:num w:numId="7">
    <w:abstractNumId w:val="90"/>
  </w:num>
  <w:num w:numId="8">
    <w:abstractNumId w:val="92"/>
  </w:num>
  <w:num w:numId="9">
    <w:abstractNumId w:val="27"/>
  </w:num>
  <w:num w:numId="10">
    <w:abstractNumId w:val="63"/>
  </w:num>
  <w:num w:numId="11">
    <w:abstractNumId w:val="16"/>
  </w:num>
  <w:num w:numId="12">
    <w:abstractNumId w:val="65"/>
  </w:num>
  <w:num w:numId="13">
    <w:abstractNumId w:val="78"/>
  </w:num>
  <w:num w:numId="14">
    <w:abstractNumId w:val="57"/>
  </w:num>
  <w:num w:numId="15">
    <w:abstractNumId w:val="4"/>
  </w:num>
  <w:num w:numId="16">
    <w:abstractNumId w:val="40"/>
  </w:num>
  <w:num w:numId="17">
    <w:abstractNumId w:val="83"/>
  </w:num>
  <w:num w:numId="18">
    <w:abstractNumId w:val="13"/>
  </w:num>
  <w:num w:numId="19">
    <w:abstractNumId w:val="75"/>
  </w:num>
  <w:num w:numId="20">
    <w:abstractNumId w:val="6"/>
  </w:num>
  <w:num w:numId="21">
    <w:abstractNumId w:val="21"/>
  </w:num>
  <w:num w:numId="22">
    <w:abstractNumId w:val="45"/>
  </w:num>
  <w:num w:numId="23">
    <w:abstractNumId w:val="33"/>
  </w:num>
  <w:num w:numId="24">
    <w:abstractNumId w:val="35"/>
  </w:num>
  <w:num w:numId="25">
    <w:abstractNumId w:val="82"/>
  </w:num>
  <w:num w:numId="26">
    <w:abstractNumId w:val="59"/>
  </w:num>
  <w:num w:numId="27">
    <w:abstractNumId w:val="77"/>
  </w:num>
  <w:num w:numId="28">
    <w:abstractNumId w:val="29"/>
  </w:num>
  <w:num w:numId="29">
    <w:abstractNumId w:val="22"/>
  </w:num>
  <w:num w:numId="30">
    <w:abstractNumId w:val="60"/>
  </w:num>
  <w:num w:numId="31">
    <w:abstractNumId w:val="12"/>
  </w:num>
  <w:num w:numId="32">
    <w:abstractNumId w:val="72"/>
  </w:num>
  <w:num w:numId="33">
    <w:abstractNumId w:val="2"/>
  </w:num>
  <w:num w:numId="34">
    <w:abstractNumId w:val="62"/>
  </w:num>
  <w:num w:numId="35">
    <w:abstractNumId w:val="91"/>
  </w:num>
  <w:num w:numId="36">
    <w:abstractNumId w:val="20"/>
  </w:num>
  <w:num w:numId="37">
    <w:abstractNumId w:val="70"/>
  </w:num>
  <w:num w:numId="38">
    <w:abstractNumId w:val="54"/>
  </w:num>
  <w:num w:numId="39">
    <w:abstractNumId w:val="31"/>
  </w:num>
  <w:num w:numId="40">
    <w:abstractNumId w:val="58"/>
  </w:num>
  <w:num w:numId="41">
    <w:abstractNumId w:val="67"/>
  </w:num>
  <w:num w:numId="42">
    <w:abstractNumId w:val="38"/>
  </w:num>
  <w:num w:numId="43">
    <w:abstractNumId w:val="56"/>
  </w:num>
  <w:num w:numId="44">
    <w:abstractNumId w:val="17"/>
  </w:num>
  <w:num w:numId="45">
    <w:abstractNumId w:val="28"/>
  </w:num>
  <w:num w:numId="46">
    <w:abstractNumId w:val="44"/>
  </w:num>
  <w:num w:numId="47">
    <w:abstractNumId w:val="8"/>
  </w:num>
  <w:num w:numId="48">
    <w:abstractNumId w:val="10"/>
  </w:num>
  <w:num w:numId="49">
    <w:abstractNumId w:val="88"/>
  </w:num>
  <w:num w:numId="50">
    <w:abstractNumId w:val="26"/>
  </w:num>
  <w:num w:numId="51">
    <w:abstractNumId w:val="48"/>
  </w:num>
  <w:num w:numId="52">
    <w:abstractNumId w:val="51"/>
  </w:num>
  <w:num w:numId="53">
    <w:abstractNumId w:val="87"/>
  </w:num>
  <w:num w:numId="54">
    <w:abstractNumId w:val="85"/>
  </w:num>
  <w:num w:numId="55">
    <w:abstractNumId w:val="50"/>
  </w:num>
  <w:num w:numId="56">
    <w:abstractNumId w:val="36"/>
  </w:num>
  <w:num w:numId="57">
    <w:abstractNumId w:val="49"/>
  </w:num>
  <w:num w:numId="58">
    <w:abstractNumId w:val="47"/>
  </w:num>
  <w:num w:numId="59">
    <w:abstractNumId w:val="79"/>
  </w:num>
  <w:num w:numId="60">
    <w:abstractNumId w:val="37"/>
  </w:num>
  <w:num w:numId="61">
    <w:abstractNumId w:val="43"/>
  </w:num>
  <w:num w:numId="62">
    <w:abstractNumId w:val="81"/>
  </w:num>
  <w:num w:numId="63">
    <w:abstractNumId w:val="55"/>
  </w:num>
  <w:num w:numId="64">
    <w:abstractNumId w:val="73"/>
  </w:num>
  <w:num w:numId="65">
    <w:abstractNumId w:val="18"/>
  </w:num>
  <w:num w:numId="66">
    <w:abstractNumId w:val="61"/>
  </w:num>
  <w:num w:numId="67">
    <w:abstractNumId w:val="84"/>
  </w:num>
  <w:num w:numId="68">
    <w:abstractNumId w:val="94"/>
  </w:num>
  <w:num w:numId="69">
    <w:abstractNumId w:val="15"/>
  </w:num>
  <w:num w:numId="70">
    <w:abstractNumId w:val="30"/>
  </w:num>
  <w:num w:numId="71">
    <w:abstractNumId w:val="7"/>
  </w:num>
  <w:num w:numId="72">
    <w:abstractNumId w:val="64"/>
  </w:num>
  <w:num w:numId="73">
    <w:abstractNumId w:val="14"/>
  </w:num>
  <w:num w:numId="74">
    <w:abstractNumId w:val="9"/>
  </w:num>
  <w:num w:numId="75">
    <w:abstractNumId w:val="80"/>
  </w:num>
  <w:num w:numId="76">
    <w:abstractNumId w:val="24"/>
  </w:num>
  <w:num w:numId="77">
    <w:abstractNumId w:val="52"/>
  </w:num>
  <w:num w:numId="78">
    <w:abstractNumId w:val="69"/>
  </w:num>
  <w:num w:numId="79">
    <w:abstractNumId w:val="89"/>
  </w:num>
  <w:num w:numId="80">
    <w:abstractNumId w:val="46"/>
  </w:num>
  <w:num w:numId="81">
    <w:abstractNumId w:val="66"/>
  </w:num>
  <w:num w:numId="82">
    <w:abstractNumId w:val="23"/>
  </w:num>
  <w:num w:numId="83">
    <w:abstractNumId w:val="68"/>
  </w:num>
  <w:num w:numId="84">
    <w:abstractNumId w:val="42"/>
  </w:num>
  <w:num w:numId="85">
    <w:abstractNumId w:val="3"/>
  </w:num>
  <w:num w:numId="86">
    <w:abstractNumId w:val="5"/>
  </w:num>
  <w:num w:numId="87">
    <w:abstractNumId w:val="34"/>
  </w:num>
  <w:num w:numId="88">
    <w:abstractNumId w:val="53"/>
  </w:num>
  <w:num w:numId="89">
    <w:abstractNumId w:val="19"/>
  </w:num>
  <w:num w:numId="90">
    <w:abstractNumId w:val="93"/>
  </w:num>
  <w:num w:numId="91">
    <w:abstractNumId w:val="1"/>
  </w:num>
  <w:num w:numId="92">
    <w:abstractNumId w:val="11"/>
  </w:num>
  <w:num w:numId="93">
    <w:abstractNumId w:val="25"/>
  </w:num>
  <w:num w:numId="94">
    <w:abstractNumId w:val="76"/>
  </w:num>
  <w:num w:numId="95">
    <w:abstractNumId w:val="7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1\StyleSheets\"/>
    <w:docVar w:name="XSLstylesheet" w:val="Basic.xsl"/>
  </w:docVars>
  <w:rsids>
    <w:rsidRoot w:val="001F15FE"/>
    <w:rsid w:val="00001025"/>
    <w:rsid w:val="0000188B"/>
    <w:rsid w:val="000058A0"/>
    <w:rsid w:val="00007FFB"/>
    <w:rsid w:val="00013253"/>
    <w:rsid w:val="00020054"/>
    <w:rsid w:val="000321C1"/>
    <w:rsid w:val="00036465"/>
    <w:rsid w:val="00037C95"/>
    <w:rsid w:val="000406AA"/>
    <w:rsid w:val="00042FEF"/>
    <w:rsid w:val="00043B5C"/>
    <w:rsid w:val="00046E42"/>
    <w:rsid w:val="000528FC"/>
    <w:rsid w:val="000542C4"/>
    <w:rsid w:val="00055C47"/>
    <w:rsid w:val="00056F30"/>
    <w:rsid w:val="0005763F"/>
    <w:rsid w:val="000606FF"/>
    <w:rsid w:val="00061AC3"/>
    <w:rsid w:val="00074926"/>
    <w:rsid w:val="0008407D"/>
    <w:rsid w:val="0009601A"/>
    <w:rsid w:val="00097206"/>
    <w:rsid w:val="000B2C28"/>
    <w:rsid w:val="000B48C4"/>
    <w:rsid w:val="000B6C75"/>
    <w:rsid w:val="000C38DD"/>
    <w:rsid w:val="000D3234"/>
    <w:rsid w:val="000D54FD"/>
    <w:rsid w:val="000D63B2"/>
    <w:rsid w:val="000E3563"/>
    <w:rsid w:val="000E53A8"/>
    <w:rsid w:val="000F3C11"/>
    <w:rsid w:val="000F6DAD"/>
    <w:rsid w:val="00100124"/>
    <w:rsid w:val="001020F1"/>
    <w:rsid w:val="0010297B"/>
    <w:rsid w:val="00103555"/>
    <w:rsid w:val="00112DAF"/>
    <w:rsid w:val="00123C08"/>
    <w:rsid w:val="00131037"/>
    <w:rsid w:val="00137CBD"/>
    <w:rsid w:val="00142051"/>
    <w:rsid w:val="001437EE"/>
    <w:rsid w:val="00143B36"/>
    <w:rsid w:val="001440BF"/>
    <w:rsid w:val="0014508B"/>
    <w:rsid w:val="001450F7"/>
    <w:rsid w:val="00145BCF"/>
    <w:rsid w:val="001469CC"/>
    <w:rsid w:val="001475FC"/>
    <w:rsid w:val="0015390C"/>
    <w:rsid w:val="00154D52"/>
    <w:rsid w:val="001567CB"/>
    <w:rsid w:val="001569F3"/>
    <w:rsid w:val="00156EEB"/>
    <w:rsid w:val="0016170E"/>
    <w:rsid w:val="001669FA"/>
    <w:rsid w:val="00166B71"/>
    <w:rsid w:val="00167233"/>
    <w:rsid w:val="00171107"/>
    <w:rsid w:val="001724C1"/>
    <w:rsid w:val="00172E66"/>
    <w:rsid w:val="00172EC3"/>
    <w:rsid w:val="001760D5"/>
    <w:rsid w:val="00181C7E"/>
    <w:rsid w:val="00182846"/>
    <w:rsid w:val="001830A0"/>
    <w:rsid w:val="00186F16"/>
    <w:rsid w:val="0019296D"/>
    <w:rsid w:val="0019787D"/>
    <w:rsid w:val="001A1C78"/>
    <w:rsid w:val="001A547A"/>
    <w:rsid w:val="001C412F"/>
    <w:rsid w:val="001D1C63"/>
    <w:rsid w:val="001D7325"/>
    <w:rsid w:val="001E1DF8"/>
    <w:rsid w:val="001E1E12"/>
    <w:rsid w:val="001E24CA"/>
    <w:rsid w:val="001E35E5"/>
    <w:rsid w:val="001E451D"/>
    <w:rsid w:val="001F10B0"/>
    <w:rsid w:val="001F15FE"/>
    <w:rsid w:val="001F265D"/>
    <w:rsid w:val="001F6C04"/>
    <w:rsid w:val="002068C5"/>
    <w:rsid w:val="00213185"/>
    <w:rsid w:val="00214149"/>
    <w:rsid w:val="00214C79"/>
    <w:rsid w:val="0021706F"/>
    <w:rsid w:val="0022083B"/>
    <w:rsid w:val="00223349"/>
    <w:rsid w:val="00223EA9"/>
    <w:rsid w:val="00232C70"/>
    <w:rsid w:val="0023660A"/>
    <w:rsid w:val="00236FD2"/>
    <w:rsid w:val="002376A7"/>
    <w:rsid w:val="002402E3"/>
    <w:rsid w:val="00240705"/>
    <w:rsid w:val="0024659E"/>
    <w:rsid w:val="00246FB4"/>
    <w:rsid w:val="0025320A"/>
    <w:rsid w:val="0025610B"/>
    <w:rsid w:val="00256831"/>
    <w:rsid w:val="00256BD7"/>
    <w:rsid w:val="00256F89"/>
    <w:rsid w:val="0025761C"/>
    <w:rsid w:val="0026451A"/>
    <w:rsid w:val="002651C9"/>
    <w:rsid w:val="0026575A"/>
    <w:rsid w:val="00265E73"/>
    <w:rsid w:val="00267152"/>
    <w:rsid w:val="00274008"/>
    <w:rsid w:val="0028105B"/>
    <w:rsid w:val="002812FB"/>
    <w:rsid w:val="00281AF2"/>
    <w:rsid w:val="00291F21"/>
    <w:rsid w:val="002948D1"/>
    <w:rsid w:val="00297BFC"/>
    <w:rsid w:val="002A02D2"/>
    <w:rsid w:val="002A3944"/>
    <w:rsid w:val="002A6483"/>
    <w:rsid w:val="002A74D3"/>
    <w:rsid w:val="002B26C8"/>
    <w:rsid w:val="002B2C2C"/>
    <w:rsid w:val="002B4A85"/>
    <w:rsid w:val="002B6C39"/>
    <w:rsid w:val="002D3F9A"/>
    <w:rsid w:val="002D50B5"/>
    <w:rsid w:val="002D585C"/>
    <w:rsid w:val="002D7EA0"/>
    <w:rsid w:val="002E2F15"/>
    <w:rsid w:val="002F32DB"/>
    <w:rsid w:val="002F49B7"/>
    <w:rsid w:val="00301575"/>
    <w:rsid w:val="0030236F"/>
    <w:rsid w:val="00303357"/>
    <w:rsid w:val="00303F73"/>
    <w:rsid w:val="00305B00"/>
    <w:rsid w:val="00317E8E"/>
    <w:rsid w:val="003205C7"/>
    <w:rsid w:val="00322EE7"/>
    <w:rsid w:val="00327302"/>
    <w:rsid w:val="0033266C"/>
    <w:rsid w:val="00334985"/>
    <w:rsid w:val="00335E98"/>
    <w:rsid w:val="00347038"/>
    <w:rsid w:val="00354238"/>
    <w:rsid w:val="00354799"/>
    <w:rsid w:val="00356A9B"/>
    <w:rsid w:val="00360115"/>
    <w:rsid w:val="00365198"/>
    <w:rsid w:val="00365B14"/>
    <w:rsid w:val="00371EF4"/>
    <w:rsid w:val="00372FC7"/>
    <w:rsid w:val="00375465"/>
    <w:rsid w:val="0037579D"/>
    <w:rsid w:val="00380D3C"/>
    <w:rsid w:val="003856F2"/>
    <w:rsid w:val="003903B0"/>
    <w:rsid w:val="00392882"/>
    <w:rsid w:val="00393264"/>
    <w:rsid w:val="00395B85"/>
    <w:rsid w:val="003A1BD2"/>
    <w:rsid w:val="003A2066"/>
    <w:rsid w:val="003A40B7"/>
    <w:rsid w:val="003B05C6"/>
    <w:rsid w:val="003B0607"/>
    <w:rsid w:val="003B0F7A"/>
    <w:rsid w:val="003B54DF"/>
    <w:rsid w:val="003B6D0C"/>
    <w:rsid w:val="003B7768"/>
    <w:rsid w:val="003C50D0"/>
    <w:rsid w:val="003D0D10"/>
    <w:rsid w:val="003D2B3D"/>
    <w:rsid w:val="003D48A6"/>
    <w:rsid w:val="003D6EF9"/>
    <w:rsid w:val="003E0473"/>
    <w:rsid w:val="003E53CF"/>
    <w:rsid w:val="003E759F"/>
    <w:rsid w:val="003F025B"/>
    <w:rsid w:val="003F1845"/>
    <w:rsid w:val="003F422B"/>
    <w:rsid w:val="003F5347"/>
    <w:rsid w:val="003F6BCA"/>
    <w:rsid w:val="003F7234"/>
    <w:rsid w:val="004004C7"/>
    <w:rsid w:val="00401D98"/>
    <w:rsid w:val="00403890"/>
    <w:rsid w:val="004063D3"/>
    <w:rsid w:val="00415621"/>
    <w:rsid w:val="00421102"/>
    <w:rsid w:val="00434ECD"/>
    <w:rsid w:val="00437A09"/>
    <w:rsid w:val="00447148"/>
    <w:rsid w:val="00447CD8"/>
    <w:rsid w:val="00450CD0"/>
    <w:rsid w:val="00453BD5"/>
    <w:rsid w:val="004553BC"/>
    <w:rsid w:val="004561A1"/>
    <w:rsid w:val="00457915"/>
    <w:rsid w:val="00460274"/>
    <w:rsid w:val="00460E88"/>
    <w:rsid w:val="004652DC"/>
    <w:rsid w:val="00473999"/>
    <w:rsid w:val="00481CFC"/>
    <w:rsid w:val="0048325D"/>
    <w:rsid w:val="00484904"/>
    <w:rsid w:val="004850BC"/>
    <w:rsid w:val="00490669"/>
    <w:rsid w:val="004909A7"/>
    <w:rsid w:val="0049372C"/>
    <w:rsid w:val="0049401B"/>
    <w:rsid w:val="0049529E"/>
    <w:rsid w:val="004962BA"/>
    <w:rsid w:val="00496DC8"/>
    <w:rsid w:val="004979A7"/>
    <w:rsid w:val="004A2AC6"/>
    <w:rsid w:val="004A40B6"/>
    <w:rsid w:val="004A4DD4"/>
    <w:rsid w:val="004B01E9"/>
    <w:rsid w:val="004B13D9"/>
    <w:rsid w:val="004C0713"/>
    <w:rsid w:val="004C6FA8"/>
    <w:rsid w:val="004C76BD"/>
    <w:rsid w:val="004C7BDA"/>
    <w:rsid w:val="004D7CC3"/>
    <w:rsid w:val="004E1DCC"/>
    <w:rsid w:val="004E23A7"/>
    <w:rsid w:val="004E2550"/>
    <w:rsid w:val="004E5168"/>
    <w:rsid w:val="004F0BE7"/>
    <w:rsid w:val="004F22D7"/>
    <w:rsid w:val="004F22FE"/>
    <w:rsid w:val="004F3BA8"/>
    <w:rsid w:val="00500CCE"/>
    <w:rsid w:val="005024DD"/>
    <w:rsid w:val="00505042"/>
    <w:rsid w:val="00505620"/>
    <w:rsid w:val="0050674E"/>
    <w:rsid w:val="00510593"/>
    <w:rsid w:val="00511181"/>
    <w:rsid w:val="0051242D"/>
    <w:rsid w:val="005175CD"/>
    <w:rsid w:val="00521905"/>
    <w:rsid w:val="00526ECE"/>
    <w:rsid w:val="00530C06"/>
    <w:rsid w:val="0053236C"/>
    <w:rsid w:val="005329A9"/>
    <w:rsid w:val="00533CE0"/>
    <w:rsid w:val="00536CBF"/>
    <w:rsid w:val="00543AAA"/>
    <w:rsid w:val="00551BD3"/>
    <w:rsid w:val="0055244A"/>
    <w:rsid w:val="00554FBE"/>
    <w:rsid w:val="005564EA"/>
    <w:rsid w:val="005569D1"/>
    <w:rsid w:val="00556BE0"/>
    <w:rsid w:val="00564206"/>
    <w:rsid w:val="00564F91"/>
    <w:rsid w:val="00567FEB"/>
    <w:rsid w:val="00572D9F"/>
    <w:rsid w:val="00573721"/>
    <w:rsid w:val="00574227"/>
    <w:rsid w:val="005743CF"/>
    <w:rsid w:val="00575FD4"/>
    <w:rsid w:val="005814A3"/>
    <w:rsid w:val="00581888"/>
    <w:rsid w:val="00582732"/>
    <w:rsid w:val="00583005"/>
    <w:rsid w:val="00584278"/>
    <w:rsid w:val="005842CC"/>
    <w:rsid w:val="00592EBB"/>
    <w:rsid w:val="005A4516"/>
    <w:rsid w:val="005A5160"/>
    <w:rsid w:val="005A5EB7"/>
    <w:rsid w:val="005B2DB4"/>
    <w:rsid w:val="005B4B33"/>
    <w:rsid w:val="005B6856"/>
    <w:rsid w:val="005B726A"/>
    <w:rsid w:val="005C0429"/>
    <w:rsid w:val="005C0A47"/>
    <w:rsid w:val="005D2077"/>
    <w:rsid w:val="005D255A"/>
    <w:rsid w:val="005D5023"/>
    <w:rsid w:val="005D5984"/>
    <w:rsid w:val="005D5A37"/>
    <w:rsid w:val="005D5D0E"/>
    <w:rsid w:val="005D7C2B"/>
    <w:rsid w:val="005E2F35"/>
    <w:rsid w:val="005E72C5"/>
    <w:rsid w:val="005F369C"/>
    <w:rsid w:val="005F6D2B"/>
    <w:rsid w:val="0060156C"/>
    <w:rsid w:val="00606513"/>
    <w:rsid w:val="00607797"/>
    <w:rsid w:val="00614CF6"/>
    <w:rsid w:val="00614EB6"/>
    <w:rsid w:val="0062075B"/>
    <w:rsid w:val="00630F42"/>
    <w:rsid w:val="006402CA"/>
    <w:rsid w:val="006449C8"/>
    <w:rsid w:val="00645FF2"/>
    <w:rsid w:val="006558C4"/>
    <w:rsid w:val="00661E79"/>
    <w:rsid w:val="00664861"/>
    <w:rsid w:val="00665254"/>
    <w:rsid w:val="006656B4"/>
    <w:rsid w:val="00671310"/>
    <w:rsid w:val="00676BB1"/>
    <w:rsid w:val="00681DA4"/>
    <w:rsid w:val="006901D2"/>
    <w:rsid w:val="00693ABA"/>
    <w:rsid w:val="00697084"/>
    <w:rsid w:val="006A52FE"/>
    <w:rsid w:val="006A6ED8"/>
    <w:rsid w:val="006A70F1"/>
    <w:rsid w:val="006A73F7"/>
    <w:rsid w:val="006A7A2B"/>
    <w:rsid w:val="006B0111"/>
    <w:rsid w:val="006B0A0D"/>
    <w:rsid w:val="006B13F6"/>
    <w:rsid w:val="006B32AD"/>
    <w:rsid w:val="006C55EC"/>
    <w:rsid w:val="006C6996"/>
    <w:rsid w:val="006D4D28"/>
    <w:rsid w:val="006D644D"/>
    <w:rsid w:val="006E41CC"/>
    <w:rsid w:val="006E6269"/>
    <w:rsid w:val="006F3C88"/>
    <w:rsid w:val="006F4081"/>
    <w:rsid w:val="006F784E"/>
    <w:rsid w:val="00700467"/>
    <w:rsid w:val="0070206C"/>
    <w:rsid w:val="00702873"/>
    <w:rsid w:val="00702974"/>
    <w:rsid w:val="00703B89"/>
    <w:rsid w:val="0071160E"/>
    <w:rsid w:val="007131F0"/>
    <w:rsid w:val="007145FA"/>
    <w:rsid w:val="007204E8"/>
    <w:rsid w:val="00720A0A"/>
    <w:rsid w:val="007222E6"/>
    <w:rsid w:val="00722549"/>
    <w:rsid w:val="0073111D"/>
    <w:rsid w:val="00731477"/>
    <w:rsid w:val="0073341F"/>
    <w:rsid w:val="00733F7E"/>
    <w:rsid w:val="007430C9"/>
    <w:rsid w:val="00756ECF"/>
    <w:rsid w:val="00761674"/>
    <w:rsid w:val="007622DE"/>
    <w:rsid w:val="007633DD"/>
    <w:rsid w:val="0076446D"/>
    <w:rsid w:val="00764DA6"/>
    <w:rsid w:val="00766869"/>
    <w:rsid w:val="007679DF"/>
    <w:rsid w:val="00770BCB"/>
    <w:rsid w:val="0077131A"/>
    <w:rsid w:val="00776F31"/>
    <w:rsid w:val="00783CD4"/>
    <w:rsid w:val="0078470F"/>
    <w:rsid w:val="007856E1"/>
    <w:rsid w:val="00785980"/>
    <w:rsid w:val="00787E29"/>
    <w:rsid w:val="007922D5"/>
    <w:rsid w:val="00793045"/>
    <w:rsid w:val="007949A9"/>
    <w:rsid w:val="00797FC6"/>
    <w:rsid w:val="007A052D"/>
    <w:rsid w:val="007A089D"/>
    <w:rsid w:val="007A0E4E"/>
    <w:rsid w:val="007A377C"/>
    <w:rsid w:val="007A6034"/>
    <w:rsid w:val="007A726E"/>
    <w:rsid w:val="007B0D6E"/>
    <w:rsid w:val="007B4749"/>
    <w:rsid w:val="007C154A"/>
    <w:rsid w:val="007C6767"/>
    <w:rsid w:val="007D12A9"/>
    <w:rsid w:val="007D3543"/>
    <w:rsid w:val="007E01BB"/>
    <w:rsid w:val="007E7A70"/>
    <w:rsid w:val="007F3B8F"/>
    <w:rsid w:val="007F432A"/>
    <w:rsid w:val="007F6547"/>
    <w:rsid w:val="007F6C3E"/>
    <w:rsid w:val="008001E5"/>
    <w:rsid w:val="00800DE7"/>
    <w:rsid w:val="00802CDF"/>
    <w:rsid w:val="0080505E"/>
    <w:rsid w:val="00806216"/>
    <w:rsid w:val="0083753F"/>
    <w:rsid w:val="008423B6"/>
    <w:rsid w:val="0084497C"/>
    <w:rsid w:val="00845218"/>
    <w:rsid w:val="00846086"/>
    <w:rsid w:val="008510EA"/>
    <w:rsid w:val="00857FA2"/>
    <w:rsid w:val="008616B6"/>
    <w:rsid w:val="00864434"/>
    <w:rsid w:val="00865109"/>
    <w:rsid w:val="00866C0D"/>
    <w:rsid w:val="00874172"/>
    <w:rsid w:val="00876256"/>
    <w:rsid w:val="008803C5"/>
    <w:rsid w:val="00881EBE"/>
    <w:rsid w:val="008869B1"/>
    <w:rsid w:val="00886C30"/>
    <w:rsid w:val="00893597"/>
    <w:rsid w:val="00893716"/>
    <w:rsid w:val="00893B8B"/>
    <w:rsid w:val="00897B14"/>
    <w:rsid w:val="008B03AC"/>
    <w:rsid w:val="008B0DB5"/>
    <w:rsid w:val="008B2977"/>
    <w:rsid w:val="008B5A45"/>
    <w:rsid w:val="008B6C3F"/>
    <w:rsid w:val="008C03E8"/>
    <w:rsid w:val="008C438A"/>
    <w:rsid w:val="008C46BA"/>
    <w:rsid w:val="008C4E28"/>
    <w:rsid w:val="008C6C33"/>
    <w:rsid w:val="008C7F51"/>
    <w:rsid w:val="008D1D69"/>
    <w:rsid w:val="008D346C"/>
    <w:rsid w:val="008D456D"/>
    <w:rsid w:val="008D54DF"/>
    <w:rsid w:val="008D69A9"/>
    <w:rsid w:val="008E2830"/>
    <w:rsid w:val="008E3E68"/>
    <w:rsid w:val="008F301D"/>
    <w:rsid w:val="008F5CCA"/>
    <w:rsid w:val="00900E77"/>
    <w:rsid w:val="00905B9C"/>
    <w:rsid w:val="00910443"/>
    <w:rsid w:val="00911CC4"/>
    <w:rsid w:val="0091322A"/>
    <w:rsid w:val="00913A17"/>
    <w:rsid w:val="00913C5F"/>
    <w:rsid w:val="009209DD"/>
    <w:rsid w:val="00920DFF"/>
    <w:rsid w:val="00922F74"/>
    <w:rsid w:val="00924D5F"/>
    <w:rsid w:val="00924F91"/>
    <w:rsid w:val="0092659C"/>
    <w:rsid w:val="009367BF"/>
    <w:rsid w:val="00936AE0"/>
    <w:rsid w:val="00940D9A"/>
    <w:rsid w:val="00944E30"/>
    <w:rsid w:val="00945F0A"/>
    <w:rsid w:val="0095015C"/>
    <w:rsid w:val="009634EE"/>
    <w:rsid w:val="00964771"/>
    <w:rsid w:val="00966F53"/>
    <w:rsid w:val="009749DB"/>
    <w:rsid w:val="00975DBC"/>
    <w:rsid w:val="00982D0D"/>
    <w:rsid w:val="0098462E"/>
    <w:rsid w:val="00984ADA"/>
    <w:rsid w:val="00992FF5"/>
    <w:rsid w:val="00994894"/>
    <w:rsid w:val="009A470A"/>
    <w:rsid w:val="009A5A0F"/>
    <w:rsid w:val="009A6539"/>
    <w:rsid w:val="009A730F"/>
    <w:rsid w:val="009B266B"/>
    <w:rsid w:val="009B329B"/>
    <w:rsid w:val="009B461E"/>
    <w:rsid w:val="009B71C1"/>
    <w:rsid w:val="009B7D36"/>
    <w:rsid w:val="009C5E79"/>
    <w:rsid w:val="009C71C6"/>
    <w:rsid w:val="009C73EC"/>
    <w:rsid w:val="009D0F5A"/>
    <w:rsid w:val="009D5A50"/>
    <w:rsid w:val="009D6318"/>
    <w:rsid w:val="009E04E9"/>
    <w:rsid w:val="009E7237"/>
    <w:rsid w:val="009F518E"/>
    <w:rsid w:val="009F6D1A"/>
    <w:rsid w:val="00A00856"/>
    <w:rsid w:val="00A11DE3"/>
    <w:rsid w:val="00A131E1"/>
    <w:rsid w:val="00A202D3"/>
    <w:rsid w:val="00A21A24"/>
    <w:rsid w:val="00A22682"/>
    <w:rsid w:val="00A22B73"/>
    <w:rsid w:val="00A22DBE"/>
    <w:rsid w:val="00A2352C"/>
    <w:rsid w:val="00A279E0"/>
    <w:rsid w:val="00A30738"/>
    <w:rsid w:val="00A3403F"/>
    <w:rsid w:val="00A34C5F"/>
    <w:rsid w:val="00A450D7"/>
    <w:rsid w:val="00A54AF4"/>
    <w:rsid w:val="00A571C1"/>
    <w:rsid w:val="00A57B1E"/>
    <w:rsid w:val="00A6030F"/>
    <w:rsid w:val="00A65A69"/>
    <w:rsid w:val="00A66356"/>
    <w:rsid w:val="00A67F3E"/>
    <w:rsid w:val="00A70290"/>
    <w:rsid w:val="00A75670"/>
    <w:rsid w:val="00A82080"/>
    <w:rsid w:val="00A8265E"/>
    <w:rsid w:val="00A84F17"/>
    <w:rsid w:val="00A854CF"/>
    <w:rsid w:val="00A90C07"/>
    <w:rsid w:val="00A91779"/>
    <w:rsid w:val="00A92408"/>
    <w:rsid w:val="00A94A15"/>
    <w:rsid w:val="00AA0FAE"/>
    <w:rsid w:val="00AA5D61"/>
    <w:rsid w:val="00AA605E"/>
    <w:rsid w:val="00AA6E73"/>
    <w:rsid w:val="00AA79A9"/>
    <w:rsid w:val="00AB1521"/>
    <w:rsid w:val="00AB62AD"/>
    <w:rsid w:val="00AB686A"/>
    <w:rsid w:val="00AC0637"/>
    <w:rsid w:val="00AC3B98"/>
    <w:rsid w:val="00AC79DD"/>
    <w:rsid w:val="00AD47B8"/>
    <w:rsid w:val="00AD4A3B"/>
    <w:rsid w:val="00AD66C8"/>
    <w:rsid w:val="00AE258A"/>
    <w:rsid w:val="00AE2AD0"/>
    <w:rsid w:val="00AE5F6A"/>
    <w:rsid w:val="00AE6A1D"/>
    <w:rsid w:val="00AE755E"/>
    <w:rsid w:val="00AF00CF"/>
    <w:rsid w:val="00AF07E5"/>
    <w:rsid w:val="00AF196E"/>
    <w:rsid w:val="00AF2AFD"/>
    <w:rsid w:val="00AF576A"/>
    <w:rsid w:val="00AF6797"/>
    <w:rsid w:val="00B02775"/>
    <w:rsid w:val="00B02D7A"/>
    <w:rsid w:val="00B04574"/>
    <w:rsid w:val="00B05F3C"/>
    <w:rsid w:val="00B06D9A"/>
    <w:rsid w:val="00B07E6A"/>
    <w:rsid w:val="00B11544"/>
    <w:rsid w:val="00B143C9"/>
    <w:rsid w:val="00B148A7"/>
    <w:rsid w:val="00B16CE8"/>
    <w:rsid w:val="00B2319B"/>
    <w:rsid w:val="00B262DB"/>
    <w:rsid w:val="00B266CE"/>
    <w:rsid w:val="00B26D7A"/>
    <w:rsid w:val="00B41F91"/>
    <w:rsid w:val="00B46E0B"/>
    <w:rsid w:val="00B52CC4"/>
    <w:rsid w:val="00B533DA"/>
    <w:rsid w:val="00B547F8"/>
    <w:rsid w:val="00B55E16"/>
    <w:rsid w:val="00B61339"/>
    <w:rsid w:val="00B6180C"/>
    <w:rsid w:val="00B65534"/>
    <w:rsid w:val="00B66B0B"/>
    <w:rsid w:val="00B6792F"/>
    <w:rsid w:val="00B7214F"/>
    <w:rsid w:val="00B7258B"/>
    <w:rsid w:val="00B72EA6"/>
    <w:rsid w:val="00B739AD"/>
    <w:rsid w:val="00B73F5E"/>
    <w:rsid w:val="00B8499C"/>
    <w:rsid w:val="00B850B2"/>
    <w:rsid w:val="00B906C8"/>
    <w:rsid w:val="00B97583"/>
    <w:rsid w:val="00B97FC4"/>
    <w:rsid w:val="00BA0326"/>
    <w:rsid w:val="00BA274D"/>
    <w:rsid w:val="00BB1996"/>
    <w:rsid w:val="00BB2635"/>
    <w:rsid w:val="00BB7F44"/>
    <w:rsid w:val="00BD6515"/>
    <w:rsid w:val="00BE1B64"/>
    <w:rsid w:val="00BE2771"/>
    <w:rsid w:val="00BE2AB1"/>
    <w:rsid w:val="00BE2E09"/>
    <w:rsid w:val="00BE51B6"/>
    <w:rsid w:val="00BE5558"/>
    <w:rsid w:val="00BE61B0"/>
    <w:rsid w:val="00BE6F6B"/>
    <w:rsid w:val="00BE7056"/>
    <w:rsid w:val="00BE77F3"/>
    <w:rsid w:val="00BF698D"/>
    <w:rsid w:val="00C04288"/>
    <w:rsid w:val="00C06D74"/>
    <w:rsid w:val="00C077ED"/>
    <w:rsid w:val="00C10709"/>
    <w:rsid w:val="00C115C0"/>
    <w:rsid w:val="00C128B0"/>
    <w:rsid w:val="00C149F1"/>
    <w:rsid w:val="00C16186"/>
    <w:rsid w:val="00C17A86"/>
    <w:rsid w:val="00C17CD8"/>
    <w:rsid w:val="00C22FF3"/>
    <w:rsid w:val="00C23C37"/>
    <w:rsid w:val="00C25389"/>
    <w:rsid w:val="00C30606"/>
    <w:rsid w:val="00C3283D"/>
    <w:rsid w:val="00C34D20"/>
    <w:rsid w:val="00C379F1"/>
    <w:rsid w:val="00C503BF"/>
    <w:rsid w:val="00C5137B"/>
    <w:rsid w:val="00C531C4"/>
    <w:rsid w:val="00C57843"/>
    <w:rsid w:val="00C60013"/>
    <w:rsid w:val="00C65268"/>
    <w:rsid w:val="00C727F7"/>
    <w:rsid w:val="00C75FD8"/>
    <w:rsid w:val="00C829A7"/>
    <w:rsid w:val="00C82B32"/>
    <w:rsid w:val="00C82F06"/>
    <w:rsid w:val="00C832CF"/>
    <w:rsid w:val="00C85763"/>
    <w:rsid w:val="00C860D7"/>
    <w:rsid w:val="00C90956"/>
    <w:rsid w:val="00C9234A"/>
    <w:rsid w:val="00C93AC4"/>
    <w:rsid w:val="00C9505A"/>
    <w:rsid w:val="00C96220"/>
    <w:rsid w:val="00C97C8B"/>
    <w:rsid w:val="00CA2117"/>
    <w:rsid w:val="00CA4147"/>
    <w:rsid w:val="00CA6ED7"/>
    <w:rsid w:val="00CA70EE"/>
    <w:rsid w:val="00CB0059"/>
    <w:rsid w:val="00CB1D0D"/>
    <w:rsid w:val="00CB2F7C"/>
    <w:rsid w:val="00CB488E"/>
    <w:rsid w:val="00CB7EF4"/>
    <w:rsid w:val="00CC40DA"/>
    <w:rsid w:val="00CC77BD"/>
    <w:rsid w:val="00CC7992"/>
    <w:rsid w:val="00CD2CBA"/>
    <w:rsid w:val="00CE32FE"/>
    <w:rsid w:val="00CE3675"/>
    <w:rsid w:val="00CE5339"/>
    <w:rsid w:val="00CF3D03"/>
    <w:rsid w:val="00D01EAF"/>
    <w:rsid w:val="00D06B53"/>
    <w:rsid w:val="00D07597"/>
    <w:rsid w:val="00D16E4F"/>
    <w:rsid w:val="00D208E4"/>
    <w:rsid w:val="00D2646A"/>
    <w:rsid w:val="00D26E08"/>
    <w:rsid w:val="00D27869"/>
    <w:rsid w:val="00D30A35"/>
    <w:rsid w:val="00D31A3C"/>
    <w:rsid w:val="00D3243B"/>
    <w:rsid w:val="00D375FF"/>
    <w:rsid w:val="00D47519"/>
    <w:rsid w:val="00D5000C"/>
    <w:rsid w:val="00D52016"/>
    <w:rsid w:val="00D621F4"/>
    <w:rsid w:val="00D627C0"/>
    <w:rsid w:val="00D6320F"/>
    <w:rsid w:val="00D6413D"/>
    <w:rsid w:val="00D70D50"/>
    <w:rsid w:val="00D81B6B"/>
    <w:rsid w:val="00D82E86"/>
    <w:rsid w:val="00D841A0"/>
    <w:rsid w:val="00D94D10"/>
    <w:rsid w:val="00DA51C1"/>
    <w:rsid w:val="00DB2BB1"/>
    <w:rsid w:val="00DB45FA"/>
    <w:rsid w:val="00DB6045"/>
    <w:rsid w:val="00DB7081"/>
    <w:rsid w:val="00DC026C"/>
    <w:rsid w:val="00DC3FD0"/>
    <w:rsid w:val="00DC6618"/>
    <w:rsid w:val="00DC7C09"/>
    <w:rsid w:val="00DD0723"/>
    <w:rsid w:val="00DD51DD"/>
    <w:rsid w:val="00DE024A"/>
    <w:rsid w:val="00DE19B5"/>
    <w:rsid w:val="00DF35D6"/>
    <w:rsid w:val="00DF3C8E"/>
    <w:rsid w:val="00DF4CE8"/>
    <w:rsid w:val="00DF6E06"/>
    <w:rsid w:val="00DF78BD"/>
    <w:rsid w:val="00DF7CE0"/>
    <w:rsid w:val="00E00A77"/>
    <w:rsid w:val="00E01944"/>
    <w:rsid w:val="00E065A7"/>
    <w:rsid w:val="00E12AB7"/>
    <w:rsid w:val="00E26BAF"/>
    <w:rsid w:val="00E27E38"/>
    <w:rsid w:val="00E32E8D"/>
    <w:rsid w:val="00E362F1"/>
    <w:rsid w:val="00E524AC"/>
    <w:rsid w:val="00E54C00"/>
    <w:rsid w:val="00E56638"/>
    <w:rsid w:val="00E57DDC"/>
    <w:rsid w:val="00E72187"/>
    <w:rsid w:val="00E75386"/>
    <w:rsid w:val="00E760D8"/>
    <w:rsid w:val="00E76D52"/>
    <w:rsid w:val="00E811B1"/>
    <w:rsid w:val="00E83107"/>
    <w:rsid w:val="00E86034"/>
    <w:rsid w:val="00E912E2"/>
    <w:rsid w:val="00E92063"/>
    <w:rsid w:val="00E927C9"/>
    <w:rsid w:val="00E931BD"/>
    <w:rsid w:val="00E96296"/>
    <w:rsid w:val="00E967EE"/>
    <w:rsid w:val="00E96A90"/>
    <w:rsid w:val="00EA0C3D"/>
    <w:rsid w:val="00EA0CA2"/>
    <w:rsid w:val="00EA29EE"/>
    <w:rsid w:val="00EA2D17"/>
    <w:rsid w:val="00EB02F7"/>
    <w:rsid w:val="00EB11AC"/>
    <w:rsid w:val="00EB2FD8"/>
    <w:rsid w:val="00EB3345"/>
    <w:rsid w:val="00EB7AF8"/>
    <w:rsid w:val="00EC1AF7"/>
    <w:rsid w:val="00EC208F"/>
    <w:rsid w:val="00EC53F7"/>
    <w:rsid w:val="00EC5D33"/>
    <w:rsid w:val="00EC60B1"/>
    <w:rsid w:val="00ED52D1"/>
    <w:rsid w:val="00ED5CB3"/>
    <w:rsid w:val="00EE4E6A"/>
    <w:rsid w:val="00EE5B4E"/>
    <w:rsid w:val="00EE6709"/>
    <w:rsid w:val="00EF0377"/>
    <w:rsid w:val="00EF437F"/>
    <w:rsid w:val="00EF6998"/>
    <w:rsid w:val="00F065A7"/>
    <w:rsid w:val="00F06F29"/>
    <w:rsid w:val="00F1285D"/>
    <w:rsid w:val="00F12B6E"/>
    <w:rsid w:val="00F16DB6"/>
    <w:rsid w:val="00F23020"/>
    <w:rsid w:val="00F47944"/>
    <w:rsid w:val="00F47C34"/>
    <w:rsid w:val="00F544AD"/>
    <w:rsid w:val="00F605E4"/>
    <w:rsid w:val="00F63AC7"/>
    <w:rsid w:val="00F71E10"/>
    <w:rsid w:val="00F745A0"/>
    <w:rsid w:val="00F752DD"/>
    <w:rsid w:val="00F75785"/>
    <w:rsid w:val="00F8008E"/>
    <w:rsid w:val="00F85517"/>
    <w:rsid w:val="00F85E9A"/>
    <w:rsid w:val="00F86351"/>
    <w:rsid w:val="00F87D5E"/>
    <w:rsid w:val="00F87F34"/>
    <w:rsid w:val="00F934FD"/>
    <w:rsid w:val="00F95924"/>
    <w:rsid w:val="00FA3BC2"/>
    <w:rsid w:val="00FA7BFC"/>
    <w:rsid w:val="00FB39BC"/>
    <w:rsid w:val="00FB6EF9"/>
    <w:rsid w:val="00FC0BEE"/>
    <w:rsid w:val="00FC0D67"/>
    <w:rsid w:val="00FC132D"/>
    <w:rsid w:val="00FC1560"/>
    <w:rsid w:val="00FC16C7"/>
    <w:rsid w:val="00FC2CF0"/>
    <w:rsid w:val="00FC38BF"/>
    <w:rsid w:val="00FC4A3B"/>
    <w:rsid w:val="00FE020F"/>
    <w:rsid w:val="00FE4321"/>
    <w:rsid w:val="00FE592D"/>
    <w:rsid w:val="00FE614F"/>
    <w:rsid w:val="00F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CEB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0B6"/>
    <w:rPr>
      <w:color w:val="000000"/>
      <w:sz w:val="24"/>
      <w:szCs w:val="24"/>
    </w:rPr>
  </w:style>
  <w:style w:type="paragraph" w:styleId="Heading1">
    <w:name w:val="heading 1"/>
    <w:aliases w:val="Part Title"/>
    <w:basedOn w:val="Normal"/>
    <w:next w:val="Heading4"/>
    <w:qFormat/>
    <w:rsid w:val="0041562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41562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41562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41562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415621"/>
    <w:pPr>
      <w:outlineLvl w:val="4"/>
    </w:pPr>
    <w:rPr>
      <w:b/>
      <w:sz w:val="22"/>
      <w:szCs w:val="20"/>
    </w:rPr>
  </w:style>
  <w:style w:type="paragraph" w:styleId="Heading6">
    <w:name w:val="heading 6"/>
    <w:aliases w:val="Sub Label"/>
    <w:basedOn w:val="Heading5"/>
    <w:next w:val="BlockText"/>
    <w:qFormat/>
    <w:rsid w:val="0041562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562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15621"/>
    <w:pPr>
      <w:pBdr>
        <w:top w:val="single" w:sz="6" w:space="1" w:color="000000"/>
        <w:between w:val="single" w:sz="6" w:space="1" w:color="auto"/>
      </w:pBdr>
      <w:spacing w:before="240"/>
      <w:ind w:left="1728"/>
    </w:pPr>
    <w:rPr>
      <w:szCs w:val="20"/>
    </w:rPr>
  </w:style>
  <w:style w:type="paragraph" w:styleId="BlockText">
    <w:name w:val="Block Text"/>
    <w:basedOn w:val="Normal"/>
    <w:rsid w:val="00415621"/>
  </w:style>
  <w:style w:type="paragraph" w:customStyle="1" w:styleId="BulletText1">
    <w:name w:val="Bullet Text 1"/>
    <w:basedOn w:val="Normal"/>
    <w:uiPriority w:val="99"/>
    <w:rsid w:val="00415621"/>
    <w:pPr>
      <w:numPr>
        <w:numId w:val="1"/>
      </w:numPr>
      <w:tabs>
        <w:tab w:val="clear" w:pos="263"/>
        <w:tab w:val="num" w:pos="173"/>
      </w:tabs>
      <w:ind w:left="173"/>
    </w:pPr>
    <w:rPr>
      <w:szCs w:val="20"/>
    </w:rPr>
  </w:style>
  <w:style w:type="paragraph" w:customStyle="1" w:styleId="BulletText2">
    <w:name w:val="Bullet Text 2"/>
    <w:basedOn w:val="Normal"/>
    <w:rsid w:val="00415621"/>
    <w:pPr>
      <w:numPr>
        <w:numId w:val="2"/>
      </w:numPr>
    </w:pPr>
    <w:rPr>
      <w:szCs w:val="20"/>
    </w:rPr>
  </w:style>
  <w:style w:type="paragraph" w:customStyle="1" w:styleId="ContinuedOnNextPa">
    <w:name w:val="Continued On Next Pa"/>
    <w:basedOn w:val="Normal"/>
    <w:next w:val="Normal"/>
    <w:rsid w:val="0041562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415621"/>
    <w:pPr>
      <w:spacing w:after="240"/>
    </w:pPr>
    <w:rPr>
      <w:b/>
      <w:sz w:val="22"/>
      <w:szCs w:val="20"/>
    </w:rPr>
  </w:style>
  <w:style w:type="paragraph" w:customStyle="1" w:styleId="MapTitleContinued">
    <w:name w:val="Map Title. Continued"/>
    <w:basedOn w:val="Normal"/>
    <w:next w:val="Normal"/>
    <w:rsid w:val="00415621"/>
    <w:pPr>
      <w:spacing w:after="240"/>
    </w:pPr>
    <w:rPr>
      <w:rFonts w:ascii="Arial" w:hAnsi="Arial" w:cs="Arial"/>
      <w:b/>
      <w:sz w:val="32"/>
      <w:szCs w:val="20"/>
    </w:rPr>
  </w:style>
  <w:style w:type="paragraph" w:customStyle="1" w:styleId="MemoLine">
    <w:name w:val="Memo Line"/>
    <w:basedOn w:val="BlockLine"/>
    <w:next w:val="Normal"/>
    <w:rsid w:val="00415621"/>
  </w:style>
  <w:style w:type="paragraph" w:styleId="Footer">
    <w:name w:val="footer"/>
    <w:basedOn w:val="Normal"/>
    <w:link w:val="FooterChar"/>
    <w:rsid w:val="0041562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415621"/>
    <w:rPr>
      <w:szCs w:val="20"/>
    </w:rPr>
  </w:style>
  <w:style w:type="paragraph" w:customStyle="1" w:styleId="NoteText">
    <w:name w:val="Note Text"/>
    <w:basedOn w:val="Normal"/>
    <w:rsid w:val="00415621"/>
    <w:rPr>
      <w:szCs w:val="20"/>
    </w:rPr>
  </w:style>
  <w:style w:type="paragraph" w:customStyle="1" w:styleId="TableHeaderText">
    <w:name w:val="Table Header Text"/>
    <w:basedOn w:val="Normal"/>
    <w:uiPriority w:val="99"/>
    <w:rsid w:val="00415621"/>
    <w:pPr>
      <w:jc w:val="center"/>
    </w:pPr>
    <w:rPr>
      <w:b/>
      <w:szCs w:val="20"/>
    </w:rPr>
  </w:style>
  <w:style w:type="paragraph" w:customStyle="1" w:styleId="EmbeddedText">
    <w:name w:val="Embedded Text"/>
    <w:basedOn w:val="Normal"/>
    <w:rsid w:val="0041562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415621"/>
    <w:pPr>
      <w:ind w:left="480"/>
    </w:pPr>
  </w:style>
  <w:style w:type="paragraph" w:styleId="TOC4">
    <w:name w:val="toc 4"/>
    <w:basedOn w:val="Normal"/>
    <w:next w:val="Normal"/>
    <w:autoRedefine/>
    <w:uiPriority w:val="39"/>
    <w:rsid w:val="0041562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415621"/>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415621"/>
    <w:pPr>
      <w:spacing w:after="240"/>
      <w:jc w:val="center"/>
    </w:pPr>
    <w:rPr>
      <w:rFonts w:ascii="Arial" w:hAnsi="Arial" w:cs="Arial"/>
      <w:b/>
      <w:sz w:val="32"/>
      <w:szCs w:val="20"/>
    </w:rPr>
  </w:style>
  <w:style w:type="paragraph" w:customStyle="1" w:styleId="TOCTitle">
    <w:name w:val="TOC Title"/>
    <w:basedOn w:val="Normal"/>
    <w:rsid w:val="00415621"/>
    <w:pPr>
      <w:widowControl w:val="0"/>
    </w:pPr>
    <w:rPr>
      <w:rFonts w:ascii="Arial" w:hAnsi="Arial" w:cs="Arial"/>
      <w:b/>
      <w:sz w:val="32"/>
      <w:szCs w:val="20"/>
    </w:rPr>
  </w:style>
  <w:style w:type="paragraph" w:customStyle="1" w:styleId="TOCItem">
    <w:name w:val="TOCItem"/>
    <w:basedOn w:val="Normal"/>
    <w:rsid w:val="00415621"/>
    <w:pPr>
      <w:tabs>
        <w:tab w:val="left" w:leader="dot" w:pos="7061"/>
        <w:tab w:val="right" w:pos="7524"/>
      </w:tabs>
      <w:spacing w:before="60" w:after="60"/>
      <w:ind w:right="465"/>
    </w:pPr>
    <w:rPr>
      <w:szCs w:val="20"/>
    </w:rPr>
  </w:style>
  <w:style w:type="paragraph" w:customStyle="1" w:styleId="TOCStem">
    <w:name w:val="TOCStem"/>
    <w:basedOn w:val="Normal"/>
    <w:rsid w:val="00415621"/>
    <w:rPr>
      <w:szCs w:val="20"/>
    </w:rPr>
  </w:style>
  <w:style w:type="character" w:styleId="Hyperlink">
    <w:name w:val="Hyperlink"/>
    <w:uiPriority w:val="99"/>
    <w:rsid w:val="00415621"/>
    <w:rPr>
      <w:color w:val="0000FF"/>
      <w:u w:val="single"/>
    </w:rPr>
  </w:style>
  <w:style w:type="paragraph" w:customStyle="1" w:styleId="BulletText3">
    <w:name w:val="Bullet Text 3"/>
    <w:basedOn w:val="Normal"/>
    <w:rsid w:val="00415621"/>
    <w:pPr>
      <w:numPr>
        <w:numId w:val="3"/>
      </w:numPr>
      <w:tabs>
        <w:tab w:val="clear" w:pos="173"/>
      </w:tabs>
      <w:ind w:left="533" w:hanging="173"/>
    </w:pPr>
    <w:rPr>
      <w:szCs w:val="20"/>
    </w:rPr>
  </w:style>
  <w:style w:type="character" w:styleId="HTMLAcronym">
    <w:name w:val="HTML Acronym"/>
    <w:basedOn w:val="DefaultParagraphFont"/>
    <w:rsid w:val="00415621"/>
  </w:style>
  <w:style w:type="paragraph" w:customStyle="1" w:styleId="IMTOC">
    <w:name w:val="IMTOC"/>
    <w:rsid w:val="00415621"/>
    <w:rPr>
      <w:sz w:val="24"/>
    </w:rPr>
  </w:style>
  <w:style w:type="paragraph" w:styleId="BalloonText">
    <w:name w:val="Balloon Text"/>
    <w:basedOn w:val="Normal"/>
    <w:link w:val="BalloonTextChar"/>
    <w:rsid w:val="00415621"/>
    <w:rPr>
      <w:rFonts w:ascii="Tahoma" w:hAnsi="Tahoma" w:cs="Tahoma"/>
      <w:sz w:val="16"/>
      <w:szCs w:val="16"/>
    </w:rPr>
  </w:style>
  <w:style w:type="character" w:customStyle="1" w:styleId="BalloonTextChar">
    <w:name w:val="Balloon Text Char"/>
    <w:basedOn w:val="DefaultParagraphFont"/>
    <w:link w:val="BalloonText"/>
    <w:rsid w:val="00B262DB"/>
    <w:rPr>
      <w:rFonts w:ascii="Tahoma" w:hAnsi="Tahoma" w:cs="Tahoma"/>
      <w:color w:val="000000"/>
      <w:sz w:val="16"/>
      <w:szCs w:val="16"/>
    </w:rPr>
  </w:style>
  <w:style w:type="table" w:styleId="TableGrid">
    <w:name w:val="Table Grid"/>
    <w:basedOn w:val="TableNormal"/>
    <w:rsid w:val="0041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415621"/>
    <w:rPr>
      <w:sz w:val="24"/>
      <w:szCs w:val="24"/>
      <w:lang w:val="x-none" w:eastAsia="x-none"/>
    </w:rPr>
  </w:style>
  <w:style w:type="character" w:customStyle="1" w:styleId="FooterChar">
    <w:name w:val="Footer Char"/>
    <w:link w:val="Footer"/>
    <w:rsid w:val="00415621"/>
    <w:rPr>
      <w:sz w:val="24"/>
      <w:szCs w:val="24"/>
      <w:lang w:val="x-none" w:eastAsia="x-none"/>
    </w:rPr>
  </w:style>
  <w:style w:type="character" w:styleId="FollowedHyperlink">
    <w:name w:val="FollowedHyperlink"/>
    <w:rsid w:val="00415621"/>
    <w:rPr>
      <w:color w:val="800080"/>
      <w:u w:val="single"/>
    </w:rPr>
  </w:style>
  <w:style w:type="character" w:styleId="CommentReference">
    <w:name w:val="annotation reference"/>
    <w:basedOn w:val="DefaultParagraphFont"/>
    <w:uiPriority w:val="99"/>
    <w:rsid w:val="00450CD0"/>
    <w:rPr>
      <w:sz w:val="16"/>
      <w:szCs w:val="16"/>
    </w:rPr>
  </w:style>
  <w:style w:type="paragraph" w:styleId="CommentText">
    <w:name w:val="annotation text"/>
    <w:basedOn w:val="Normal"/>
    <w:link w:val="CommentTextChar"/>
    <w:uiPriority w:val="99"/>
    <w:rsid w:val="00450CD0"/>
    <w:rPr>
      <w:sz w:val="20"/>
      <w:szCs w:val="20"/>
    </w:rPr>
  </w:style>
  <w:style w:type="character" w:customStyle="1" w:styleId="CommentTextChar">
    <w:name w:val="Comment Text Char"/>
    <w:basedOn w:val="DefaultParagraphFont"/>
    <w:link w:val="CommentText"/>
    <w:uiPriority w:val="99"/>
    <w:rsid w:val="00450CD0"/>
    <w:rPr>
      <w:color w:val="000000"/>
    </w:rPr>
  </w:style>
  <w:style w:type="paragraph" w:styleId="CommentSubject">
    <w:name w:val="annotation subject"/>
    <w:basedOn w:val="CommentText"/>
    <w:next w:val="CommentText"/>
    <w:link w:val="CommentSubjectChar"/>
    <w:rsid w:val="00450CD0"/>
    <w:rPr>
      <w:b/>
      <w:bCs/>
    </w:rPr>
  </w:style>
  <w:style w:type="character" w:customStyle="1" w:styleId="CommentSubjectChar">
    <w:name w:val="Comment Subject Char"/>
    <w:basedOn w:val="CommentTextChar"/>
    <w:link w:val="CommentSubject"/>
    <w:rsid w:val="00450CD0"/>
    <w:rPr>
      <w:b/>
      <w:bCs/>
      <w:color w:val="000000"/>
    </w:rPr>
  </w:style>
  <w:style w:type="paragraph" w:styleId="ListParagraph">
    <w:name w:val="List Paragraph"/>
    <w:basedOn w:val="Normal"/>
    <w:uiPriority w:val="34"/>
    <w:qFormat/>
    <w:rsid w:val="00CA6ED7"/>
    <w:pPr>
      <w:ind w:left="720"/>
      <w:contextualSpacing/>
    </w:pPr>
  </w:style>
  <w:style w:type="paragraph" w:styleId="Revision">
    <w:name w:val="Revision"/>
    <w:hidden/>
    <w:uiPriority w:val="99"/>
    <w:semiHidden/>
    <w:rsid w:val="009D6318"/>
    <w:rPr>
      <w:color w:val="000000"/>
      <w:sz w:val="24"/>
      <w:szCs w:val="24"/>
    </w:rPr>
  </w:style>
  <w:style w:type="character" w:customStyle="1" w:styleId="Heading4Char">
    <w:name w:val="Heading 4 Char"/>
    <w:aliases w:val="Map Title Char"/>
    <w:basedOn w:val="DefaultParagraphFont"/>
    <w:link w:val="Heading4"/>
    <w:rsid w:val="00AF00CF"/>
    <w:rPr>
      <w:rFonts w:ascii="Arial" w:hAnsi="Arial" w:cs="Arial"/>
      <w:b/>
      <w:color w:val="000000"/>
      <w:sz w:val="32"/>
    </w:rPr>
  </w:style>
  <w:style w:type="character" w:customStyle="1" w:styleId="Heading5Char">
    <w:name w:val="Heading 5 Char"/>
    <w:aliases w:val="Block Label Char"/>
    <w:basedOn w:val="DefaultParagraphFont"/>
    <w:link w:val="Heading5"/>
    <w:rsid w:val="004A40B6"/>
    <w:rPr>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0B6"/>
    <w:rPr>
      <w:color w:val="000000"/>
      <w:sz w:val="24"/>
      <w:szCs w:val="24"/>
    </w:rPr>
  </w:style>
  <w:style w:type="paragraph" w:styleId="Heading1">
    <w:name w:val="heading 1"/>
    <w:aliases w:val="Part Title"/>
    <w:basedOn w:val="Normal"/>
    <w:next w:val="Heading4"/>
    <w:qFormat/>
    <w:rsid w:val="0041562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41562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41562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41562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415621"/>
    <w:pPr>
      <w:outlineLvl w:val="4"/>
    </w:pPr>
    <w:rPr>
      <w:b/>
      <w:sz w:val="22"/>
      <w:szCs w:val="20"/>
    </w:rPr>
  </w:style>
  <w:style w:type="paragraph" w:styleId="Heading6">
    <w:name w:val="heading 6"/>
    <w:aliases w:val="Sub Label"/>
    <w:basedOn w:val="Heading5"/>
    <w:next w:val="BlockText"/>
    <w:qFormat/>
    <w:rsid w:val="0041562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562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15621"/>
    <w:pPr>
      <w:pBdr>
        <w:top w:val="single" w:sz="6" w:space="1" w:color="000000"/>
        <w:between w:val="single" w:sz="6" w:space="1" w:color="auto"/>
      </w:pBdr>
      <w:spacing w:before="240"/>
      <w:ind w:left="1728"/>
    </w:pPr>
    <w:rPr>
      <w:szCs w:val="20"/>
    </w:rPr>
  </w:style>
  <w:style w:type="paragraph" w:styleId="BlockText">
    <w:name w:val="Block Text"/>
    <w:basedOn w:val="Normal"/>
    <w:rsid w:val="00415621"/>
  </w:style>
  <w:style w:type="paragraph" w:customStyle="1" w:styleId="BulletText1">
    <w:name w:val="Bullet Text 1"/>
    <w:basedOn w:val="Normal"/>
    <w:uiPriority w:val="99"/>
    <w:rsid w:val="00415621"/>
    <w:pPr>
      <w:numPr>
        <w:numId w:val="1"/>
      </w:numPr>
      <w:tabs>
        <w:tab w:val="clear" w:pos="263"/>
        <w:tab w:val="num" w:pos="173"/>
      </w:tabs>
      <w:ind w:left="173"/>
    </w:pPr>
    <w:rPr>
      <w:szCs w:val="20"/>
    </w:rPr>
  </w:style>
  <w:style w:type="paragraph" w:customStyle="1" w:styleId="BulletText2">
    <w:name w:val="Bullet Text 2"/>
    <w:basedOn w:val="Normal"/>
    <w:rsid w:val="00415621"/>
    <w:pPr>
      <w:numPr>
        <w:numId w:val="2"/>
      </w:numPr>
    </w:pPr>
    <w:rPr>
      <w:szCs w:val="20"/>
    </w:rPr>
  </w:style>
  <w:style w:type="paragraph" w:customStyle="1" w:styleId="ContinuedOnNextPa">
    <w:name w:val="Continued On Next Pa"/>
    <w:basedOn w:val="Normal"/>
    <w:next w:val="Normal"/>
    <w:rsid w:val="0041562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415621"/>
    <w:pPr>
      <w:spacing w:after="240"/>
    </w:pPr>
    <w:rPr>
      <w:b/>
      <w:sz w:val="22"/>
      <w:szCs w:val="20"/>
    </w:rPr>
  </w:style>
  <w:style w:type="paragraph" w:customStyle="1" w:styleId="MapTitleContinued">
    <w:name w:val="Map Title. Continued"/>
    <w:basedOn w:val="Normal"/>
    <w:next w:val="Normal"/>
    <w:rsid w:val="00415621"/>
    <w:pPr>
      <w:spacing w:after="240"/>
    </w:pPr>
    <w:rPr>
      <w:rFonts w:ascii="Arial" w:hAnsi="Arial" w:cs="Arial"/>
      <w:b/>
      <w:sz w:val="32"/>
      <w:szCs w:val="20"/>
    </w:rPr>
  </w:style>
  <w:style w:type="paragraph" w:customStyle="1" w:styleId="MemoLine">
    <w:name w:val="Memo Line"/>
    <w:basedOn w:val="BlockLine"/>
    <w:next w:val="Normal"/>
    <w:rsid w:val="00415621"/>
  </w:style>
  <w:style w:type="paragraph" w:styleId="Footer">
    <w:name w:val="footer"/>
    <w:basedOn w:val="Normal"/>
    <w:link w:val="FooterChar"/>
    <w:rsid w:val="0041562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415621"/>
    <w:rPr>
      <w:szCs w:val="20"/>
    </w:rPr>
  </w:style>
  <w:style w:type="paragraph" w:customStyle="1" w:styleId="NoteText">
    <w:name w:val="Note Text"/>
    <w:basedOn w:val="Normal"/>
    <w:rsid w:val="00415621"/>
    <w:rPr>
      <w:szCs w:val="20"/>
    </w:rPr>
  </w:style>
  <w:style w:type="paragraph" w:customStyle="1" w:styleId="TableHeaderText">
    <w:name w:val="Table Header Text"/>
    <w:basedOn w:val="Normal"/>
    <w:uiPriority w:val="99"/>
    <w:rsid w:val="00415621"/>
    <w:pPr>
      <w:jc w:val="center"/>
    </w:pPr>
    <w:rPr>
      <w:b/>
      <w:szCs w:val="20"/>
    </w:rPr>
  </w:style>
  <w:style w:type="paragraph" w:customStyle="1" w:styleId="EmbeddedText">
    <w:name w:val="Embedded Text"/>
    <w:basedOn w:val="Normal"/>
    <w:rsid w:val="0041562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415621"/>
    <w:pPr>
      <w:ind w:left="480"/>
    </w:pPr>
  </w:style>
  <w:style w:type="paragraph" w:styleId="TOC4">
    <w:name w:val="toc 4"/>
    <w:basedOn w:val="Normal"/>
    <w:next w:val="Normal"/>
    <w:autoRedefine/>
    <w:uiPriority w:val="39"/>
    <w:rsid w:val="0041562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415621"/>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415621"/>
    <w:pPr>
      <w:spacing w:after="240"/>
      <w:jc w:val="center"/>
    </w:pPr>
    <w:rPr>
      <w:rFonts w:ascii="Arial" w:hAnsi="Arial" w:cs="Arial"/>
      <w:b/>
      <w:sz w:val="32"/>
      <w:szCs w:val="20"/>
    </w:rPr>
  </w:style>
  <w:style w:type="paragraph" w:customStyle="1" w:styleId="TOCTitle">
    <w:name w:val="TOC Title"/>
    <w:basedOn w:val="Normal"/>
    <w:rsid w:val="00415621"/>
    <w:pPr>
      <w:widowControl w:val="0"/>
    </w:pPr>
    <w:rPr>
      <w:rFonts w:ascii="Arial" w:hAnsi="Arial" w:cs="Arial"/>
      <w:b/>
      <w:sz w:val="32"/>
      <w:szCs w:val="20"/>
    </w:rPr>
  </w:style>
  <w:style w:type="paragraph" w:customStyle="1" w:styleId="TOCItem">
    <w:name w:val="TOCItem"/>
    <w:basedOn w:val="Normal"/>
    <w:rsid w:val="00415621"/>
    <w:pPr>
      <w:tabs>
        <w:tab w:val="left" w:leader="dot" w:pos="7061"/>
        <w:tab w:val="right" w:pos="7524"/>
      </w:tabs>
      <w:spacing w:before="60" w:after="60"/>
      <w:ind w:right="465"/>
    </w:pPr>
    <w:rPr>
      <w:szCs w:val="20"/>
    </w:rPr>
  </w:style>
  <w:style w:type="paragraph" w:customStyle="1" w:styleId="TOCStem">
    <w:name w:val="TOCStem"/>
    <w:basedOn w:val="Normal"/>
    <w:rsid w:val="00415621"/>
    <w:rPr>
      <w:szCs w:val="20"/>
    </w:rPr>
  </w:style>
  <w:style w:type="character" w:styleId="Hyperlink">
    <w:name w:val="Hyperlink"/>
    <w:uiPriority w:val="99"/>
    <w:rsid w:val="00415621"/>
    <w:rPr>
      <w:color w:val="0000FF"/>
      <w:u w:val="single"/>
    </w:rPr>
  </w:style>
  <w:style w:type="paragraph" w:customStyle="1" w:styleId="BulletText3">
    <w:name w:val="Bullet Text 3"/>
    <w:basedOn w:val="Normal"/>
    <w:rsid w:val="00415621"/>
    <w:pPr>
      <w:numPr>
        <w:numId w:val="3"/>
      </w:numPr>
      <w:tabs>
        <w:tab w:val="clear" w:pos="173"/>
      </w:tabs>
      <w:ind w:left="533" w:hanging="173"/>
    </w:pPr>
    <w:rPr>
      <w:szCs w:val="20"/>
    </w:rPr>
  </w:style>
  <w:style w:type="character" w:styleId="HTMLAcronym">
    <w:name w:val="HTML Acronym"/>
    <w:basedOn w:val="DefaultParagraphFont"/>
    <w:rsid w:val="00415621"/>
  </w:style>
  <w:style w:type="paragraph" w:customStyle="1" w:styleId="IMTOC">
    <w:name w:val="IMTOC"/>
    <w:rsid w:val="00415621"/>
    <w:rPr>
      <w:sz w:val="24"/>
    </w:rPr>
  </w:style>
  <w:style w:type="paragraph" w:styleId="BalloonText">
    <w:name w:val="Balloon Text"/>
    <w:basedOn w:val="Normal"/>
    <w:link w:val="BalloonTextChar"/>
    <w:rsid w:val="00415621"/>
    <w:rPr>
      <w:rFonts w:ascii="Tahoma" w:hAnsi="Tahoma" w:cs="Tahoma"/>
      <w:sz w:val="16"/>
      <w:szCs w:val="16"/>
    </w:rPr>
  </w:style>
  <w:style w:type="character" w:customStyle="1" w:styleId="BalloonTextChar">
    <w:name w:val="Balloon Text Char"/>
    <w:basedOn w:val="DefaultParagraphFont"/>
    <w:link w:val="BalloonText"/>
    <w:rsid w:val="00B262DB"/>
    <w:rPr>
      <w:rFonts w:ascii="Tahoma" w:hAnsi="Tahoma" w:cs="Tahoma"/>
      <w:color w:val="000000"/>
      <w:sz w:val="16"/>
      <w:szCs w:val="16"/>
    </w:rPr>
  </w:style>
  <w:style w:type="table" w:styleId="TableGrid">
    <w:name w:val="Table Grid"/>
    <w:basedOn w:val="TableNormal"/>
    <w:rsid w:val="0041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415621"/>
    <w:rPr>
      <w:sz w:val="24"/>
      <w:szCs w:val="24"/>
      <w:lang w:val="x-none" w:eastAsia="x-none"/>
    </w:rPr>
  </w:style>
  <w:style w:type="character" w:customStyle="1" w:styleId="FooterChar">
    <w:name w:val="Footer Char"/>
    <w:link w:val="Footer"/>
    <w:rsid w:val="00415621"/>
    <w:rPr>
      <w:sz w:val="24"/>
      <w:szCs w:val="24"/>
      <w:lang w:val="x-none" w:eastAsia="x-none"/>
    </w:rPr>
  </w:style>
  <w:style w:type="character" w:styleId="FollowedHyperlink">
    <w:name w:val="FollowedHyperlink"/>
    <w:rsid w:val="00415621"/>
    <w:rPr>
      <w:color w:val="800080"/>
      <w:u w:val="single"/>
    </w:rPr>
  </w:style>
  <w:style w:type="character" w:styleId="CommentReference">
    <w:name w:val="annotation reference"/>
    <w:basedOn w:val="DefaultParagraphFont"/>
    <w:uiPriority w:val="99"/>
    <w:rsid w:val="00450CD0"/>
    <w:rPr>
      <w:sz w:val="16"/>
      <w:szCs w:val="16"/>
    </w:rPr>
  </w:style>
  <w:style w:type="paragraph" w:styleId="CommentText">
    <w:name w:val="annotation text"/>
    <w:basedOn w:val="Normal"/>
    <w:link w:val="CommentTextChar"/>
    <w:uiPriority w:val="99"/>
    <w:rsid w:val="00450CD0"/>
    <w:rPr>
      <w:sz w:val="20"/>
      <w:szCs w:val="20"/>
    </w:rPr>
  </w:style>
  <w:style w:type="character" w:customStyle="1" w:styleId="CommentTextChar">
    <w:name w:val="Comment Text Char"/>
    <w:basedOn w:val="DefaultParagraphFont"/>
    <w:link w:val="CommentText"/>
    <w:uiPriority w:val="99"/>
    <w:rsid w:val="00450CD0"/>
    <w:rPr>
      <w:color w:val="000000"/>
    </w:rPr>
  </w:style>
  <w:style w:type="paragraph" w:styleId="CommentSubject">
    <w:name w:val="annotation subject"/>
    <w:basedOn w:val="CommentText"/>
    <w:next w:val="CommentText"/>
    <w:link w:val="CommentSubjectChar"/>
    <w:rsid w:val="00450CD0"/>
    <w:rPr>
      <w:b/>
      <w:bCs/>
    </w:rPr>
  </w:style>
  <w:style w:type="character" w:customStyle="1" w:styleId="CommentSubjectChar">
    <w:name w:val="Comment Subject Char"/>
    <w:basedOn w:val="CommentTextChar"/>
    <w:link w:val="CommentSubject"/>
    <w:rsid w:val="00450CD0"/>
    <w:rPr>
      <w:b/>
      <w:bCs/>
      <w:color w:val="000000"/>
    </w:rPr>
  </w:style>
  <w:style w:type="paragraph" w:styleId="ListParagraph">
    <w:name w:val="List Paragraph"/>
    <w:basedOn w:val="Normal"/>
    <w:uiPriority w:val="34"/>
    <w:qFormat/>
    <w:rsid w:val="00CA6ED7"/>
    <w:pPr>
      <w:ind w:left="720"/>
      <w:contextualSpacing/>
    </w:pPr>
  </w:style>
  <w:style w:type="paragraph" w:styleId="Revision">
    <w:name w:val="Revision"/>
    <w:hidden/>
    <w:uiPriority w:val="99"/>
    <w:semiHidden/>
    <w:rsid w:val="009D6318"/>
    <w:rPr>
      <w:color w:val="000000"/>
      <w:sz w:val="24"/>
      <w:szCs w:val="24"/>
    </w:rPr>
  </w:style>
  <w:style w:type="character" w:customStyle="1" w:styleId="Heading4Char">
    <w:name w:val="Heading 4 Char"/>
    <w:aliases w:val="Map Title Char"/>
    <w:basedOn w:val="DefaultParagraphFont"/>
    <w:link w:val="Heading4"/>
    <w:rsid w:val="00AF00CF"/>
    <w:rPr>
      <w:rFonts w:ascii="Arial" w:hAnsi="Arial" w:cs="Arial"/>
      <w:b/>
      <w:color w:val="000000"/>
      <w:sz w:val="32"/>
    </w:rPr>
  </w:style>
  <w:style w:type="character" w:customStyle="1" w:styleId="Heading5Char">
    <w:name w:val="Heading 5 Char"/>
    <w:aliases w:val="Block Label Char"/>
    <w:basedOn w:val="DefaultParagraphFont"/>
    <w:link w:val="Heading5"/>
    <w:rsid w:val="004A40B6"/>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6755">
      <w:bodyDiv w:val="1"/>
      <w:marLeft w:val="0"/>
      <w:marRight w:val="0"/>
      <w:marTop w:val="0"/>
      <w:marBottom w:val="0"/>
      <w:divBdr>
        <w:top w:val="none" w:sz="0" w:space="0" w:color="auto"/>
        <w:left w:val="none" w:sz="0" w:space="0" w:color="auto"/>
        <w:bottom w:val="none" w:sz="0" w:space="0" w:color="auto"/>
        <w:right w:val="none" w:sz="0" w:space="0" w:color="auto"/>
      </w:divBdr>
    </w:div>
    <w:div w:id="474760567">
      <w:bodyDiv w:val="1"/>
      <w:marLeft w:val="0"/>
      <w:marRight w:val="0"/>
      <w:marTop w:val="0"/>
      <w:marBottom w:val="0"/>
      <w:divBdr>
        <w:top w:val="none" w:sz="0" w:space="0" w:color="auto"/>
        <w:left w:val="none" w:sz="0" w:space="0" w:color="auto"/>
        <w:bottom w:val="none" w:sz="0" w:space="0" w:color="auto"/>
        <w:right w:val="none" w:sz="0" w:space="0" w:color="auto"/>
      </w:divBdr>
    </w:div>
    <w:div w:id="914775747">
      <w:bodyDiv w:val="1"/>
      <w:marLeft w:val="0"/>
      <w:marRight w:val="0"/>
      <w:marTop w:val="0"/>
      <w:marBottom w:val="0"/>
      <w:divBdr>
        <w:top w:val="none" w:sz="0" w:space="0" w:color="auto"/>
        <w:left w:val="none" w:sz="0" w:space="0" w:color="auto"/>
        <w:bottom w:val="none" w:sz="0" w:space="0" w:color="auto"/>
        <w:right w:val="none" w:sz="0" w:space="0" w:color="auto"/>
      </w:divBdr>
    </w:div>
    <w:div w:id="1109160234">
      <w:bodyDiv w:val="1"/>
      <w:marLeft w:val="0"/>
      <w:marRight w:val="0"/>
      <w:marTop w:val="0"/>
      <w:marBottom w:val="0"/>
      <w:divBdr>
        <w:top w:val="none" w:sz="0" w:space="0" w:color="auto"/>
        <w:left w:val="none" w:sz="0" w:space="0" w:color="auto"/>
        <w:bottom w:val="none" w:sz="0" w:space="0" w:color="auto"/>
        <w:right w:val="none" w:sz="0" w:space="0" w:color="auto"/>
      </w:divBdr>
    </w:div>
    <w:div w:id="1566795290">
      <w:bodyDiv w:val="1"/>
      <w:marLeft w:val="0"/>
      <w:marRight w:val="0"/>
      <w:marTop w:val="0"/>
      <w:marBottom w:val="0"/>
      <w:divBdr>
        <w:top w:val="none" w:sz="0" w:space="0" w:color="auto"/>
        <w:left w:val="none" w:sz="0" w:space="0" w:color="auto"/>
        <w:bottom w:val="none" w:sz="0" w:space="0" w:color="auto"/>
        <w:right w:val="none" w:sz="0" w:space="0" w:color="auto"/>
      </w:divBdr>
    </w:div>
    <w:div w:id="19444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va.examtrak.com/" TargetMode="External"/><Relationship Id="rId18" Type="http://schemas.openxmlformats.org/officeDocument/2006/relationships/hyperlink" Target="http://www.ecfr.gov/cgi-bin/text-idx?SID=1ed96c53624228506f142c2886dbcd1f&amp;mc=true&amp;node=se38.1.3_1200&amp;rgn=div8" TargetMode="External"/><Relationship Id="rId26" Type="http://schemas.openxmlformats.org/officeDocument/2006/relationships/hyperlink" Target="http://www.ecfr.gov/cgi-bin/text-idx?SID=b91cb0136237b6da0fc7cd9624f3e993&amp;mc=true&amp;node=sg38.1.4_180_64_184.sg2&amp;rgn=div7" TargetMode="External"/><Relationship Id="rId39" Type="http://schemas.openxmlformats.org/officeDocument/2006/relationships/hyperlink" Target="http://www.ecfr.gov/cgi-bin/text-idx?SID=886e35dac5b6820d645ed5daa8f1db4a&amp;mc=true&amp;node=se38.1.4_196&amp;rgn=div8" TargetMode="External"/><Relationship Id="rId3" Type="http://schemas.openxmlformats.org/officeDocument/2006/relationships/customXml" Target="../customXml/item2.xml"/><Relationship Id="rId21" Type="http://schemas.openxmlformats.org/officeDocument/2006/relationships/hyperlink" Target="http://www.ecfr.gov/cgi-bin/text-idx?SID=9ee5933e8a0c378d93b510a36d90be92&amp;mc=true&amp;node=se38.1.3_1304&amp;rgn=div8" TargetMode="External"/><Relationship Id="rId34" Type="http://schemas.openxmlformats.org/officeDocument/2006/relationships/hyperlink" Target="http://www.ecfr.gov/cgi-bin/text-idx?SID=0c081585be7d308a26ba3a847fd3bd81&amp;mc=true&amp;node=se38.1.4_176&amp;rgn=div8" TargetMode="External"/><Relationship Id="rId42" Type="http://schemas.openxmlformats.org/officeDocument/2006/relationships/hyperlink" Target="http://www.ecfr.gov/cgi-bin/text-idx?SID=88fdaba43584bee8a0580297be7a729e&amp;mc=true&amp;node=se38.1.4_197&amp;rgn=div8"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cfr.gov/cgi-bin/text-idx?SID=6de064af50f8ab728b7ae802bf47c758&amp;node=se38.1.3_1159&amp;rgn=div8" TargetMode="External"/><Relationship Id="rId25" Type="http://schemas.openxmlformats.org/officeDocument/2006/relationships/hyperlink" Target="http://vbacodmoint1.vba.va.gov/bl/21/DBQ/default.asp" TargetMode="External"/><Relationship Id="rId33" Type="http://schemas.openxmlformats.org/officeDocument/2006/relationships/hyperlink" Target="http://www.ecfr.gov/cgi-bin/text-idx?SID=6395c44d4632aaa3c859e151740aa42e&amp;node=se38.1.3_1328&amp;rgn=div8" TargetMode="External"/><Relationship Id="rId38" Type="http://schemas.openxmlformats.org/officeDocument/2006/relationships/hyperlink" Target="http://www.ecfr.gov/cgi-bin/text-idx?SID=b13a025fff4723d82292b8b4507f0acd&amp;mc=true&amp;node=sg38.1.4_1119.sg12&amp;rgn=div7" TargetMode="External"/><Relationship Id="rId46" Type="http://schemas.openxmlformats.org/officeDocument/2006/relationships/hyperlink" Target="http://www.ecfr.gov/cgi-bin/text-idx?SID=b13a025fff4723d82292b8b4507f0acd&amp;mc=true&amp;node=se38.1.4_1124a&amp;rgn=div8" TargetMode="External"/><Relationship Id="rId2" Type="http://schemas.openxmlformats.org/officeDocument/2006/relationships/customXml" Target="../customXml/item1.xml"/><Relationship Id="rId16" Type="http://schemas.openxmlformats.org/officeDocument/2006/relationships/hyperlink" Target="http://vbacodmoint1.vba.va.gov/bl/21/DBQ/default.asp" TargetMode="External"/><Relationship Id="rId20" Type="http://schemas.openxmlformats.org/officeDocument/2006/relationships/hyperlink" Target="http://vbaw.vba.va.gov/bl/21/advisory/DADS/1997dads/Pellerin.doc" TargetMode="External"/><Relationship Id="rId29" Type="http://schemas.openxmlformats.org/officeDocument/2006/relationships/hyperlink" Target="http://vbaw.vba.va.gov/bl/21/advisory/CAVCDAD.htm" TargetMode="External"/><Relationship Id="rId41" Type="http://schemas.openxmlformats.org/officeDocument/2006/relationships/hyperlink" Target="http://www.ecfr.gov/cgi-bin/text-idx?SID=88fdaba43584bee8a0580297be7a729e&amp;mc=true&amp;node=se38.1.3_1317&amp;rgn=div8"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vbacodmoint1.vba.va.gov/bl/21/DBQ/default.asp" TargetMode="External"/><Relationship Id="rId32" Type="http://schemas.openxmlformats.org/officeDocument/2006/relationships/hyperlink" Target="http://vbaw.vba.va.gov/bl/21/Advisory/CAVCDAD.htm" TargetMode="External"/><Relationship Id="rId37" Type="http://schemas.openxmlformats.org/officeDocument/2006/relationships/hyperlink" Target="http://www.ecfr.gov/cgi-bin/text-idx?SID=b13a025fff4723d82292b8b4507f0acd&amp;mc=true&amp;node=se38.1.4_1124a&amp;rgn=div8" TargetMode="External"/><Relationship Id="rId40" Type="http://schemas.openxmlformats.org/officeDocument/2006/relationships/hyperlink" Target="http://www.ecfr.gov/cgi-bin/text-idx?SID=b13a025fff4723d82292b8b4507f0acd&amp;mc=true&amp;node=se38.1.4_1118&amp;rgn=div8" TargetMode="External"/><Relationship Id="rId45" Type="http://schemas.openxmlformats.org/officeDocument/2006/relationships/hyperlink" Target="http://www.vba.va.gov/pubs/forms/VBA-21-0960M-15-ARE.pdf" TargetMode="External"/><Relationship Id="rId5" Type="http://schemas.openxmlformats.org/officeDocument/2006/relationships/customXml" Target="../customXml/item4.xml"/><Relationship Id="rId15" Type="http://schemas.openxmlformats.org/officeDocument/2006/relationships/hyperlink" Target="http://vaww.demo.va.gov/files/FactSheets/2013/DMAFactSheet13-008ExpansionofTelehealth.pdf" TargetMode="External"/><Relationship Id="rId23" Type="http://schemas.openxmlformats.org/officeDocument/2006/relationships/hyperlink" Target="http://vbacodmoint1.vba.va.gov/bl/21/DBQ/default.asp" TargetMode="External"/><Relationship Id="rId28" Type="http://schemas.openxmlformats.org/officeDocument/2006/relationships/hyperlink" Target="http://www.uscourts.cavc.gov/documents/13-1321Nohr.pdf" TargetMode="External"/><Relationship Id="rId36" Type="http://schemas.openxmlformats.org/officeDocument/2006/relationships/hyperlink" Target="http://www.ecfr.gov/cgi-bin/text-idx?SID=0c081585be7d308a26ba3a847fd3bd81&amp;mc=true&amp;node=se38.1.4_179&amp;rgn=div8" TargetMode="External"/><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vbaw.vba.va.gov/bl/21/advisory/DADS/1999dads/Pond.doc" TargetMode="External"/><Relationship Id="rId31" Type="http://schemas.openxmlformats.org/officeDocument/2006/relationships/hyperlink" Target="http://www.ecfr.gov/cgi-bin/text-idx?SID=b13a025fff4723d82292b8b4507f0acd&amp;mc=true&amp;node=se38.1.4_170&amp;rgn=div8" TargetMode="External"/><Relationship Id="rId44" Type="http://schemas.openxmlformats.org/officeDocument/2006/relationships/hyperlink" Target="http://www.ecfr.gov/cgi-bin/text-idx?SID=b13a025fff4723d82292b8b4507f0acd&amp;mc=true&amp;node=se38.1.4_1150&amp;rgn=div8" TargetMode="Externa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vesservices.com/" TargetMode="External"/><Relationship Id="rId22" Type="http://schemas.openxmlformats.org/officeDocument/2006/relationships/hyperlink" Target="http://vbacodmoint1.vba.va.gov/bl/21/DBQ/default.asp" TargetMode="External"/><Relationship Id="rId27" Type="http://schemas.openxmlformats.org/officeDocument/2006/relationships/hyperlink" Target="http://vbacodmoint1.vba.va.gov/bl/21/DBQ/default.asp" TargetMode="External"/><Relationship Id="rId30" Type="http://schemas.openxmlformats.org/officeDocument/2006/relationships/hyperlink" Target="http://vbaw.vba.va.gov/bl/21/Advisory/CAVCDAD.htm" TargetMode="External"/><Relationship Id="rId35" Type="http://schemas.openxmlformats.org/officeDocument/2006/relationships/hyperlink" Target="http://www.ecfr.gov/cgi-bin/text-idx?SID=0c081585be7d308a26ba3a847fd3bd81&amp;mc=true&amp;node=se38.1.4_177&amp;rgn=div8" TargetMode="External"/><Relationship Id="rId43" Type="http://schemas.openxmlformats.org/officeDocument/2006/relationships/hyperlink" Target="http://www.vba.va.gov/pubs/forms/VBA-21-0960L-2-ARE.pdf" TargetMode="External"/><Relationship Id="rId48" Type="http://schemas.openxmlformats.org/officeDocument/2006/relationships/header" Target="header2.xml"/><Relationship Id="rId8" Type="http://schemas.microsoft.com/office/2007/relationships/stylesWithEffects" Target="stylesWithEffect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BA5A-6ECE-4F62-BF42-18FC62E0CBA8}">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b438dcf7-3998-4283-b7fc-0ec6fa8e430f"/>
    <ds:schemaRef ds:uri="http://schemas.openxmlformats.org/package/2006/metadata/core-properties"/>
  </ds:schemaRefs>
</ds:datastoreItem>
</file>

<file path=customXml/itemProps2.xml><?xml version="1.0" encoding="utf-8"?>
<ds:datastoreItem xmlns:ds="http://schemas.openxmlformats.org/officeDocument/2006/customXml" ds:itemID="{38F7D90A-F6E2-4668-B365-D367A5C2EFCD}">
  <ds:schemaRefs>
    <ds:schemaRef ds:uri="http://schemas.microsoft.com/sharepoint/v3/contenttype/forms"/>
  </ds:schemaRefs>
</ds:datastoreItem>
</file>

<file path=customXml/itemProps3.xml><?xml version="1.0" encoding="utf-8"?>
<ds:datastoreItem xmlns:ds="http://schemas.openxmlformats.org/officeDocument/2006/customXml" ds:itemID="{4BB33338-22BF-464A-9628-B5C8C97CB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79C7A-1648-4D3F-9F79-5A48D254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3006</TotalTime>
  <Pages>22</Pages>
  <Words>5428</Words>
  <Characters>35314</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Section D. Examination Reports</vt:lpstr>
    </vt:vector>
  </TitlesOfParts>
  <Company>Dept. of Veterans Affairs</Company>
  <LinksUpToDate>false</LinksUpToDate>
  <CharactersWithSpaces>40661</CharactersWithSpaces>
  <SharedDoc>false</SharedDoc>
  <HLinks>
    <vt:vector size="12" baseType="variant">
      <vt:variant>
        <vt:i4>3407984</vt:i4>
      </vt:variant>
      <vt:variant>
        <vt:i4>15</vt:i4>
      </vt:variant>
      <vt:variant>
        <vt:i4>0</vt:i4>
      </vt:variant>
      <vt:variant>
        <vt:i4>5</vt:i4>
      </vt:variant>
      <vt:variant>
        <vt:lpwstr>http://152.124.238.193/bl/21/Advisory/CAVCDAD.htm</vt:lpwstr>
      </vt:variant>
      <vt:variant>
        <vt:lpwstr>bmf</vt:lpwstr>
      </vt:variant>
      <vt:variant>
        <vt:i4>7536642</vt:i4>
      </vt:variant>
      <vt:variant>
        <vt:i4>6</vt:i4>
      </vt:variant>
      <vt:variant>
        <vt:i4>0</vt:i4>
      </vt:variant>
      <vt:variant>
        <vt:i4>5</vt:i4>
      </vt:variant>
      <vt:variant>
        <vt:lpwstr>http://vbaw.vba.va.gov/bl/21/M21-1MR/pt03/sp04/ch03/pt03_sp04_ch03_secD</vt:lpwstr>
      </vt:variant>
      <vt:variant>
        <vt:lpwstr>III.iv.3.D.18.d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 Examination Reports</dc:title>
  <dc:subject>Examination Reports</dc:subject>
  <dc:creator>CAPKSALA</dc:creator>
  <cp:keywords>examiner, examination, exam, qualification, qualified, reports, sign, signing, ensure, ensuring, return, returning, clarification, insufficient, rating, purposes, evaluating, disability, diagnoses, resolving, inconsistencies, unusual, fee-basis</cp:keywords>
  <dc:description>Guidance on topics relating to examination reports including examiner qualifications, mental disorders examinations, who must sign examination reports, exam report requirements, returning examination reports for clarification, or resolution of inconsistencies or insufficiencies.  Also unusual cases and fee basis reports.</dc:description>
  <cp:lastModifiedBy>Kimberly Martin-Butler</cp:lastModifiedBy>
  <cp:revision>43</cp:revision>
  <cp:lastPrinted>2009-11-04T14:48:00Z</cp:lastPrinted>
  <dcterms:created xsi:type="dcterms:W3CDTF">2015-06-22T16:09:00Z</dcterms:created>
  <dcterms:modified xsi:type="dcterms:W3CDTF">2015-07-22T19:43:00Z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20111201</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
    <vt:lpwstr>Document</vt:lpwstr>
  </property>
  <property fmtid="{D5CDD505-2E9C-101B-9397-08002B2CF9AE}" pid="8" name="ContentTypeId">
    <vt:lpwstr>0x010100A3776AF772BF364D8E899CBB1EA8E540</vt:lpwstr>
  </property>
</Properties>
</file>