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59" w:rsidRPr="006C0079" w:rsidRDefault="00DC1759">
      <w:pPr>
        <w:pStyle w:val="Heading2"/>
      </w:pPr>
      <w:bookmarkStart w:id="0" w:name="_GoBack"/>
      <w:bookmarkEnd w:id="0"/>
      <w:r w:rsidRPr="006C0079">
        <w:t>Section B.  Scheduling Examinations</w:t>
      </w:r>
    </w:p>
    <w:p w:rsidR="00DC1759" w:rsidRPr="006C0079" w:rsidRDefault="00DC1759">
      <w:pPr>
        <w:pStyle w:val="Heading4"/>
      </w:pPr>
      <w:r w:rsidRPr="006C0079">
        <w:fldChar w:fldCharType="begin"/>
      </w:r>
      <w:r w:rsidRPr="006C0079">
        <w:instrText xml:space="preserve"> PRIVATE INFOTYPE="OTHER" </w:instrText>
      </w:r>
      <w:r w:rsidRPr="006C0079">
        <w:fldChar w:fldCharType="end"/>
      </w:r>
      <w:r w:rsidRPr="006C0079">
        <w:t>Overview</w:t>
      </w:r>
    </w:p>
    <w:p w:rsidR="00DC1759" w:rsidRPr="006C0079" w:rsidRDefault="00DC175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>
        <w:trPr>
          <w:cantSplit/>
        </w:trPr>
        <w:tc>
          <w:tcPr>
            <w:tcW w:w="1728" w:type="dxa"/>
          </w:tcPr>
          <w:p w:rsidR="00DC1759" w:rsidRPr="006C0079" w:rsidRDefault="00DC1759" w:rsidP="00A17023">
            <w:pPr>
              <w:pStyle w:val="Heading5"/>
            </w:pPr>
            <w:r w:rsidRPr="006C0079">
              <w:t xml:space="preserve">In </w:t>
            </w:r>
            <w:r w:rsidR="00A17023" w:rsidRPr="006C0079">
              <w:t>T</w:t>
            </w:r>
            <w:r w:rsidRPr="006C0079">
              <w:t>his Section</w:t>
            </w:r>
          </w:p>
        </w:tc>
        <w:tc>
          <w:tcPr>
            <w:tcW w:w="7740" w:type="dxa"/>
          </w:tcPr>
          <w:p w:rsidR="00DC1759" w:rsidRPr="006C0079" w:rsidRDefault="00DC1759">
            <w:pPr>
              <w:pStyle w:val="BlockText"/>
            </w:pPr>
            <w:r w:rsidRPr="006C0079">
              <w:t>This section contains the following topics:</w:t>
            </w:r>
          </w:p>
        </w:tc>
      </w:tr>
    </w:tbl>
    <w:p w:rsidR="00DC1759" w:rsidRPr="006C0079" w:rsidRDefault="00DC1759"/>
    <w:tbl>
      <w:tblPr>
        <w:tblW w:w="0" w:type="auto"/>
        <w:tblInd w:w="1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96"/>
        <w:gridCol w:w="6344"/>
      </w:tblGrid>
      <w:tr w:rsidR="006725D9" w:rsidRPr="006C0079" w:rsidTr="00D11492"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5D9" w:rsidRPr="006C0079" w:rsidRDefault="006725D9">
            <w:pPr>
              <w:pStyle w:val="TableHeaderText"/>
            </w:pPr>
            <w:r w:rsidRPr="006C0079">
              <w:t>Topic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5D9" w:rsidRPr="006C0079" w:rsidRDefault="006725D9">
            <w:pPr>
              <w:pStyle w:val="TableHeaderText"/>
            </w:pPr>
            <w:r w:rsidRPr="006C0079">
              <w:t>Topic Name</w:t>
            </w:r>
          </w:p>
        </w:tc>
      </w:tr>
      <w:tr w:rsidR="006725D9" w:rsidRPr="006C0079" w:rsidTr="00D11492"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5D9" w:rsidRPr="006C0079" w:rsidRDefault="006725D9">
            <w:pPr>
              <w:pStyle w:val="TableText"/>
              <w:jc w:val="center"/>
            </w:pPr>
            <w:r w:rsidRPr="006C0079">
              <w:t>1 (old 14</w:t>
            </w:r>
            <w:r w:rsidRPr="006C0079">
              <w:rPr>
                <w:rStyle w:val="Hyperlink"/>
                <w:color w:val="auto"/>
                <w:u w:val="none"/>
              </w:rPr>
              <w:t>)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5D9" w:rsidRPr="006C0079" w:rsidRDefault="006725D9">
            <w:pPr>
              <w:pStyle w:val="TableText"/>
            </w:pPr>
            <w:r w:rsidRPr="006C0079">
              <w:t>General Information on Scheduling Examinations</w:t>
            </w:r>
          </w:p>
        </w:tc>
      </w:tr>
      <w:tr w:rsidR="006725D9" w:rsidRPr="006C0079" w:rsidTr="00D11492"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5D9" w:rsidRPr="006C0079" w:rsidRDefault="006725D9">
            <w:pPr>
              <w:pStyle w:val="TableText"/>
              <w:jc w:val="center"/>
            </w:pPr>
            <w:r w:rsidRPr="006C0079">
              <w:t>2 (old 15</w:t>
            </w:r>
            <w:r w:rsidRPr="006C0079">
              <w:rPr>
                <w:rStyle w:val="Hyperlink"/>
                <w:color w:val="auto"/>
                <w:u w:val="none"/>
              </w:rPr>
              <w:t>)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5D9" w:rsidRPr="006C0079" w:rsidRDefault="006725D9">
            <w:pPr>
              <w:pStyle w:val="TableText"/>
            </w:pPr>
            <w:r w:rsidRPr="006C0079">
              <w:t>Determining the Need for Review Examinations</w:t>
            </w:r>
          </w:p>
        </w:tc>
      </w:tr>
    </w:tbl>
    <w:p w:rsidR="00DC1759" w:rsidRPr="006C0079" w:rsidRDefault="00DC1759">
      <w:pPr>
        <w:pStyle w:val="BlockLine"/>
      </w:pPr>
    </w:p>
    <w:p w:rsidR="00DC1759" w:rsidRPr="006C0079" w:rsidRDefault="00DC1759">
      <w:pPr>
        <w:pStyle w:val="Heading4"/>
      </w:pPr>
      <w:r w:rsidRPr="006C0079">
        <w:br w:type="page"/>
      </w:r>
      <w:r w:rsidR="006725D9" w:rsidRPr="006C0079">
        <w:lastRenderedPageBreak/>
        <w:t>1</w:t>
      </w:r>
      <w:r w:rsidRPr="006C0079">
        <w:t xml:space="preserve">.  </w:t>
      </w:r>
      <w:bookmarkStart w:id="1" w:name="Topic14"/>
      <w:bookmarkEnd w:id="1"/>
      <w:r w:rsidRPr="006C0079">
        <w:t>General Information on Scheduling Examinations</w:t>
      </w:r>
    </w:p>
    <w:p w:rsidR="00DC1759" w:rsidRPr="006C0079" w:rsidRDefault="00DC1759">
      <w:pPr>
        <w:pStyle w:val="BlockLine"/>
      </w:pPr>
      <w:r w:rsidRPr="006C0079">
        <w:fldChar w:fldCharType="begin"/>
      </w:r>
      <w:r w:rsidRPr="006C0079">
        <w:instrText xml:space="preserve"> PRIVATE INFOTYPE="OTHER" </w:instrText>
      </w:r>
      <w:r w:rsidRPr="006C0079">
        <w:fldChar w:fldCharType="end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>
        <w:trPr>
          <w:cantSplit/>
        </w:trPr>
        <w:tc>
          <w:tcPr>
            <w:tcW w:w="1728" w:type="dxa"/>
          </w:tcPr>
          <w:p w:rsidR="00DC1759" w:rsidRPr="006C0079" w:rsidRDefault="00DC1759">
            <w:pPr>
              <w:pStyle w:val="Heading5"/>
            </w:pPr>
            <w:r w:rsidRPr="006C0079">
              <w:t>Introduction</w:t>
            </w:r>
          </w:p>
        </w:tc>
        <w:tc>
          <w:tcPr>
            <w:tcW w:w="7740" w:type="dxa"/>
          </w:tcPr>
          <w:p w:rsidR="00DC1759" w:rsidRPr="006C0079" w:rsidRDefault="00DC1759">
            <w:pPr>
              <w:pStyle w:val="BlockText"/>
            </w:pPr>
            <w:r w:rsidRPr="006C0079">
              <w:t>This topic contains general information about scheduling examinations, including</w:t>
            </w:r>
          </w:p>
          <w:p w:rsidR="00DC1759" w:rsidRPr="006C0079" w:rsidRDefault="00DC1759">
            <w:pPr>
              <w:pStyle w:val="BlockText"/>
            </w:pPr>
          </w:p>
          <w:p w:rsidR="00534D21" w:rsidRPr="006C0079" w:rsidRDefault="00B25FE7">
            <w:pPr>
              <w:pStyle w:val="BulletText1"/>
            </w:pPr>
            <w:r w:rsidRPr="006C0079">
              <w:t>g</w:t>
            </w:r>
            <w:r w:rsidR="00534D21" w:rsidRPr="006C0079">
              <w:t>eneral information on scheduling examinations</w:t>
            </w:r>
          </w:p>
          <w:p w:rsidR="00DC1759" w:rsidRPr="006C0079" w:rsidRDefault="00BB096F">
            <w:pPr>
              <w:pStyle w:val="BulletText1"/>
            </w:pPr>
            <w:r w:rsidRPr="006C0079">
              <w:t xml:space="preserve">examinations </w:t>
            </w:r>
            <w:r w:rsidR="005E195B" w:rsidRPr="006C0079">
              <w:t xml:space="preserve">for </w:t>
            </w:r>
            <w:r w:rsidRPr="006C0079">
              <w:t>VA-e</w:t>
            </w:r>
            <w:r w:rsidR="00DC1759" w:rsidRPr="006C0079">
              <w:t>mployee</w:t>
            </w:r>
            <w:r w:rsidRPr="006C0079">
              <w:t xml:space="preserve"> claimants</w:t>
            </w:r>
          </w:p>
          <w:p w:rsidR="00223ECF" w:rsidRPr="006C0079" w:rsidRDefault="00223ECF" w:rsidP="00223ECF">
            <w:pPr>
              <w:pStyle w:val="BulletText1"/>
            </w:pPr>
            <w:r w:rsidRPr="006C0079">
              <w:t>exceptions for employees who work at an examining facility</w:t>
            </w:r>
          </w:p>
          <w:p w:rsidR="00E957B1" w:rsidRPr="006C0079" w:rsidRDefault="00F8028B" w:rsidP="00E957B1">
            <w:pPr>
              <w:pStyle w:val="BulletText1"/>
            </w:pPr>
            <w:r w:rsidRPr="006C0079">
              <w:t>scheduling examinations for conditions subject to temporary or episodic improvement</w:t>
            </w:r>
          </w:p>
          <w:p w:rsidR="00276D9F" w:rsidRPr="006C0079" w:rsidRDefault="00276D9F" w:rsidP="00E957B1">
            <w:pPr>
              <w:pStyle w:val="BulletText1"/>
            </w:pPr>
            <w:r w:rsidRPr="006C0079">
              <w:t>notification of scheduled</w:t>
            </w:r>
            <w:r w:rsidR="00DC1759" w:rsidRPr="006C0079">
              <w:t xml:space="preserve"> examination</w:t>
            </w:r>
            <w:r w:rsidRPr="006C0079">
              <w:t>s</w:t>
            </w:r>
            <w:r w:rsidR="00BB58AB" w:rsidRPr="006C0079">
              <w:t>, and</w:t>
            </w:r>
          </w:p>
          <w:p w:rsidR="00DE0EEB" w:rsidRPr="006C0079" w:rsidRDefault="00534D21" w:rsidP="006C0079">
            <w:pPr>
              <w:pStyle w:val="BulletText1"/>
            </w:pPr>
            <w:proofErr w:type="gramStart"/>
            <w:r w:rsidRPr="006C0079">
              <w:t>scheduling</w:t>
            </w:r>
            <w:proofErr w:type="gramEnd"/>
            <w:r w:rsidRPr="006C0079">
              <w:t xml:space="preserve"> specialist examinations</w:t>
            </w:r>
            <w:r w:rsidR="00BB58AB" w:rsidRPr="006C0079">
              <w:t>.</w:t>
            </w:r>
          </w:p>
        </w:tc>
      </w:tr>
    </w:tbl>
    <w:p w:rsidR="00DC1759" w:rsidRPr="006C0079" w:rsidRDefault="00DC175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>
        <w:trPr>
          <w:cantSplit/>
        </w:trPr>
        <w:tc>
          <w:tcPr>
            <w:tcW w:w="1728" w:type="dxa"/>
          </w:tcPr>
          <w:p w:rsidR="00DC1759" w:rsidRPr="006C0079" w:rsidRDefault="00DC1759">
            <w:pPr>
              <w:pStyle w:val="Heading5"/>
            </w:pPr>
            <w:r w:rsidRPr="006C0079">
              <w:t>Change Date</w:t>
            </w:r>
          </w:p>
        </w:tc>
        <w:tc>
          <w:tcPr>
            <w:tcW w:w="7740" w:type="dxa"/>
          </w:tcPr>
          <w:p w:rsidR="00DC1759" w:rsidRPr="006C0079" w:rsidRDefault="003C0A20">
            <w:pPr>
              <w:pStyle w:val="BlockText"/>
            </w:pPr>
            <w:r w:rsidRPr="006C0079">
              <w:t>May 8, 2015</w:t>
            </w:r>
          </w:p>
        </w:tc>
      </w:tr>
    </w:tbl>
    <w:p w:rsidR="00DC1759" w:rsidRPr="006C0079" w:rsidRDefault="00DC175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>
        <w:trPr>
          <w:cantSplit/>
        </w:trPr>
        <w:tc>
          <w:tcPr>
            <w:tcW w:w="1728" w:type="dxa"/>
          </w:tcPr>
          <w:p w:rsidR="00DC1759" w:rsidRPr="006C0079" w:rsidRDefault="00534D21" w:rsidP="00534D21">
            <w:pPr>
              <w:pStyle w:val="Heading5"/>
            </w:pPr>
            <w:bookmarkStart w:id="2" w:name="_a.__General"/>
            <w:bookmarkEnd w:id="2"/>
            <w:proofErr w:type="gramStart"/>
            <w:r w:rsidRPr="006C0079">
              <w:t>a</w:t>
            </w:r>
            <w:r w:rsidR="00DC1759" w:rsidRPr="006C0079">
              <w:t xml:space="preserve">.  </w:t>
            </w:r>
            <w:r w:rsidRPr="006C0079">
              <w:t>General</w:t>
            </w:r>
            <w:proofErr w:type="gramEnd"/>
            <w:r w:rsidRPr="006C0079">
              <w:t xml:space="preserve"> Information on Scheduling Exa</w:t>
            </w:r>
            <w:r w:rsidR="004F71C8" w:rsidRPr="006C0079">
              <w:t>m</w:t>
            </w:r>
            <w:r w:rsidRPr="006C0079">
              <w:t>inations</w:t>
            </w:r>
          </w:p>
          <w:p w:rsidR="00547C04" w:rsidRPr="006C0079" w:rsidRDefault="00547C04" w:rsidP="00534D21">
            <w:pPr>
              <w:pStyle w:val="Heading5"/>
            </w:pPr>
          </w:p>
        </w:tc>
        <w:tc>
          <w:tcPr>
            <w:tcW w:w="7740" w:type="dxa"/>
          </w:tcPr>
          <w:p w:rsidR="001C1218" w:rsidRPr="006C0079" w:rsidRDefault="00BA4DBF">
            <w:pPr>
              <w:pStyle w:val="BlockText"/>
            </w:pPr>
            <w:r w:rsidRPr="006C0079">
              <w:t>“</w:t>
            </w:r>
            <w:r w:rsidR="00534D21" w:rsidRPr="006C0079">
              <w:t>Scheduling</w:t>
            </w:r>
            <w:r w:rsidR="00B25FE7" w:rsidRPr="006C0079">
              <w:t xml:space="preserve"> </w:t>
            </w:r>
            <w:r w:rsidR="00C712D7" w:rsidRPr="006C0079">
              <w:t>examination</w:t>
            </w:r>
            <w:r w:rsidR="00FD1A22" w:rsidRPr="006C0079">
              <w:t>s</w:t>
            </w:r>
            <w:r w:rsidR="00FF3E16" w:rsidRPr="006C0079">
              <w:t>”</w:t>
            </w:r>
            <w:r w:rsidR="00C712D7" w:rsidRPr="006C0079">
              <w:rPr>
                <w:b/>
              </w:rPr>
              <w:t xml:space="preserve"> </w:t>
            </w:r>
            <w:r w:rsidR="00534D21" w:rsidRPr="006C0079">
              <w:t xml:space="preserve">refers to the process by which </w:t>
            </w:r>
            <w:r w:rsidR="006E0498" w:rsidRPr="006C0079">
              <w:t>the Veterans Benefits Administration (</w:t>
            </w:r>
            <w:r w:rsidR="00534D21" w:rsidRPr="006C0079">
              <w:t>VBA</w:t>
            </w:r>
            <w:r w:rsidR="006E0498" w:rsidRPr="006C0079">
              <w:t>)</w:t>
            </w:r>
            <w:r w:rsidR="00534D21" w:rsidRPr="006C0079">
              <w:t xml:space="preserve"> and</w:t>
            </w:r>
            <w:r w:rsidR="001C1218" w:rsidRPr="006C0079">
              <w:t xml:space="preserve"> either a</w:t>
            </w:r>
            <w:r w:rsidR="00534D21" w:rsidRPr="006C0079">
              <w:t xml:space="preserve"> </w:t>
            </w:r>
            <w:r w:rsidR="006E0498" w:rsidRPr="006C0079">
              <w:t>Veterans Health Administration (</w:t>
            </w:r>
            <w:proofErr w:type="spellStart"/>
            <w:r w:rsidR="00534D21" w:rsidRPr="006C0079">
              <w:t>VHA</w:t>
            </w:r>
            <w:proofErr w:type="spellEnd"/>
            <w:r w:rsidR="006E0498" w:rsidRPr="006C0079">
              <w:t>)</w:t>
            </w:r>
            <w:r w:rsidR="001C1218" w:rsidRPr="006C0079">
              <w:t xml:space="preserve"> examining facility or a </w:t>
            </w:r>
            <w:r w:rsidR="00330204" w:rsidRPr="006C0079">
              <w:t xml:space="preserve">contract examiner </w:t>
            </w:r>
            <w:r w:rsidR="00534D21" w:rsidRPr="006C0079">
              <w:t xml:space="preserve">work together to </w:t>
            </w:r>
            <w:r w:rsidR="00FD1A22" w:rsidRPr="006C0079">
              <w:t xml:space="preserve">set up a particular </w:t>
            </w:r>
            <w:r w:rsidR="000A4FC2" w:rsidRPr="006C0079">
              <w:t>examination</w:t>
            </w:r>
            <w:r w:rsidR="00534D21" w:rsidRPr="006C0079">
              <w:t xml:space="preserve">.  </w:t>
            </w:r>
          </w:p>
          <w:p w:rsidR="001C1218" w:rsidRPr="006C0079" w:rsidRDefault="001C1218">
            <w:pPr>
              <w:pStyle w:val="BlockText"/>
            </w:pPr>
          </w:p>
          <w:p w:rsidR="00534D21" w:rsidRPr="006C0079" w:rsidRDefault="00330204">
            <w:pPr>
              <w:pStyle w:val="BlockText"/>
            </w:pPr>
            <w:r w:rsidRPr="006C0079">
              <w:t>VBA will request the examination</w:t>
            </w:r>
            <w:r w:rsidR="001C1218" w:rsidRPr="006C0079">
              <w:t>, which may involve notation of information pertinent to the time and place of the examination.  However</w:t>
            </w:r>
            <w:r w:rsidR="00A17023" w:rsidRPr="006C0079">
              <w:t>,</w:t>
            </w:r>
            <w:r w:rsidR="001C1218" w:rsidRPr="006C0079">
              <w:t xml:space="preserve"> the </w:t>
            </w:r>
            <w:r w:rsidRPr="006C0079">
              <w:t xml:space="preserve">examining facility will actually set up the examination.  </w:t>
            </w:r>
          </w:p>
          <w:p w:rsidR="00B25FE7" w:rsidRPr="006C0079" w:rsidRDefault="00B25FE7">
            <w:pPr>
              <w:pStyle w:val="BlockText"/>
            </w:pPr>
          </w:p>
          <w:p w:rsidR="00534D21" w:rsidRPr="006C0079" w:rsidRDefault="00534D21">
            <w:pPr>
              <w:pStyle w:val="BlockText"/>
            </w:pPr>
            <w:r w:rsidRPr="006C0079">
              <w:rPr>
                <w:b/>
                <w:i/>
              </w:rPr>
              <w:t>References</w:t>
            </w:r>
            <w:r w:rsidRPr="006C0079">
              <w:t xml:space="preserve">:  For more information on </w:t>
            </w:r>
          </w:p>
          <w:p w:rsidR="001C1218" w:rsidRPr="006C0079" w:rsidRDefault="001C1218" w:rsidP="001C1218">
            <w:pPr>
              <w:pStyle w:val="BulletText1"/>
            </w:pPr>
            <w:r w:rsidRPr="006C0079">
              <w:t xml:space="preserve">examination requests, see </w:t>
            </w:r>
            <w:proofErr w:type="spellStart"/>
            <w:r w:rsidR="00D91450" w:rsidRPr="006C0079">
              <w:t>M21</w:t>
            </w:r>
            <w:proofErr w:type="spellEnd"/>
            <w:r w:rsidR="00D91450" w:rsidRPr="006C0079">
              <w:t>-1</w:t>
            </w:r>
            <w:r w:rsidRPr="006C0079">
              <w:t xml:space="preserve">, Part III, Subpart iv, </w:t>
            </w:r>
            <w:proofErr w:type="spellStart"/>
            <w:r w:rsidRPr="006C0079">
              <w:t>3.A</w:t>
            </w:r>
            <w:proofErr w:type="spellEnd"/>
          </w:p>
          <w:p w:rsidR="00DC1759" w:rsidRPr="006C0079" w:rsidRDefault="00B25FE7" w:rsidP="00B25FE7">
            <w:pPr>
              <w:pStyle w:val="BulletText1"/>
            </w:pPr>
            <w:r w:rsidRPr="006C0079">
              <w:t>requesting examinations at a</w:t>
            </w:r>
            <w:r w:rsidR="001C1218" w:rsidRPr="006C0079">
              <w:t xml:space="preserve">n appropriate </w:t>
            </w:r>
            <w:r w:rsidRPr="006C0079">
              <w:t xml:space="preserve">facility, see </w:t>
            </w:r>
            <w:proofErr w:type="spellStart"/>
            <w:r w:rsidR="00D91450" w:rsidRPr="006C0079">
              <w:t>M21</w:t>
            </w:r>
            <w:proofErr w:type="spellEnd"/>
            <w:r w:rsidR="00D91450" w:rsidRPr="006C0079">
              <w:t>-1</w:t>
            </w:r>
            <w:r w:rsidRPr="006C0079">
              <w:t xml:space="preserve">, Part III, Subpart iv, </w:t>
            </w:r>
            <w:proofErr w:type="spellStart"/>
            <w:r w:rsidRPr="006C0079">
              <w:t>3.A.1.b</w:t>
            </w:r>
            <w:proofErr w:type="spellEnd"/>
          </w:p>
          <w:p w:rsidR="00330204" w:rsidRPr="006C0079" w:rsidRDefault="00B25FE7" w:rsidP="00330204">
            <w:pPr>
              <w:pStyle w:val="BulletText1"/>
            </w:pPr>
            <w:r w:rsidRPr="006C0079">
              <w:t xml:space="preserve">inputting examination requests, see </w:t>
            </w:r>
            <w:proofErr w:type="spellStart"/>
            <w:r w:rsidRPr="006C0079">
              <w:t>M21</w:t>
            </w:r>
            <w:proofErr w:type="spellEnd"/>
            <w:r w:rsidRPr="006C0079">
              <w:t xml:space="preserve">-1, Part III, Subpart iv, </w:t>
            </w:r>
            <w:proofErr w:type="spellStart"/>
            <w:r w:rsidRPr="006C0079">
              <w:t>3.A.12</w:t>
            </w:r>
            <w:proofErr w:type="spellEnd"/>
            <w:r w:rsidR="00FE3A46" w:rsidRPr="006C0079">
              <w:t>,</w:t>
            </w:r>
            <w:r w:rsidR="00416C86" w:rsidRPr="006C0079">
              <w:t xml:space="preserve"> </w:t>
            </w:r>
            <w:r w:rsidR="00FE3A46" w:rsidRPr="006C0079">
              <w:t>and</w:t>
            </w:r>
          </w:p>
          <w:p w:rsidR="00B25FE7" w:rsidRPr="006C0079" w:rsidRDefault="00330204" w:rsidP="004D4E1E">
            <w:pPr>
              <w:pStyle w:val="BulletText1"/>
            </w:pPr>
            <w:proofErr w:type="gramStart"/>
            <w:r w:rsidRPr="006C0079">
              <w:t>requesting</w:t>
            </w:r>
            <w:proofErr w:type="gramEnd"/>
            <w:r w:rsidRPr="006C0079">
              <w:t xml:space="preserve"> examinations in the geographic jurisdiction of another </w:t>
            </w:r>
            <w:r w:rsidR="00030145" w:rsidRPr="006C0079">
              <w:t>regional office (</w:t>
            </w:r>
            <w:r w:rsidRPr="006C0079">
              <w:t>RO</w:t>
            </w:r>
            <w:r w:rsidR="00030145" w:rsidRPr="006C0079">
              <w:t>)</w:t>
            </w:r>
            <w:r w:rsidRPr="006C0079">
              <w:t xml:space="preserve">, see </w:t>
            </w:r>
            <w:proofErr w:type="spellStart"/>
            <w:r w:rsidR="00B44414" w:rsidRPr="006C0079">
              <w:t>M21</w:t>
            </w:r>
            <w:proofErr w:type="spellEnd"/>
            <w:r w:rsidR="00B44414" w:rsidRPr="006C0079">
              <w:t>-1</w:t>
            </w:r>
            <w:r w:rsidR="00D91450" w:rsidRPr="006C0079">
              <w:t xml:space="preserve">, Part III, Subpart iv, </w:t>
            </w:r>
            <w:proofErr w:type="spellStart"/>
            <w:r w:rsidR="00D91450" w:rsidRPr="006C0079">
              <w:t>3.A.12</w:t>
            </w:r>
            <w:proofErr w:type="spellEnd"/>
            <w:r w:rsidR="00F62248" w:rsidRPr="006C0079">
              <w:t>.</w:t>
            </w:r>
          </w:p>
        </w:tc>
      </w:tr>
    </w:tbl>
    <w:p w:rsidR="00330204" w:rsidRPr="006C0079" w:rsidRDefault="00330204" w:rsidP="00330204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 w:rsidTr="00FF3E16">
        <w:tc>
          <w:tcPr>
            <w:tcW w:w="1728" w:type="dxa"/>
          </w:tcPr>
          <w:p w:rsidR="00DC1759" w:rsidRPr="006C0079" w:rsidRDefault="00DC1759" w:rsidP="005E195B">
            <w:pPr>
              <w:pStyle w:val="Heading5"/>
            </w:pPr>
            <w:bookmarkStart w:id="3" w:name="_b.__Examinations"/>
            <w:bookmarkEnd w:id="3"/>
            <w:proofErr w:type="gramStart"/>
            <w:r w:rsidRPr="006C0079">
              <w:t>b.  E</w:t>
            </w:r>
            <w:r w:rsidR="00BB096F" w:rsidRPr="006C0079">
              <w:t>xaminations</w:t>
            </w:r>
            <w:proofErr w:type="gramEnd"/>
            <w:r w:rsidR="00BB096F" w:rsidRPr="006C0079">
              <w:t xml:space="preserve"> </w:t>
            </w:r>
            <w:r w:rsidR="005E195B" w:rsidRPr="006C0079">
              <w:t xml:space="preserve">for </w:t>
            </w:r>
            <w:r w:rsidR="00BB096F" w:rsidRPr="006C0079">
              <w:t>VA-E</w:t>
            </w:r>
            <w:r w:rsidRPr="006C0079">
              <w:t>mployee</w:t>
            </w:r>
            <w:r w:rsidR="00BB096F" w:rsidRPr="006C0079">
              <w:t xml:space="preserve"> Claimants</w:t>
            </w:r>
            <w:r w:rsidR="00547C04" w:rsidRPr="006C0079">
              <w:t xml:space="preserve"> </w:t>
            </w:r>
          </w:p>
        </w:tc>
        <w:tc>
          <w:tcPr>
            <w:tcW w:w="7740" w:type="dxa"/>
          </w:tcPr>
          <w:p w:rsidR="00DC1759" w:rsidRPr="006C0079" w:rsidRDefault="00330204" w:rsidP="00547C04">
            <w:pPr>
              <w:pStyle w:val="BlockText"/>
            </w:pPr>
            <w:r w:rsidRPr="006C0079">
              <w:t>In any case</w:t>
            </w:r>
            <w:r w:rsidR="00DC1759" w:rsidRPr="006C0079">
              <w:t xml:space="preserve"> </w:t>
            </w:r>
            <w:r w:rsidRPr="006C0079">
              <w:t xml:space="preserve">where an examination is needed and </w:t>
            </w:r>
            <w:r w:rsidR="00DC1759" w:rsidRPr="006C0079">
              <w:t xml:space="preserve">the claims folder contains </w:t>
            </w:r>
            <w:r w:rsidR="00DC1759" w:rsidRPr="006C0079">
              <w:rPr>
                <w:i/>
              </w:rPr>
              <w:t>VA Form 20-0344</w:t>
            </w:r>
            <w:r w:rsidR="00DC1759" w:rsidRPr="006C0079">
              <w:t>,</w:t>
            </w:r>
            <w:r w:rsidR="00DC1759" w:rsidRPr="006C0079">
              <w:rPr>
                <w:i/>
              </w:rPr>
              <w:t xml:space="preserve"> Annual Certification of </w:t>
            </w:r>
            <w:r w:rsidR="00F223E5" w:rsidRPr="006C0079">
              <w:rPr>
                <w:i/>
              </w:rPr>
              <w:t>Veteran</w:t>
            </w:r>
            <w:r w:rsidR="00DC1759" w:rsidRPr="006C0079">
              <w:rPr>
                <w:i/>
              </w:rPr>
              <w:t xml:space="preserve"> Status and </w:t>
            </w:r>
            <w:r w:rsidR="00F223E5" w:rsidRPr="006C0079">
              <w:rPr>
                <w:i/>
              </w:rPr>
              <w:t>Veteran</w:t>
            </w:r>
            <w:r w:rsidR="00DC1759" w:rsidRPr="006C0079">
              <w:rPr>
                <w:i/>
              </w:rPr>
              <w:t xml:space="preserve"> Relatives,</w:t>
            </w:r>
            <w:r w:rsidR="00DC1759" w:rsidRPr="006C0079">
              <w:t xml:space="preserve"> or there is a “VA Employee” flash on the outside of the claims folder</w:t>
            </w:r>
            <w:r w:rsidRPr="006C0079">
              <w:t>,</w:t>
            </w:r>
            <w:r w:rsidR="00547C04" w:rsidRPr="006C0079">
              <w:t xml:space="preserve"> </w:t>
            </w:r>
            <w:r w:rsidRPr="006C0079">
              <w:t>refer to the following table for appropriate action.</w:t>
            </w:r>
          </w:p>
        </w:tc>
      </w:tr>
    </w:tbl>
    <w:p w:rsidR="00BB096F" w:rsidRPr="006C0079" w:rsidRDefault="00BB096F" w:rsidP="00BB096F"/>
    <w:tbl>
      <w:tblPr>
        <w:tblW w:w="7600" w:type="dxa"/>
        <w:tblInd w:w="1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3800"/>
      </w:tblGrid>
      <w:tr w:rsidR="00BB096F" w:rsidRPr="006C0079" w:rsidTr="00BB096F">
        <w:tc>
          <w:tcPr>
            <w:tcW w:w="2500" w:type="pct"/>
            <w:shd w:val="clear" w:color="auto" w:fill="auto"/>
          </w:tcPr>
          <w:p w:rsidR="00BB096F" w:rsidRPr="006C0079" w:rsidRDefault="00DC15C4" w:rsidP="00F2374D">
            <w:pPr>
              <w:pStyle w:val="TableHeaderText"/>
              <w:jc w:val="left"/>
            </w:pPr>
            <w:r w:rsidRPr="006C0079">
              <w:t xml:space="preserve">If </w:t>
            </w:r>
            <w:r w:rsidR="00F2374D" w:rsidRPr="006C0079">
              <w:t xml:space="preserve">examination by a contract facility </w:t>
            </w:r>
            <w:r w:rsidR="00FB44E1" w:rsidRPr="006C0079">
              <w:t>is</w:t>
            </w:r>
            <w:r w:rsidR="00122D1C" w:rsidRPr="006C0079">
              <w:t xml:space="preserve"> </w:t>
            </w:r>
            <w:r w:rsidRPr="006C0079">
              <w:t>…</w:t>
            </w:r>
          </w:p>
        </w:tc>
        <w:tc>
          <w:tcPr>
            <w:tcW w:w="2500" w:type="pct"/>
            <w:shd w:val="clear" w:color="auto" w:fill="auto"/>
          </w:tcPr>
          <w:p w:rsidR="00BB096F" w:rsidRPr="006C0079" w:rsidRDefault="00DC15C4" w:rsidP="00416C86">
            <w:pPr>
              <w:pStyle w:val="TableHeaderText"/>
              <w:jc w:val="left"/>
            </w:pPr>
            <w:r w:rsidRPr="006C0079">
              <w:t xml:space="preserve">Then </w:t>
            </w:r>
            <w:r w:rsidR="00FB44E1" w:rsidRPr="006C0079">
              <w:t xml:space="preserve">clearly note </w:t>
            </w:r>
            <w:r w:rsidR="00416C86" w:rsidRPr="006C0079">
              <w:t xml:space="preserve">on the examination request </w:t>
            </w:r>
            <w:r w:rsidR="00FB44E1" w:rsidRPr="006C0079">
              <w:t>that the Veteran is an employee</w:t>
            </w:r>
            <w:r w:rsidR="00D7085C" w:rsidRPr="006C0079">
              <w:t>,</w:t>
            </w:r>
            <w:r w:rsidR="00FB44E1" w:rsidRPr="006C0079">
              <w:t xml:space="preserve"> and</w:t>
            </w:r>
            <w:r w:rsidR="00BB096F" w:rsidRPr="006C0079">
              <w:t xml:space="preserve"> </w:t>
            </w:r>
            <w:r w:rsidR="00D7085C" w:rsidRPr="006C0079">
              <w:t>schedule the examination at the nearest</w:t>
            </w:r>
            <w:r w:rsidR="00122D1C" w:rsidRPr="006C0079">
              <w:t xml:space="preserve"> </w:t>
            </w:r>
            <w:r w:rsidRPr="006C0079">
              <w:t>...</w:t>
            </w:r>
          </w:p>
        </w:tc>
      </w:tr>
      <w:tr w:rsidR="00BB096F" w:rsidRPr="006C0079" w:rsidTr="00BB096F">
        <w:tc>
          <w:tcPr>
            <w:tcW w:w="2500" w:type="pct"/>
            <w:shd w:val="clear" w:color="auto" w:fill="auto"/>
          </w:tcPr>
          <w:p w:rsidR="00BB096F" w:rsidRPr="006C0079" w:rsidRDefault="00FB44E1" w:rsidP="00FB44E1">
            <w:pPr>
              <w:pStyle w:val="TableText"/>
            </w:pPr>
            <w:r w:rsidRPr="006C0079">
              <w:lastRenderedPageBreak/>
              <w:t>available</w:t>
            </w:r>
          </w:p>
        </w:tc>
        <w:tc>
          <w:tcPr>
            <w:tcW w:w="2500" w:type="pct"/>
            <w:shd w:val="clear" w:color="auto" w:fill="auto"/>
          </w:tcPr>
          <w:p w:rsidR="00BB096F" w:rsidRPr="006C0079" w:rsidRDefault="004167AE" w:rsidP="00DC15C4">
            <w:pPr>
              <w:pStyle w:val="BulletText1"/>
              <w:numPr>
                <w:ilvl w:val="0"/>
                <w:numId w:val="0"/>
              </w:numPr>
            </w:pPr>
            <w:proofErr w:type="gramStart"/>
            <w:r w:rsidRPr="006C0079">
              <w:t>contract</w:t>
            </w:r>
            <w:proofErr w:type="gramEnd"/>
            <w:r w:rsidRPr="006C0079">
              <w:t xml:space="preserve"> </w:t>
            </w:r>
            <w:r w:rsidR="00DC15C4" w:rsidRPr="006C0079">
              <w:t xml:space="preserve">facility </w:t>
            </w:r>
            <w:r w:rsidR="00AD67AA" w:rsidRPr="006C0079">
              <w:t xml:space="preserve">that </w:t>
            </w:r>
            <w:r w:rsidR="00AD67AA" w:rsidRPr="006C0079">
              <w:rPr>
                <w:b/>
                <w:i/>
              </w:rPr>
              <w:t>does not</w:t>
            </w:r>
            <w:r w:rsidR="00AD67AA" w:rsidRPr="006C0079">
              <w:t xml:space="preserve"> employ the Veteran.</w:t>
            </w:r>
          </w:p>
        </w:tc>
      </w:tr>
      <w:tr w:rsidR="00BB096F" w:rsidRPr="006C0079" w:rsidTr="00BB096F">
        <w:tc>
          <w:tcPr>
            <w:tcW w:w="2500" w:type="pct"/>
            <w:shd w:val="clear" w:color="auto" w:fill="auto"/>
          </w:tcPr>
          <w:p w:rsidR="00BB096F" w:rsidRPr="006C0079" w:rsidRDefault="00FB44E1" w:rsidP="00FB44E1">
            <w:pPr>
              <w:pStyle w:val="TableText"/>
            </w:pPr>
            <w:r w:rsidRPr="006C0079">
              <w:t>not available</w:t>
            </w:r>
          </w:p>
        </w:tc>
        <w:tc>
          <w:tcPr>
            <w:tcW w:w="2500" w:type="pct"/>
            <w:shd w:val="clear" w:color="auto" w:fill="auto"/>
          </w:tcPr>
          <w:p w:rsidR="00BB096F" w:rsidRPr="006C0079" w:rsidRDefault="00D7085C" w:rsidP="00D7085C">
            <w:pPr>
              <w:pStyle w:val="TableText"/>
            </w:pPr>
            <w:proofErr w:type="gramStart"/>
            <w:r w:rsidRPr="006C0079">
              <w:t xml:space="preserve">VA facility that </w:t>
            </w:r>
            <w:r w:rsidRPr="006C0079">
              <w:rPr>
                <w:b/>
                <w:i/>
              </w:rPr>
              <w:t>does not</w:t>
            </w:r>
            <w:r w:rsidRPr="006C0079">
              <w:t xml:space="preserve"> employ the Veteran</w:t>
            </w:r>
            <w:r w:rsidR="00AD67AA" w:rsidRPr="006C0079">
              <w:t>.</w:t>
            </w:r>
            <w:proofErr w:type="gramEnd"/>
          </w:p>
        </w:tc>
      </w:tr>
    </w:tbl>
    <w:p w:rsidR="00DC1759" w:rsidRPr="006C0079" w:rsidRDefault="00DC1759" w:rsidP="00B44414"/>
    <w:tbl>
      <w:tblPr>
        <w:tblW w:w="7732" w:type="dxa"/>
        <w:tblInd w:w="1728" w:type="dxa"/>
        <w:tblLayout w:type="fixed"/>
        <w:tblLook w:val="0000" w:firstRow="0" w:lastRow="0" w:firstColumn="0" w:lastColumn="0" w:noHBand="0" w:noVBand="0"/>
      </w:tblPr>
      <w:tblGrid>
        <w:gridCol w:w="7732"/>
      </w:tblGrid>
      <w:tr w:rsidR="00B44414" w:rsidRPr="006C0079" w:rsidTr="00B44414">
        <w:tc>
          <w:tcPr>
            <w:tcW w:w="5000" w:type="pct"/>
            <w:shd w:val="clear" w:color="auto" w:fill="auto"/>
          </w:tcPr>
          <w:p w:rsidR="00AD67AA" w:rsidRPr="006C0079" w:rsidRDefault="00AD67AA" w:rsidP="00B44414">
            <w:pPr>
              <w:pStyle w:val="NoteText"/>
              <w:rPr>
                <w:b/>
                <w:i/>
              </w:rPr>
            </w:pPr>
            <w:r w:rsidRPr="006C0079">
              <w:rPr>
                <w:b/>
                <w:i/>
              </w:rPr>
              <w:t>Important</w:t>
            </w:r>
            <w:r w:rsidRPr="006C0079">
              <w:t xml:space="preserve">:  </w:t>
            </w:r>
            <w:r w:rsidR="00DC15C4" w:rsidRPr="006C0079">
              <w:t xml:space="preserve">Make every attempt to avoid a conflict of interest when scheduling the examinations of VA employees.  </w:t>
            </w:r>
            <w:r w:rsidRPr="006C0079">
              <w:t xml:space="preserve">If the need for an exception arises, follow the guidance in </w:t>
            </w:r>
            <w:proofErr w:type="spellStart"/>
            <w:r w:rsidRPr="006C0079">
              <w:t>M21</w:t>
            </w:r>
            <w:proofErr w:type="spellEnd"/>
            <w:r w:rsidRPr="006C0079">
              <w:t xml:space="preserve">-1, Part III, Subpart iv, </w:t>
            </w:r>
            <w:proofErr w:type="spellStart"/>
            <w:r w:rsidRPr="006C0079">
              <w:t>3.B.1.c</w:t>
            </w:r>
            <w:proofErr w:type="spellEnd"/>
            <w:r w:rsidRPr="006C0079">
              <w:t>.</w:t>
            </w:r>
          </w:p>
          <w:p w:rsidR="00AD67AA" w:rsidRPr="006C0079" w:rsidRDefault="00AD67AA" w:rsidP="00B44414">
            <w:pPr>
              <w:pStyle w:val="NoteText"/>
              <w:rPr>
                <w:b/>
                <w:i/>
              </w:rPr>
            </w:pPr>
          </w:p>
          <w:p w:rsidR="00B44414" w:rsidRPr="006C0079" w:rsidRDefault="00B44414" w:rsidP="00B44414">
            <w:pPr>
              <w:pStyle w:val="NoteText"/>
            </w:pPr>
            <w:r w:rsidRPr="006C0079">
              <w:rPr>
                <w:b/>
                <w:i/>
              </w:rPr>
              <w:t>References</w:t>
            </w:r>
            <w:r w:rsidRPr="006C0079">
              <w:t xml:space="preserve">: </w:t>
            </w:r>
            <w:r w:rsidR="00A17023" w:rsidRPr="006C0079">
              <w:t>F</w:t>
            </w:r>
            <w:r w:rsidRPr="006C0079">
              <w:t>or more information on</w:t>
            </w:r>
          </w:p>
          <w:p w:rsidR="00B44414" w:rsidRPr="006C0079" w:rsidRDefault="00B44414" w:rsidP="00B44414">
            <w:pPr>
              <w:pStyle w:val="BulletText1"/>
              <w:rPr>
                <w:color w:val="auto"/>
              </w:rPr>
            </w:pPr>
            <w:r w:rsidRPr="006C0079">
              <w:t>handling claims from employees and their relatives</w:t>
            </w:r>
            <w:r w:rsidRPr="006C0079">
              <w:rPr>
                <w:color w:val="auto"/>
              </w:rPr>
              <w:t xml:space="preserve">, </w:t>
            </w:r>
            <w:r w:rsidR="00A17023" w:rsidRPr="006C0079">
              <w:rPr>
                <w:rStyle w:val="Hyperlink"/>
                <w:color w:val="auto"/>
                <w:u w:val="none"/>
              </w:rPr>
              <w:t xml:space="preserve">see </w:t>
            </w:r>
            <w:proofErr w:type="spellStart"/>
            <w:r w:rsidR="00F93585" w:rsidRPr="006C0079">
              <w:rPr>
                <w:color w:val="auto"/>
              </w:rPr>
              <w:t>M21</w:t>
            </w:r>
            <w:proofErr w:type="spellEnd"/>
            <w:r w:rsidR="00F93585" w:rsidRPr="006C0079">
              <w:rPr>
                <w:color w:val="auto"/>
              </w:rPr>
              <w:t xml:space="preserve">-1, Part III, Subpart ii, </w:t>
            </w:r>
            <w:proofErr w:type="spellStart"/>
            <w:r w:rsidR="00F93585" w:rsidRPr="006C0079">
              <w:rPr>
                <w:color w:val="auto"/>
              </w:rPr>
              <w:t>1.C.5</w:t>
            </w:r>
            <w:proofErr w:type="spellEnd"/>
            <w:r w:rsidR="008B1F92" w:rsidRPr="006C0079">
              <w:rPr>
                <w:rStyle w:val="Hyperlink"/>
                <w:color w:val="auto"/>
                <w:u w:val="none"/>
              </w:rPr>
              <w:t>, and</w:t>
            </w:r>
          </w:p>
          <w:p w:rsidR="00FE3A46" w:rsidRPr="006C0079" w:rsidRDefault="00B44414" w:rsidP="00617350">
            <w:pPr>
              <w:pStyle w:val="BulletText1"/>
            </w:pPr>
            <w:proofErr w:type="gramStart"/>
            <w:r w:rsidRPr="006C0079">
              <w:t>temporary</w:t>
            </w:r>
            <w:proofErr w:type="gramEnd"/>
            <w:r w:rsidRPr="006C0079">
              <w:t xml:space="preserve"> transfer of a claims folder to the employing RO for an examination, see</w:t>
            </w:r>
            <w:r w:rsidR="00277187" w:rsidRPr="006C0079">
              <w:rPr>
                <w:rStyle w:val="Hyperlink"/>
                <w:u w:val="none"/>
              </w:rPr>
              <w:t xml:space="preserve"> </w:t>
            </w:r>
            <w:proofErr w:type="spellStart"/>
            <w:r w:rsidR="00D26629" w:rsidRPr="006C0079">
              <w:rPr>
                <w:rStyle w:val="Hyperlink"/>
                <w:color w:val="auto"/>
                <w:u w:val="none"/>
              </w:rPr>
              <w:t>M21</w:t>
            </w:r>
            <w:proofErr w:type="spellEnd"/>
            <w:r w:rsidR="00D26629" w:rsidRPr="006C0079">
              <w:rPr>
                <w:rStyle w:val="Hyperlink"/>
                <w:color w:val="auto"/>
                <w:u w:val="none"/>
              </w:rPr>
              <w:t>-1, Pa</w:t>
            </w:r>
            <w:r w:rsidR="00782C3F" w:rsidRPr="006C0079">
              <w:rPr>
                <w:rStyle w:val="Hyperlink"/>
                <w:color w:val="auto"/>
                <w:u w:val="none"/>
              </w:rPr>
              <w:t xml:space="preserve">rt III, Subpart ii, </w:t>
            </w:r>
            <w:proofErr w:type="spellStart"/>
            <w:r w:rsidR="00782C3F" w:rsidRPr="006C0079">
              <w:rPr>
                <w:rStyle w:val="Hyperlink"/>
                <w:color w:val="auto"/>
                <w:u w:val="none"/>
              </w:rPr>
              <w:t>4.A.3.f</w:t>
            </w:r>
            <w:proofErr w:type="spellEnd"/>
            <w:r w:rsidR="00D26629" w:rsidRPr="006C0079">
              <w:rPr>
                <w:rStyle w:val="Hyperlink"/>
                <w:color w:val="auto"/>
                <w:u w:val="none"/>
              </w:rPr>
              <w:t>.</w:t>
            </w:r>
          </w:p>
        </w:tc>
      </w:tr>
    </w:tbl>
    <w:p w:rsidR="00B44414" w:rsidRPr="006C0079" w:rsidRDefault="00B44414" w:rsidP="00B44414">
      <w:pPr>
        <w:pStyle w:val="BlockLin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740"/>
      </w:tblGrid>
      <w:tr w:rsidR="00EF18A5" w:rsidRPr="006C0079" w:rsidTr="00122D1C">
        <w:tc>
          <w:tcPr>
            <w:tcW w:w="1728" w:type="dxa"/>
            <w:shd w:val="clear" w:color="auto" w:fill="auto"/>
          </w:tcPr>
          <w:p w:rsidR="00EF18A5" w:rsidRPr="006C0079" w:rsidRDefault="00EF18A5" w:rsidP="00781F85">
            <w:pPr>
              <w:rPr>
                <w:b/>
                <w:sz w:val="22"/>
                <w:szCs w:val="22"/>
              </w:rPr>
            </w:pPr>
            <w:r w:rsidRPr="006C0079">
              <w:rPr>
                <w:b/>
                <w:sz w:val="22"/>
                <w:szCs w:val="22"/>
              </w:rPr>
              <w:t xml:space="preserve">c.  </w:t>
            </w:r>
            <w:r w:rsidR="00122D1C" w:rsidRPr="006C0079">
              <w:rPr>
                <w:b/>
                <w:sz w:val="22"/>
                <w:szCs w:val="22"/>
              </w:rPr>
              <w:t xml:space="preserve">Exceptions for </w:t>
            </w:r>
            <w:r w:rsidRPr="006C0079">
              <w:rPr>
                <w:b/>
                <w:sz w:val="22"/>
                <w:szCs w:val="22"/>
              </w:rPr>
              <w:t>Employees Who Work at An Examining Facility</w:t>
            </w:r>
            <w:r w:rsidR="00122D1C" w:rsidRPr="006C007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shd w:val="clear" w:color="auto" w:fill="auto"/>
          </w:tcPr>
          <w:p w:rsidR="00EF18A5" w:rsidRPr="006C0079" w:rsidRDefault="00EF18A5" w:rsidP="00EF18A5">
            <w:r w:rsidRPr="006C0079">
              <w:t xml:space="preserve">If an employee works at an examining facility and requires an examination in connection with a pending claim, request the examination from a different facility, as described in </w:t>
            </w:r>
            <w:proofErr w:type="spellStart"/>
            <w:r w:rsidRPr="006C0079">
              <w:t>M21</w:t>
            </w:r>
            <w:proofErr w:type="spellEnd"/>
            <w:r w:rsidRPr="006C0079">
              <w:t xml:space="preserve">-1, Part III, Subpart iv, </w:t>
            </w:r>
            <w:proofErr w:type="spellStart"/>
            <w:r w:rsidRPr="006C0079">
              <w:t>3.B.1.b</w:t>
            </w:r>
            <w:proofErr w:type="spellEnd"/>
            <w:r w:rsidRPr="006C0079">
              <w:t xml:space="preserve">,  </w:t>
            </w:r>
            <w:r w:rsidRPr="006C0079">
              <w:rPr>
                <w:b/>
                <w:i/>
              </w:rPr>
              <w:t>unless</w:t>
            </w:r>
            <w:r w:rsidRPr="006C0079">
              <w:t xml:space="preserve"> the </w:t>
            </w:r>
            <w:r w:rsidR="00DC15C4" w:rsidRPr="006C0079">
              <w:t>Veteran Service Center Manager (</w:t>
            </w:r>
            <w:proofErr w:type="spellStart"/>
            <w:r w:rsidRPr="006C0079">
              <w:t>VSCM</w:t>
            </w:r>
            <w:proofErr w:type="spellEnd"/>
            <w:r w:rsidR="00DC15C4" w:rsidRPr="006C0079">
              <w:t>)</w:t>
            </w:r>
            <w:r w:rsidRPr="006C0079">
              <w:t xml:space="preserve"> determines an examination at the employing facility will not affect its integrity.</w:t>
            </w:r>
          </w:p>
          <w:p w:rsidR="00EF18A5" w:rsidRPr="006C0079" w:rsidRDefault="00EF18A5" w:rsidP="00EF18A5"/>
          <w:p w:rsidR="00122D1C" w:rsidRPr="006C0079" w:rsidRDefault="00EF18A5" w:rsidP="00EF18A5">
            <w:r w:rsidRPr="006C0079">
              <w:t xml:space="preserve">When a </w:t>
            </w:r>
            <w:proofErr w:type="spellStart"/>
            <w:r w:rsidRPr="006C0079">
              <w:t>VSCM</w:t>
            </w:r>
            <w:proofErr w:type="spellEnd"/>
            <w:r w:rsidRPr="006C0079">
              <w:t xml:space="preserve"> chooses to allow an examination of an employee at the same facility whe</w:t>
            </w:r>
            <w:r w:rsidR="00122D1C" w:rsidRPr="006C0079">
              <w:t xml:space="preserve">re he/she works, the </w:t>
            </w:r>
            <w:proofErr w:type="spellStart"/>
            <w:r w:rsidR="00122D1C" w:rsidRPr="006C0079">
              <w:t>VSCM</w:t>
            </w:r>
            <w:proofErr w:type="spellEnd"/>
            <w:r w:rsidR="00122D1C" w:rsidRPr="006C0079">
              <w:t xml:space="preserve"> must </w:t>
            </w:r>
          </w:p>
          <w:p w:rsidR="00122D1C" w:rsidRPr="006C0079" w:rsidRDefault="00122D1C" w:rsidP="00EF18A5"/>
          <w:p w:rsidR="00122D1C" w:rsidRPr="006C0079" w:rsidRDefault="00EF18A5" w:rsidP="00122D1C">
            <w:pPr>
              <w:pStyle w:val="ListParagraph"/>
              <w:numPr>
                <w:ilvl w:val="0"/>
                <w:numId w:val="27"/>
              </w:numPr>
              <w:ind w:left="158" w:hanging="187"/>
            </w:pPr>
            <w:r w:rsidRPr="006C0079">
              <w:t>prepare a signed memorandum explaining the reason(s) for allowing the examination, and</w:t>
            </w:r>
          </w:p>
          <w:p w:rsidR="00EF18A5" w:rsidRPr="006C0079" w:rsidRDefault="00EF18A5" w:rsidP="00122D1C">
            <w:pPr>
              <w:pStyle w:val="ListParagraph"/>
              <w:numPr>
                <w:ilvl w:val="0"/>
                <w:numId w:val="27"/>
              </w:numPr>
              <w:ind w:left="158" w:hanging="187"/>
            </w:pPr>
            <w:proofErr w:type="gramStart"/>
            <w:r w:rsidRPr="006C0079">
              <w:t>file</w:t>
            </w:r>
            <w:proofErr w:type="gramEnd"/>
            <w:r w:rsidRPr="006C0079">
              <w:t xml:space="preserve"> the memorandum in the claims folder. </w:t>
            </w:r>
          </w:p>
          <w:p w:rsidR="00EF18A5" w:rsidRPr="006C0079" w:rsidRDefault="00EF18A5" w:rsidP="00EF18A5"/>
          <w:p w:rsidR="00122D1C" w:rsidRPr="006C0079" w:rsidRDefault="00EF18A5" w:rsidP="00EF18A5">
            <w:r w:rsidRPr="006C0079">
              <w:rPr>
                <w:b/>
                <w:i/>
              </w:rPr>
              <w:t>Important</w:t>
            </w:r>
            <w:r w:rsidRPr="006C0079">
              <w:t>:  An examining facility will reject an examination request if,</w:t>
            </w:r>
            <w:r w:rsidR="00122D1C" w:rsidRPr="006C0079">
              <w:t xml:space="preserve"> while processing the request,</w:t>
            </w:r>
          </w:p>
          <w:p w:rsidR="00122D1C" w:rsidRPr="006C0079" w:rsidRDefault="00EF18A5" w:rsidP="00122D1C">
            <w:pPr>
              <w:pStyle w:val="ListParagraph"/>
              <w:numPr>
                <w:ilvl w:val="0"/>
                <w:numId w:val="28"/>
              </w:numPr>
              <w:ind w:left="158" w:hanging="187"/>
            </w:pPr>
            <w:r w:rsidRPr="006C0079">
              <w:t>it recognizes the Veteran as an employee of the facility, and</w:t>
            </w:r>
          </w:p>
          <w:p w:rsidR="00122D1C" w:rsidRPr="006C0079" w:rsidRDefault="00EF18A5" w:rsidP="00122D1C">
            <w:pPr>
              <w:pStyle w:val="ListParagraph"/>
              <w:numPr>
                <w:ilvl w:val="0"/>
                <w:numId w:val="28"/>
              </w:numPr>
              <w:ind w:left="158" w:hanging="187"/>
            </w:pPr>
            <w:r w:rsidRPr="006C0079">
              <w:t xml:space="preserve">there is no indication in the claims folder (if provided) or the request that the </w:t>
            </w:r>
            <w:proofErr w:type="spellStart"/>
            <w:r w:rsidRPr="006C0079">
              <w:t>VSCM</w:t>
            </w:r>
            <w:proofErr w:type="spellEnd"/>
            <w:r w:rsidRPr="006C0079">
              <w:t xml:space="preserve"> has</w:t>
            </w:r>
          </w:p>
          <w:p w:rsidR="00122D1C" w:rsidRPr="006C0079" w:rsidRDefault="00EF18A5" w:rsidP="00122D1C">
            <w:pPr>
              <w:pStyle w:val="ListParagraph"/>
              <w:numPr>
                <w:ilvl w:val="0"/>
                <w:numId w:val="29"/>
              </w:numPr>
              <w:ind w:left="346" w:hanging="187"/>
            </w:pPr>
            <w:r w:rsidRPr="006C0079">
              <w:t>acknowledged the employee-employer relationship, but</w:t>
            </w:r>
          </w:p>
          <w:p w:rsidR="00EF18A5" w:rsidRPr="006C0079" w:rsidRDefault="00EF18A5" w:rsidP="00122D1C">
            <w:pPr>
              <w:pStyle w:val="ListParagraph"/>
              <w:numPr>
                <w:ilvl w:val="0"/>
                <w:numId w:val="29"/>
              </w:numPr>
              <w:ind w:left="346" w:hanging="187"/>
            </w:pPr>
            <w:proofErr w:type="gramStart"/>
            <w:r w:rsidRPr="006C0079">
              <w:t>approved</w:t>
            </w:r>
            <w:proofErr w:type="gramEnd"/>
            <w:r w:rsidRPr="006C0079">
              <w:t xml:space="preserve"> examination of the employee at the facility.</w:t>
            </w:r>
          </w:p>
        </w:tc>
      </w:tr>
    </w:tbl>
    <w:p w:rsidR="00EF18A5" w:rsidRDefault="00EF18A5" w:rsidP="00EF18A5">
      <w:pPr>
        <w:tabs>
          <w:tab w:val="left" w:pos="9360"/>
        </w:tabs>
        <w:ind w:left="1714"/>
        <w:rPr>
          <w:u w:val="single"/>
        </w:rPr>
      </w:pPr>
      <w:r w:rsidRPr="006C0079">
        <w:rPr>
          <w:u w:val="single"/>
        </w:rPr>
        <w:tab/>
      </w:r>
    </w:p>
    <w:p w:rsidR="006C0079" w:rsidRPr="006C0079" w:rsidRDefault="006C0079" w:rsidP="00EF18A5">
      <w:pPr>
        <w:tabs>
          <w:tab w:val="left" w:pos="9360"/>
        </w:tabs>
        <w:ind w:left="1714"/>
        <w:rPr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 w:rsidTr="00FF3E16">
        <w:tc>
          <w:tcPr>
            <w:tcW w:w="1728" w:type="dxa"/>
          </w:tcPr>
          <w:p w:rsidR="00DC1759" w:rsidRPr="006C0079" w:rsidRDefault="00EF18A5" w:rsidP="00811749">
            <w:pPr>
              <w:pStyle w:val="Heading5"/>
            </w:pPr>
            <w:bookmarkStart w:id="4" w:name="_c.__Scheduling"/>
            <w:bookmarkEnd w:id="4"/>
            <w:proofErr w:type="gramStart"/>
            <w:r w:rsidRPr="006C0079">
              <w:t>d</w:t>
            </w:r>
            <w:r w:rsidR="00DC1759" w:rsidRPr="006C0079">
              <w:t xml:space="preserve">.  </w:t>
            </w:r>
            <w:r w:rsidR="003E6A29" w:rsidRPr="006C0079">
              <w:t>Scheduling</w:t>
            </w:r>
            <w:proofErr w:type="gramEnd"/>
            <w:r w:rsidR="003E6A29" w:rsidRPr="006C0079">
              <w:t xml:space="preserve"> Examinations </w:t>
            </w:r>
            <w:r w:rsidR="00811749" w:rsidRPr="006C0079">
              <w:t xml:space="preserve">for Conditions Subject to </w:t>
            </w:r>
            <w:r w:rsidR="0092099D" w:rsidRPr="006C0079">
              <w:t xml:space="preserve">Temporary or </w:t>
            </w:r>
            <w:r w:rsidR="00811749" w:rsidRPr="006C0079">
              <w:t>Episodic</w:t>
            </w:r>
            <w:r w:rsidR="0092099D" w:rsidRPr="006C0079">
              <w:t xml:space="preserve"> Improvement</w:t>
            </w:r>
          </w:p>
        </w:tc>
        <w:tc>
          <w:tcPr>
            <w:tcW w:w="7740" w:type="dxa"/>
          </w:tcPr>
          <w:p w:rsidR="00303017" w:rsidRPr="006C0079" w:rsidRDefault="00303017" w:rsidP="00303017">
            <w:pPr>
              <w:pStyle w:val="BlockText"/>
            </w:pPr>
            <w:r w:rsidRPr="006C0079">
              <w:t xml:space="preserve">Schedule the examination of disabilities subject to temporary or episodic improvement, such as skin conditions and other disabilities listed in </w:t>
            </w:r>
            <w:hyperlink r:id="rId12" w:history="1">
              <w:r w:rsidRPr="006C0079">
                <w:rPr>
                  <w:rStyle w:val="Hyperlink"/>
                </w:rPr>
                <w:t xml:space="preserve">38 </w:t>
              </w:r>
              <w:proofErr w:type="spellStart"/>
              <w:r w:rsidRPr="006C0079">
                <w:rPr>
                  <w:rStyle w:val="Hyperlink"/>
                </w:rPr>
                <w:t>CFR</w:t>
              </w:r>
              <w:proofErr w:type="spellEnd"/>
              <w:r w:rsidRPr="006C0079">
                <w:rPr>
                  <w:rStyle w:val="Hyperlink"/>
                </w:rPr>
                <w:t xml:space="preserve"> 3.344</w:t>
              </w:r>
            </w:hyperlink>
            <w:r w:rsidRPr="006C0079">
              <w:t>, when the conditions are most likely to show representative or claimed symptoms.</w:t>
            </w:r>
          </w:p>
          <w:p w:rsidR="00303017" w:rsidRPr="006C0079" w:rsidRDefault="00303017" w:rsidP="00303017">
            <w:pPr>
              <w:pStyle w:val="BlockText"/>
            </w:pPr>
          </w:p>
          <w:p w:rsidR="00303017" w:rsidRPr="006C0079" w:rsidRDefault="00303017" w:rsidP="00303017">
            <w:pPr>
              <w:pStyle w:val="BlockText"/>
            </w:pPr>
            <w:r w:rsidRPr="006C0079">
              <w:t>If there is specific competent information that a disability is worse at predictable times, schedule the examination based on that information.</w:t>
            </w:r>
          </w:p>
          <w:p w:rsidR="00303017" w:rsidRPr="006C0079" w:rsidRDefault="00303017" w:rsidP="00F62248">
            <w:pPr>
              <w:pStyle w:val="BlockText"/>
            </w:pPr>
          </w:p>
          <w:p w:rsidR="00DC1759" w:rsidRPr="006C0079" w:rsidRDefault="00DC1759">
            <w:pPr>
              <w:pStyle w:val="BlockText"/>
            </w:pPr>
            <w:r w:rsidRPr="006C0079">
              <w:rPr>
                <w:b/>
                <w:i/>
              </w:rPr>
              <w:t>Examples</w:t>
            </w:r>
            <w:r w:rsidRPr="006C0079">
              <w:t xml:space="preserve">:  </w:t>
            </w:r>
          </w:p>
          <w:p w:rsidR="00DC1759" w:rsidRPr="006C0079" w:rsidRDefault="00DC1759">
            <w:pPr>
              <w:pStyle w:val="BulletText1"/>
            </w:pPr>
            <w:r w:rsidRPr="006C0079">
              <w:lastRenderedPageBreak/>
              <w:t xml:space="preserve">If a </w:t>
            </w:r>
            <w:r w:rsidR="00F223E5" w:rsidRPr="006C0079">
              <w:t>Veteran</w:t>
            </w:r>
            <w:r w:rsidRPr="006C0079">
              <w:t xml:space="preserve">’s symptoms become worse after work, the examining facility </w:t>
            </w:r>
            <w:proofErr w:type="gramStart"/>
            <w:r w:rsidRPr="006C0079">
              <w:t>should be asked</w:t>
            </w:r>
            <w:proofErr w:type="gramEnd"/>
            <w:r w:rsidRPr="006C0079">
              <w:t xml:space="preserve"> to examine the </w:t>
            </w:r>
            <w:r w:rsidR="00F223E5" w:rsidRPr="006C0079">
              <w:t>Veteran</w:t>
            </w:r>
            <w:r w:rsidRPr="006C0079">
              <w:t xml:space="preserve"> at the end of the day.</w:t>
            </w:r>
          </w:p>
          <w:p w:rsidR="001B4C59" w:rsidRPr="006C0079" w:rsidRDefault="00DC1759" w:rsidP="001B4C59">
            <w:pPr>
              <w:pStyle w:val="BulletText1"/>
            </w:pPr>
            <w:r w:rsidRPr="006C0079">
              <w:t xml:space="preserve">If a disability is subject to periodic flare-ups, and the record does not contain </w:t>
            </w:r>
            <w:r w:rsidR="00CC5E32" w:rsidRPr="006C0079">
              <w:t xml:space="preserve">specific competent </w:t>
            </w:r>
            <w:r w:rsidRPr="006C0079">
              <w:t xml:space="preserve">information </w:t>
            </w:r>
            <w:r w:rsidR="00CC5E32" w:rsidRPr="006C0079">
              <w:t xml:space="preserve">on when a </w:t>
            </w:r>
            <w:r w:rsidR="00BA4DBF" w:rsidRPr="006C0079">
              <w:t>flare-up</w:t>
            </w:r>
            <w:r w:rsidR="00CC5E32" w:rsidRPr="006C0079">
              <w:t xml:space="preserve"> </w:t>
            </w:r>
            <w:proofErr w:type="gramStart"/>
            <w:r w:rsidR="00CC5E32" w:rsidRPr="006C0079">
              <w:t>can be observed</w:t>
            </w:r>
            <w:proofErr w:type="gramEnd"/>
            <w:r w:rsidRPr="006C0079">
              <w:t xml:space="preserve">, the </w:t>
            </w:r>
            <w:r w:rsidR="00F223E5" w:rsidRPr="006C0079">
              <w:t>Veteran</w:t>
            </w:r>
            <w:r w:rsidRPr="006C0079">
              <w:t xml:space="preserve"> can provide the information about the peak periods of the disability and contact the RO when the condition worsens.  (</w:t>
            </w:r>
            <w:r w:rsidRPr="006C0079">
              <w:rPr>
                <w:b/>
                <w:i/>
              </w:rPr>
              <w:t>Note</w:t>
            </w:r>
            <w:r w:rsidRPr="006C0079">
              <w:t xml:space="preserve">:  If the </w:t>
            </w:r>
            <w:r w:rsidR="00F223E5" w:rsidRPr="006C0079">
              <w:t>Veteran</w:t>
            </w:r>
            <w:r w:rsidRPr="006C0079">
              <w:t xml:space="preserve"> received treatment for the worsened condition, he/she </w:t>
            </w:r>
            <w:proofErr w:type="gramStart"/>
            <w:r w:rsidRPr="006C0079">
              <w:t>should be asked</w:t>
            </w:r>
            <w:proofErr w:type="gramEnd"/>
            <w:r w:rsidRPr="006C0079">
              <w:t xml:space="preserve"> to submit evidence of the treatment.)</w:t>
            </w:r>
          </w:p>
          <w:p w:rsidR="001B4C59" w:rsidRPr="006C0079" w:rsidRDefault="001B4C59" w:rsidP="001B4C59">
            <w:pPr>
              <w:pStyle w:val="BulletText1"/>
              <w:numPr>
                <w:ilvl w:val="0"/>
                <w:numId w:val="0"/>
              </w:numPr>
              <w:ind w:left="173"/>
            </w:pPr>
          </w:p>
          <w:p w:rsidR="001B4C59" w:rsidRPr="006C0079" w:rsidRDefault="00CC5E32" w:rsidP="001B4C59">
            <w:pPr>
              <w:pStyle w:val="BulletText1"/>
              <w:numPr>
                <w:ilvl w:val="0"/>
                <w:numId w:val="0"/>
              </w:numPr>
            </w:pPr>
            <w:r w:rsidRPr="006C0079">
              <w:rPr>
                <w:b/>
                <w:i/>
              </w:rPr>
              <w:t>Important</w:t>
            </w:r>
            <w:r w:rsidRPr="006C0079">
              <w:t xml:space="preserve">:  </w:t>
            </w:r>
            <w:r w:rsidR="006C2FAA" w:rsidRPr="006C0079">
              <w:t>Under</w:t>
            </w:r>
            <w:r w:rsidRPr="006C0079">
              <w:t xml:space="preserve"> </w:t>
            </w:r>
            <w:r w:rsidR="006C2FAA" w:rsidRPr="006C0079">
              <w:t xml:space="preserve">the </w:t>
            </w:r>
            <w:r w:rsidRPr="006C0079">
              <w:t>Acceptable Clinical Evidence (ACE) process</w:t>
            </w:r>
            <w:r w:rsidR="0029097A" w:rsidRPr="006C0079">
              <w:t>,</w:t>
            </w:r>
            <w:r w:rsidRPr="006C0079">
              <w:t xml:space="preserve"> </w:t>
            </w:r>
            <w:proofErr w:type="spellStart"/>
            <w:r w:rsidR="006C2FAA" w:rsidRPr="006C0079">
              <w:t>VHA</w:t>
            </w:r>
            <w:proofErr w:type="spellEnd"/>
            <w:r w:rsidR="006C2FAA" w:rsidRPr="006C0079">
              <w:t xml:space="preserve"> examiners may be able to complete a fully adequate Disability Benefits Questionnaire</w:t>
            </w:r>
            <w:r w:rsidR="006E0498" w:rsidRPr="006C0079">
              <w:t xml:space="preserve"> (</w:t>
            </w:r>
            <w:proofErr w:type="spellStart"/>
            <w:r w:rsidR="006E0498" w:rsidRPr="006C0079">
              <w:t>DBQ</w:t>
            </w:r>
            <w:proofErr w:type="spellEnd"/>
            <w:r w:rsidR="006E0498" w:rsidRPr="006C0079">
              <w:t>)</w:t>
            </w:r>
            <w:r w:rsidR="006C2FAA" w:rsidRPr="006C0079">
              <w:t xml:space="preserve"> capturing representative or claimed symptoms to include periods of exacerbation and improvement based on review of existing evidence and/or a telephone interview in lieu of an in-person clinical examination or testing.  </w:t>
            </w:r>
          </w:p>
          <w:p w:rsidR="001B4C59" w:rsidRPr="006C0079" w:rsidRDefault="001B4C59" w:rsidP="001B4C59">
            <w:pPr>
              <w:pStyle w:val="BlockText"/>
            </w:pPr>
          </w:p>
          <w:p w:rsidR="001B4C59" w:rsidRPr="006C0079" w:rsidRDefault="00DC1759" w:rsidP="001B4C59">
            <w:pPr>
              <w:pStyle w:val="BlockText"/>
            </w:pPr>
            <w:r w:rsidRPr="006C0079">
              <w:rPr>
                <w:b/>
                <w:i/>
              </w:rPr>
              <w:t>Reference</w:t>
            </w:r>
            <w:r w:rsidR="003E6A29" w:rsidRPr="006C0079">
              <w:rPr>
                <w:b/>
                <w:i/>
              </w:rPr>
              <w:t>s</w:t>
            </w:r>
            <w:r w:rsidRPr="006C0079">
              <w:t>:  For more information</w:t>
            </w:r>
            <w:r w:rsidR="001B4C59" w:rsidRPr="006C0079">
              <w:t xml:space="preserve"> on</w:t>
            </w:r>
          </w:p>
          <w:p w:rsidR="001B4C59" w:rsidRPr="006C0079" w:rsidRDefault="00DC1759" w:rsidP="001B4C59">
            <w:pPr>
              <w:pStyle w:val="ListParagraph"/>
              <w:numPr>
                <w:ilvl w:val="0"/>
                <w:numId w:val="38"/>
              </w:numPr>
              <w:ind w:left="158" w:hanging="187"/>
            </w:pPr>
            <w:r w:rsidRPr="006C0079">
              <w:t>submitting eviden</w:t>
            </w:r>
            <w:r w:rsidR="001B4C59" w:rsidRPr="006C0079">
              <w:t>ce of a worsened condition, see</w:t>
            </w:r>
          </w:p>
          <w:p w:rsidR="001B4C59" w:rsidRPr="006C0079" w:rsidRDefault="000E1956" w:rsidP="001B4C59">
            <w:pPr>
              <w:pStyle w:val="ListParagraph"/>
              <w:numPr>
                <w:ilvl w:val="0"/>
                <w:numId w:val="39"/>
              </w:numPr>
              <w:ind w:left="346" w:hanging="187"/>
            </w:pPr>
            <w:hyperlink r:id="rId13" w:anchor="bmb" w:history="1">
              <w:r w:rsidR="00DC1759" w:rsidRPr="006C0079">
                <w:rPr>
                  <w:rStyle w:val="Hyperlink"/>
                  <w:i/>
                  <w:shd w:val="clear" w:color="auto" w:fill="FFFFFF"/>
                </w:rPr>
                <w:t>Bowers v. Brown</w:t>
              </w:r>
            </w:hyperlink>
            <w:r w:rsidR="00DC1759" w:rsidRPr="006C0079">
              <w:rPr>
                <w:i/>
                <w:shd w:val="clear" w:color="auto" w:fill="FFFFFF"/>
              </w:rPr>
              <w:t>,</w:t>
            </w:r>
            <w:r w:rsidR="00DC1759" w:rsidRPr="006C0079">
              <w:rPr>
                <w:shd w:val="clear" w:color="auto" w:fill="FFFFFF"/>
              </w:rPr>
              <w:t xml:space="preserve"> 2 Vet</w:t>
            </w:r>
            <w:proofErr w:type="gramStart"/>
            <w:r w:rsidR="00DC1759" w:rsidRPr="006C0079">
              <w:rPr>
                <w:shd w:val="clear" w:color="auto" w:fill="FFFFFF"/>
              </w:rPr>
              <w:t xml:space="preserve">. </w:t>
            </w:r>
            <w:proofErr w:type="gramEnd"/>
            <w:r w:rsidR="00DC1759" w:rsidRPr="006C0079">
              <w:rPr>
                <w:shd w:val="clear" w:color="auto" w:fill="FFFFFF"/>
              </w:rPr>
              <w:t>App. 675, 676 (1992), and</w:t>
            </w:r>
          </w:p>
          <w:p w:rsidR="001B4C59" w:rsidRPr="006C0079" w:rsidRDefault="000E1956" w:rsidP="001B4C59">
            <w:pPr>
              <w:pStyle w:val="ListParagraph"/>
              <w:numPr>
                <w:ilvl w:val="0"/>
                <w:numId w:val="39"/>
              </w:numPr>
              <w:ind w:left="346" w:hanging="187"/>
            </w:pPr>
            <w:hyperlink r:id="rId14" w:anchor="bma" w:history="1">
              <w:proofErr w:type="spellStart"/>
              <w:r w:rsidR="00DC1759" w:rsidRPr="006C0079">
                <w:rPr>
                  <w:rStyle w:val="Hyperlink"/>
                  <w:i/>
                  <w:shd w:val="clear" w:color="auto" w:fill="FFFFFF"/>
                </w:rPr>
                <w:t>Ardison</w:t>
              </w:r>
              <w:proofErr w:type="spellEnd"/>
              <w:r w:rsidR="00DC1759" w:rsidRPr="006C0079">
                <w:rPr>
                  <w:rStyle w:val="Hyperlink"/>
                  <w:i/>
                  <w:shd w:val="clear" w:color="auto" w:fill="FFFFFF"/>
                </w:rPr>
                <w:t xml:space="preserve"> v. Brown</w:t>
              </w:r>
            </w:hyperlink>
            <w:r w:rsidR="00DC1759" w:rsidRPr="006C0079">
              <w:rPr>
                <w:i/>
                <w:shd w:val="clear" w:color="auto" w:fill="FFFFFF"/>
              </w:rPr>
              <w:t>,</w:t>
            </w:r>
            <w:r w:rsidR="006C2FAA" w:rsidRPr="006C0079">
              <w:rPr>
                <w:shd w:val="clear" w:color="auto" w:fill="FFFFFF"/>
              </w:rPr>
              <w:t xml:space="preserve"> 2 Vet</w:t>
            </w:r>
            <w:proofErr w:type="gramStart"/>
            <w:r w:rsidR="006C2FAA" w:rsidRPr="006C0079">
              <w:rPr>
                <w:shd w:val="clear" w:color="auto" w:fill="FFFFFF"/>
              </w:rPr>
              <w:t xml:space="preserve">. </w:t>
            </w:r>
            <w:proofErr w:type="gramEnd"/>
            <w:r w:rsidR="006C2FAA" w:rsidRPr="006C0079">
              <w:rPr>
                <w:shd w:val="clear" w:color="auto" w:fill="FFFFFF"/>
              </w:rPr>
              <w:t xml:space="preserve">App. 405 (1994), </w:t>
            </w:r>
            <w:r w:rsidR="001B4C59" w:rsidRPr="006C0079">
              <w:rPr>
                <w:shd w:val="clear" w:color="auto" w:fill="FFFFFF"/>
              </w:rPr>
              <w:t>and</w:t>
            </w:r>
          </w:p>
          <w:p w:rsidR="008164C1" w:rsidRPr="006C0079" w:rsidRDefault="001B4C59" w:rsidP="008164C1">
            <w:pPr>
              <w:pStyle w:val="ListParagraph"/>
              <w:numPr>
                <w:ilvl w:val="0"/>
                <w:numId w:val="41"/>
              </w:numPr>
              <w:ind w:left="158" w:hanging="187"/>
            </w:pPr>
            <w:r w:rsidRPr="006C0079">
              <w:rPr>
                <w:shd w:val="clear" w:color="auto" w:fill="FFFFFF"/>
              </w:rPr>
              <w:t xml:space="preserve">ACE process </w:t>
            </w:r>
            <w:proofErr w:type="gramStart"/>
            <w:r w:rsidRPr="006C0079">
              <w:rPr>
                <w:shd w:val="clear" w:color="auto" w:fill="FFFFFF"/>
              </w:rPr>
              <w:t>examinations,</w:t>
            </w:r>
            <w:proofErr w:type="gramEnd"/>
            <w:r w:rsidRPr="006C0079">
              <w:rPr>
                <w:shd w:val="clear" w:color="auto" w:fill="FFFFFF"/>
              </w:rPr>
              <w:t xml:space="preserve"> see </w:t>
            </w:r>
            <w:proofErr w:type="spellStart"/>
            <w:r w:rsidRPr="006C0079">
              <w:rPr>
                <w:shd w:val="clear" w:color="auto" w:fill="FFFFFF"/>
              </w:rPr>
              <w:t>M21</w:t>
            </w:r>
            <w:proofErr w:type="spellEnd"/>
            <w:r w:rsidRPr="006C0079">
              <w:rPr>
                <w:shd w:val="clear" w:color="auto" w:fill="FFFFFF"/>
              </w:rPr>
              <w:t xml:space="preserve">-1, Part III, </w:t>
            </w:r>
            <w:proofErr w:type="spellStart"/>
            <w:r w:rsidRPr="006C0079">
              <w:rPr>
                <w:shd w:val="clear" w:color="auto" w:fill="FFFFFF"/>
              </w:rPr>
              <w:t>Supart</w:t>
            </w:r>
            <w:proofErr w:type="spellEnd"/>
            <w:r w:rsidRPr="006C0079">
              <w:rPr>
                <w:shd w:val="clear" w:color="auto" w:fill="FFFFFF"/>
              </w:rPr>
              <w:t xml:space="preserve"> iv, </w:t>
            </w:r>
            <w:proofErr w:type="spellStart"/>
            <w:r w:rsidRPr="006C0079">
              <w:rPr>
                <w:shd w:val="clear" w:color="auto" w:fill="FFFFFF"/>
              </w:rPr>
              <w:t>3.A.1</w:t>
            </w:r>
            <w:proofErr w:type="spellEnd"/>
            <w:r w:rsidRPr="006C0079">
              <w:rPr>
                <w:shd w:val="clear" w:color="auto" w:fill="FFFFFF"/>
              </w:rPr>
              <w:t>.</w:t>
            </w:r>
          </w:p>
        </w:tc>
      </w:tr>
    </w:tbl>
    <w:p w:rsidR="00DC1759" w:rsidRPr="006C0079" w:rsidRDefault="00DC175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>
        <w:trPr>
          <w:cantSplit/>
        </w:trPr>
        <w:tc>
          <w:tcPr>
            <w:tcW w:w="1728" w:type="dxa"/>
          </w:tcPr>
          <w:p w:rsidR="00DC1759" w:rsidRPr="006C0079" w:rsidRDefault="00EF18A5" w:rsidP="00657A80">
            <w:pPr>
              <w:pStyle w:val="Heading5"/>
            </w:pPr>
            <w:bookmarkStart w:id="5" w:name="_d.__Notification"/>
            <w:bookmarkEnd w:id="5"/>
            <w:proofErr w:type="gramStart"/>
            <w:r w:rsidRPr="006C0079">
              <w:t>e</w:t>
            </w:r>
            <w:r w:rsidR="00DC1759" w:rsidRPr="006C0079">
              <w:t>.  Notification</w:t>
            </w:r>
            <w:proofErr w:type="gramEnd"/>
            <w:r w:rsidR="00DC1759" w:rsidRPr="006C0079">
              <w:t xml:space="preserve"> of</w:t>
            </w:r>
            <w:r w:rsidR="00276D9F" w:rsidRPr="006C0079">
              <w:t xml:space="preserve"> Scheduled</w:t>
            </w:r>
            <w:r w:rsidR="00DC1759" w:rsidRPr="006C0079">
              <w:t xml:space="preserve"> Examination</w:t>
            </w:r>
            <w:r w:rsidR="00276D9F" w:rsidRPr="006C0079">
              <w:t>s</w:t>
            </w:r>
          </w:p>
        </w:tc>
        <w:tc>
          <w:tcPr>
            <w:tcW w:w="7740" w:type="dxa"/>
          </w:tcPr>
          <w:p w:rsidR="00C05B63" w:rsidRPr="006C0079" w:rsidRDefault="00DC1759" w:rsidP="006E0498">
            <w:pPr>
              <w:pStyle w:val="BlockText"/>
            </w:pPr>
            <w:r w:rsidRPr="006C0079">
              <w:t>The</w:t>
            </w:r>
            <w:r w:rsidR="00657A80" w:rsidRPr="006C0079">
              <w:t xml:space="preserve"> </w:t>
            </w:r>
            <w:proofErr w:type="spellStart"/>
            <w:r w:rsidRPr="006C0079">
              <w:t>VHA</w:t>
            </w:r>
            <w:proofErr w:type="spellEnd"/>
            <w:r w:rsidRPr="006C0079">
              <w:t xml:space="preserve"> scheduling clinic or contract examiner normally advises the claimant of the time</w:t>
            </w:r>
            <w:r w:rsidR="00276D9F" w:rsidRPr="006C0079">
              <w:t xml:space="preserve"> and place of the </w:t>
            </w:r>
            <w:r w:rsidR="008D2543" w:rsidRPr="006C0079">
              <w:t xml:space="preserve">scheduled </w:t>
            </w:r>
            <w:r w:rsidR="00276D9F" w:rsidRPr="006C0079">
              <w:t xml:space="preserve">examination. </w:t>
            </w:r>
            <w:r w:rsidR="00EA37AC" w:rsidRPr="006C0079">
              <w:t xml:space="preserve"> </w:t>
            </w:r>
          </w:p>
        </w:tc>
      </w:tr>
    </w:tbl>
    <w:p w:rsidR="00DC1759" w:rsidRPr="006C0079" w:rsidRDefault="00DC1759" w:rsidP="00534D21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34D21" w:rsidRPr="006C0079" w:rsidTr="00534D21">
        <w:tc>
          <w:tcPr>
            <w:tcW w:w="1728" w:type="dxa"/>
            <w:shd w:val="clear" w:color="auto" w:fill="auto"/>
          </w:tcPr>
          <w:p w:rsidR="00534D21" w:rsidRPr="006C0079" w:rsidRDefault="00EF18A5" w:rsidP="00534D21">
            <w:pPr>
              <w:pStyle w:val="Heading5"/>
            </w:pPr>
            <w:bookmarkStart w:id="6" w:name="_e._Scheduling_Specialist"/>
            <w:bookmarkEnd w:id="6"/>
            <w:r w:rsidRPr="006C0079">
              <w:t>f</w:t>
            </w:r>
            <w:r w:rsidR="00534D21" w:rsidRPr="006C0079">
              <w:t>. Scheduling Specialist Examinations</w:t>
            </w:r>
          </w:p>
        </w:tc>
        <w:tc>
          <w:tcPr>
            <w:tcW w:w="7740" w:type="dxa"/>
            <w:shd w:val="clear" w:color="auto" w:fill="auto"/>
          </w:tcPr>
          <w:p w:rsidR="00534D21" w:rsidRPr="006C0079" w:rsidRDefault="00534D21" w:rsidP="00534D21">
            <w:pPr>
              <w:pStyle w:val="BlockText"/>
            </w:pPr>
            <w:r w:rsidRPr="006C0079">
              <w:t>Department of Veterans Affairs (VA) medical centers (</w:t>
            </w:r>
            <w:proofErr w:type="spellStart"/>
            <w:r w:rsidRPr="006C0079">
              <w:t>VAMCs</w:t>
            </w:r>
            <w:proofErr w:type="spellEnd"/>
            <w:r w:rsidRPr="006C0079">
              <w:t>) schedule specialist examinations only when requested to do so.</w:t>
            </w:r>
          </w:p>
          <w:p w:rsidR="00534D21" w:rsidRPr="006C0079" w:rsidRDefault="00534D21" w:rsidP="00534D21">
            <w:pPr>
              <w:pStyle w:val="BlockText"/>
            </w:pPr>
          </w:p>
          <w:p w:rsidR="00534D21" w:rsidRPr="006C0079" w:rsidRDefault="00534D21" w:rsidP="00D91450">
            <w:pPr>
              <w:pStyle w:val="BlockText"/>
            </w:pPr>
            <w:r w:rsidRPr="006C0079">
              <w:rPr>
                <w:b/>
                <w:i/>
              </w:rPr>
              <w:t>Reference</w:t>
            </w:r>
            <w:r w:rsidRPr="006C0079">
              <w:t xml:space="preserve">:  For more information on specialist </w:t>
            </w:r>
            <w:proofErr w:type="gramStart"/>
            <w:r w:rsidRPr="006C0079">
              <w:t>examinations</w:t>
            </w:r>
            <w:proofErr w:type="gramEnd"/>
            <w:r w:rsidRPr="006C0079">
              <w:t xml:space="preserve"> see </w:t>
            </w:r>
            <w:proofErr w:type="spellStart"/>
            <w:r w:rsidRPr="006C0079">
              <w:t>M21</w:t>
            </w:r>
            <w:proofErr w:type="spellEnd"/>
            <w:r w:rsidRPr="006C0079">
              <w:t xml:space="preserve">-1, Part III, Subpart iv, </w:t>
            </w:r>
            <w:proofErr w:type="spellStart"/>
            <w:r w:rsidRPr="006C0079">
              <w:t>3.A.8</w:t>
            </w:r>
            <w:proofErr w:type="spellEnd"/>
            <w:r w:rsidRPr="006C0079">
              <w:t>.</w:t>
            </w:r>
          </w:p>
        </w:tc>
      </w:tr>
    </w:tbl>
    <w:p w:rsidR="00534D21" w:rsidRPr="006C0079" w:rsidRDefault="00534D21" w:rsidP="00534D21">
      <w:pPr>
        <w:pStyle w:val="BlockLine"/>
      </w:pPr>
    </w:p>
    <w:p w:rsidR="00DC1759" w:rsidRPr="006C0079" w:rsidRDefault="00DC1759">
      <w:pPr>
        <w:pStyle w:val="Heading4"/>
      </w:pPr>
      <w:r w:rsidRPr="006C0079">
        <w:br w:type="page"/>
      </w:r>
      <w:r w:rsidR="006725D9" w:rsidRPr="006C0079">
        <w:lastRenderedPageBreak/>
        <w:t>2</w:t>
      </w:r>
      <w:r w:rsidRPr="006C0079">
        <w:t xml:space="preserve">.  </w:t>
      </w:r>
      <w:bookmarkStart w:id="7" w:name="Topic15"/>
      <w:bookmarkEnd w:id="7"/>
      <w:r w:rsidRPr="006C0079">
        <w:t>Determining the Need for Review Examinations</w:t>
      </w:r>
    </w:p>
    <w:p w:rsidR="00DC1759" w:rsidRPr="006C0079" w:rsidRDefault="00DC1759">
      <w:pPr>
        <w:pStyle w:val="BlockLine"/>
      </w:pPr>
      <w:r w:rsidRPr="006C0079">
        <w:fldChar w:fldCharType="begin"/>
      </w:r>
      <w:r w:rsidRPr="006C0079">
        <w:instrText xml:space="preserve"> PRIVATE INFOTYPE="OTHER" </w:instrText>
      </w:r>
      <w:r w:rsidRPr="006C0079">
        <w:fldChar w:fldCharType="end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>
        <w:trPr>
          <w:cantSplit/>
        </w:trPr>
        <w:tc>
          <w:tcPr>
            <w:tcW w:w="1728" w:type="dxa"/>
          </w:tcPr>
          <w:p w:rsidR="00DC1759" w:rsidRPr="006C0079" w:rsidRDefault="00DC1759">
            <w:pPr>
              <w:pStyle w:val="Heading5"/>
            </w:pPr>
            <w:r w:rsidRPr="006C0079">
              <w:t>Introduction</w:t>
            </w:r>
          </w:p>
        </w:tc>
        <w:tc>
          <w:tcPr>
            <w:tcW w:w="7740" w:type="dxa"/>
          </w:tcPr>
          <w:p w:rsidR="00DC1759" w:rsidRPr="006C0079" w:rsidRDefault="00DC1759">
            <w:pPr>
              <w:pStyle w:val="BlockText"/>
            </w:pPr>
            <w:r w:rsidRPr="006C0079">
              <w:t>This topic contains information about determining the need for review examinations, including</w:t>
            </w:r>
          </w:p>
          <w:p w:rsidR="00DC1759" w:rsidRPr="006C0079" w:rsidRDefault="00DC1759">
            <w:pPr>
              <w:pStyle w:val="BlockText"/>
            </w:pPr>
          </w:p>
          <w:p w:rsidR="00DC1759" w:rsidRPr="006C0079" w:rsidRDefault="00DC1759">
            <w:pPr>
              <w:pStyle w:val="BulletText1"/>
            </w:pPr>
            <w:r w:rsidRPr="006C0079">
              <w:t>criteria for requesting review examinations</w:t>
            </w:r>
          </w:p>
          <w:p w:rsidR="00DC1759" w:rsidRPr="006C0079" w:rsidRDefault="00DC1759">
            <w:pPr>
              <w:pStyle w:val="BulletText1"/>
            </w:pPr>
            <w:r w:rsidRPr="006C0079">
              <w:t xml:space="preserve">scheduling </w:t>
            </w:r>
            <w:r w:rsidR="00C71FE0" w:rsidRPr="006C0079">
              <w:t xml:space="preserve">future </w:t>
            </w:r>
            <w:r w:rsidRPr="006C0079">
              <w:t>review examinations in compensation cases</w:t>
            </w:r>
          </w:p>
          <w:p w:rsidR="00DC1759" w:rsidRPr="006C0079" w:rsidRDefault="00DC1759">
            <w:pPr>
              <w:pStyle w:val="BulletText1"/>
            </w:pPr>
            <w:r w:rsidRPr="006C0079">
              <w:t>when not to schedule review examinations</w:t>
            </w:r>
          </w:p>
          <w:p w:rsidR="002D63B5" w:rsidRPr="006C0079" w:rsidRDefault="002D63B5">
            <w:pPr>
              <w:pStyle w:val="BulletText1"/>
            </w:pPr>
            <w:r w:rsidRPr="006C0079">
              <w:t>when review examination shows improvement of a stabilized disability</w:t>
            </w:r>
          </w:p>
          <w:p w:rsidR="00DC1759" w:rsidRPr="006C0079" w:rsidRDefault="00DC1759">
            <w:pPr>
              <w:pStyle w:val="BulletText1"/>
            </w:pPr>
            <w:r w:rsidRPr="006C0079">
              <w:t>scheduling reexaminations in pension cases</w:t>
            </w:r>
          </w:p>
          <w:p w:rsidR="00DC1759" w:rsidRPr="006C0079" w:rsidRDefault="00BB58AB">
            <w:pPr>
              <w:pStyle w:val="BulletText1"/>
            </w:pPr>
            <w:r w:rsidRPr="006C0079">
              <w:t xml:space="preserve">documenting the cancellation of review </w:t>
            </w:r>
            <w:r w:rsidR="00DC1759" w:rsidRPr="006C0079">
              <w:t>examinations</w:t>
            </w:r>
          </w:p>
          <w:p w:rsidR="00DC1759" w:rsidRPr="006C0079" w:rsidRDefault="00DC1759">
            <w:pPr>
              <w:pStyle w:val="BulletText1"/>
            </w:pPr>
            <w:r w:rsidRPr="006C0079">
              <w:t>failure to report for a review examination, and</w:t>
            </w:r>
          </w:p>
          <w:p w:rsidR="00DC1759" w:rsidRPr="006C0079" w:rsidRDefault="00DC1759">
            <w:pPr>
              <w:pStyle w:val="BulletText1"/>
            </w:pPr>
            <w:proofErr w:type="gramStart"/>
            <w:r w:rsidRPr="006C0079">
              <w:t>rating</w:t>
            </w:r>
            <w:proofErr w:type="gramEnd"/>
            <w:r w:rsidRPr="006C0079">
              <w:t xml:space="preserve"> action taken if an examination is canceled.</w:t>
            </w:r>
          </w:p>
        </w:tc>
      </w:tr>
    </w:tbl>
    <w:p w:rsidR="00DC1759" w:rsidRPr="006C0079" w:rsidRDefault="00DC175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>
        <w:trPr>
          <w:cantSplit/>
        </w:trPr>
        <w:tc>
          <w:tcPr>
            <w:tcW w:w="1728" w:type="dxa"/>
          </w:tcPr>
          <w:p w:rsidR="00DC1759" w:rsidRPr="006C0079" w:rsidRDefault="00DC1759">
            <w:pPr>
              <w:pStyle w:val="Heading5"/>
            </w:pPr>
            <w:r w:rsidRPr="006C0079">
              <w:t>Change Date</w:t>
            </w:r>
          </w:p>
        </w:tc>
        <w:tc>
          <w:tcPr>
            <w:tcW w:w="7740" w:type="dxa"/>
          </w:tcPr>
          <w:p w:rsidR="00DC1759" w:rsidRPr="006C0079" w:rsidRDefault="003C0A20">
            <w:pPr>
              <w:pStyle w:val="BlockText"/>
            </w:pPr>
            <w:r w:rsidRPr="006C0079">
              <w:t>May 8, 2015</w:t>
            </w:r>
          </w:p>
        </w:tc>
      </w:tr>
    </w:tbl>
    <w:p w:rsidR="00DC1759" w:rsidRPr="006C0079" w:rsidRDefault="00DC175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>
        <w:trPr>
          <w:cantSplit/>
        </w:trPr>
        <w:tc>
          <w:tcPr>
            <w:tcW w:w="1728" w:type="dxa"/>
          </w:tcPr>
          <w:p w:rsidR="00DC1759" w:rsidRPr="006C0079" w:rsidRDefault="00DC1759">
            <w:pPr>
              <w:pStyle w:val="Heading5"/>
            </w:pPr>
            <w:bookmarkStart w:id="8" w:name="_a.__Criteria"/>
            <w:bookmarkEnd w:id="8"/>
            <w:proofErr w:type="gramStart"/>
            <w:r w:rsidRPr="006C0079">
              <w:t>a.  Criteria</w:t>
            </w:r>
            <w:proofErr w:type="gramEnd"/>
            <w:r w:rsidRPr="006C0079">
              <w:t xml:space="preserve"> for Requesting Review Examinations</w:t>
            </w:r>
          </w:p>
        </w:tc>
        <w:tc>
          <w:tcPr>
            <w:tcW w:w="7740" w:type="dxa"/>
          </w:tcPr>
          <w:p w:rsidR="00390AA2" w:rsidRPr="006C0079" w:rsidRDefault="00390AA2">
            <w:pPr>
              <w:pStyle w:val="BlockText"/>
              <w:rPr>
                <w:bCs/>
              </w:rPr>
            </w:pPr>
            <w:r w:rsidRPr="006C0079">
              <w:rPr>
                <w:bCs/>
              </w:rPr>
              <w:t xml:space="preserve">Request a review examination whenever </w:t>
            </w:r>
          </w:p>
          <w:p w:rsidR="00390AA2" w:rsidRPr="006C0079" w:rsidRDefault="00390AA2">
            <w:pPr>
              <w:pStyle w:val="BlockText"/>
              <w:rPr>
                <w:bCs/>
              </w:rPr>
            </w:pPr>
          </w:p>
          <w:p w:rsidR="00390AA2" w:rsidRPr="006C0079" w:rsidRDefault="00390AA2" w:rsidP="00390AA2">
            <w:pPr>
              <w:pStyle w:val="BulletText1"/>
            </w:pPr>
            <w:r w:rsidRPr="006C0079">
              <w:t>there is a need to verify either the continued existence or the current severity of a disability</w:t>
            </w:r>
          </w:p>
          <w:p w:rsidR="00390AA2" w:rsidRPr="006C0079" w:rsidRDefault="00390AA2" w:rsidP="00390AA2">
            <w:pPr>
              <w:pStyle w:val="BulletText1"/>
            </w:pPr>
            <w:r w:rsidRPr="006C0079">
              <w:t>it is likely that a disability has improved</w:t>
            </w:r>
          </w:p>
          <w:p w:rsidR="00390AA2" w:rsidRPr="006C0079" w:rsidRDefault="00390AA2" w:rsidP="00390AA2">
            <w:pPr>
              <w:pStyle w:val="BulletText1"/>
            </w:pPr>
            <w:r w:rsidRPr="006C0079">
              <w:t xml:space="preserve">evidence indicates there has been a material change in a disability </w:t>
            </w:r>
          </w:p>
          <w:p w:rsidR="00390AA2" w:rsidRPr="006C0079" w:rsidRDefault="00390AA2" w:rsidP="00390AA2">
            <w:pPr>
              <w:pStyle w:val="BulletText1"/>
            </w:pPr>
            <w:r w:rsidRPr="006C0079">
              <w:t>the current rating may be incorrect, or</w:t>
            </w:r>
          </w:p>
          <w:p w:rsidR="00390AA2" w:rsidRPr="006C0079" w:rsidRDefault="00390AA2" w:rsidP="00390AA2">
            <w:pPr>
              <w:pStyle w:val="BulletText1"/>
            </w:pPr>
            <w:proofErr w:type="gramStart"/>
            <w:r w:rsidRPr="006C0079">
              <w:t>it</w:t>
            </w:r>
            <w:proofErr w:type="gramEnd"/>
            <w:r w:rsidRPr="006C0079">
              <w:t xml:space="preserve"> is otherwise required by the regulation or diagnostic code (DC) under which the Veteran is service connected.</w:t>
            </w:r>
          </w:p>
          <w:p w:rsidR="00DC1759" w:rsidRPr="006C0079" w:rsidRDefault="00DC1759">
            <w:pPr>
              <w:pStyle w:val="BlockText"/>
            </w:pPr>
          </w:p>
          <w:p w:rsidR="00390AA2" w:rsidRPr="006C0079" w:rsidRDefault="00DC1759" w:rsidP="00390AA2">
            <w:pPr>
              <w:pStyle w:val="BlockText"/>
            </w:pPr>
            <w:r w:rsidRPr="006C0079">
              <w:rPr>
                <w:b/>
                <w:i/>
              </w:rPr>
              <w:t>Note</w:t>
            </w:r>
            <w:r w:rsidRPr="006C0079">
              <w:t xml:space="preserve">:  Do </w:t>
            </w:r>
            <w:r w:rsidRPr="006C0079">
              <w:rPr>
                <w:i/>
              </w:rPr>
              <w:t>not</w:t>
            </w:r>
            <w:r w:rsidRPr="006C0079">
              <w:t xml:space="preserve"> request a review examination solely to confirm evidence listed in </w:t>
            </w:r>
            <w:hyperlink r:id="rId15" w:history="1">
              <w:r w:rsidR="00FC48C4" w:rsidRPr="006C0079">
                <w:rPr>
                  <w:rStyle w:val="Hyperlink"/>
                </w:rPr>
                <w:t xml:space="preserve">38 </w:t>
              </w:r>
              <w:proofErr w:type="spellStart"/>
              <w:r w:rsidR="00FC48C4" w:rsidRPr="006C0079">
                <w:rPr>
                  <w:rStyle w:val="Hyperlink"/>
                </w:rPr>
                <w:t>CFR</w:t>
              </w:r>
              <w:proofErr w:type="spellEnd"/>
              <w:r w:rsidR="00F223E5" w:rsidRPr="006C0079">
                <w:rPr>
                  <w:rStyle w:val="Hyperlink"/>
                </w:rPr>
                <w:t xml:space="preserve"> 3</w:t>
              </w:r>
              <w:r w:rsidRPr="006C0079">
                <w:rPr>
                  <w:rStyle w:val="Hyperlink"/>
                </w:rPr>
                <w:t>.326(b) and (c)</w:t>
              </w:r>
            </w:hyperlink>
            <w:r w:rsidRPr="006C0079">
              <w:t xml:space="preserve"> that is otherwise adequate for rating.</w:t>
            </w:r>
            <w:r w:rsidR="00390AA2" w:rsidRPr="006C0079">
              <w:t xml:space="preserve"> </w:t>
            </w:r>
          </w:p>
          <w:p w:rsidR="00390AA2" w:rsidRPr="006C0079" w:rsidRDefault="00390AA2" w:rsidP="001B4C59">
            <w:pPr>
              <w:rPr>
                <w:rFonts w:ascii="MS Shell Dlg 2" w:hAnsi="MS Shell Dlg 2" w:cs="MS Shell Dlg 2"/>
                <w:sz w:val="20"/>
                <w:szCs w:val="20"/>
              </w:rPr>
            </w:pPr>
          </w:p>
          <w:p w:rsidR="00DC1759" w:rsidRPr="006C0079" w:rsidRDefault="00390AA2" w:rsidP="00652E88">
            <w:pPr>
              <w:pStyle w:val="BulletText1"/>
              <w:numPr>
                <w:ilvl w:val="0"/>
                <w:numId w:val="0"/>
              </w:numPr>
            </w:pPr>
            <w:r w:rsidRPr="006C0079">
              <w:rPr>
                <w:b/>
                <w:i/>
              </w:rPr>
              <w:t>Reference</w:t>
            </w:r>
            <w:r w:rsidRPr="006C0079">
              <w:t>:  For more information on the criteria for requesting a review</w:t>
            </w:r>
            <w:r w:rsidR="00652E88" w:rsidRPr="006C0079">
              <w:t xml:space="preserve"> </w:t>
            </w:r>
            <w:r w:rsidRPr="006C0079">
              <w:t xml:space="preserve">examination, see </w:t>
            </w:r>
            <w:hyperlink r:id="rId16" w:history="1">
              <w:r w:rsidRPr="006C0079">
                <w:rPr>
                  <w:rStyle w:val="Hyperlink"/>
                </w:rPr>
                <w:t xml:space="preserve">38 </w:t>
              </w:r>
              <w:proofErr w:type="spellStart"/>
              <w:r w:rsidRPr="006C0079">
                <w:rPr>
                  <w:rStyle w:val="Hyperlink"/>
                </w:rPr>
                <w:t>CFR</w:t>
              </w:r>
              <w:proofErr w:type="spellEnd"/>
              <w:r w:rsidRPr="006C0079">
                <w:rPr>
                  <w:rStyle w:val="Hyperlink"/>
                </w:rPr>
                <w:t xml:space="preserve"> 3.327</w:t>
              </w:r>
            </w:hyperlink>
            <w:r w:rsidRPr="006C0079">
              <w:t>.</w:t>
            </w:r>
          </w:p>
        </w:tc>
      </w:tr>
    </w:tbl>
    <w:p w:rsidR="00DC1759" w:rsidRPr="006C0079" w:rsidRDefault="00DC1759" w:rsidP="00B845A1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 w:rsidTr="00357F51">
        <w:tc>
          <w:tcPr>
            <w:tcW w:w="1728" w:type="dxa"/>
          </w:tcPr>
          <w:p w:rsidR="00DC1759" w:rsidRPr="006C0079" w:rsidRDefault="00DC1759">
            <w:pPr>
              <w:pStyle w:val="Heading5"/>
            </w:pPr>
            <w:bookmarkStart w:id="9" w:name="_b.__Scheduling"/>
            <w:bookmarkEnd w:id="9"/>
            <w:proofErr w:type="gramStart"/>
            <w:r w:rsidRPr="006C0079">
              <w:t>b.  Scheduling</w:t>
            </w:r>
            <w:proofErr w:type="gramEnd"/>
            <w:r w:rsidRPr="006C0079">
              <w:t xml:space="preserve"> Future Review Examinations</w:t>
            </w:r>
            <w:r w:rsidR="00B845A1" w:rsidRPr="006C0079">
              <w:t xml:space="preserve"> in Compensation Cases</w:t>
            </w:r>
          </w:p>
        </w:tc>
        <w:tc>
          <w:tcPr>
            <w:tcW w:w="7740" w:type="dxa"/>
          </w:tcPr>
          <w:p w:rsidR="00DC1759" w:rsidRPr="006C0079" w:rsidRDefault="00B845A1">
            <w:pPr>
              <w:pStyle w:val="BlockText"/>
            </w:pPr>
            <w:r w:rsidRPr="006C0079">
              <w:t xml:space="preserve">Exercise prudent judgment and refer to </w:t>
            </w:r>
            <w:hyperlink r:id="rId17" w:history="1">
              <w:r w:rsidR="00FC48C4" w:rsidRPr="006C0079">
                <w:rPr>
                  <w:rStyle w:val="Hyperlink"/>
                </w:rPr>
                <w:t xml:space="preserve">38 </w:t>
              </w:r>
              <w:proofErr w:type="spellStart"/>
              <w:r w:rsidR="00FC48C4" w:rsidRPr="006C0079">
                <w:rPr>
                  <w:rStyle w:val="Hyperlink"/>
                </w:rPr>
                <w:t>CF</w:t>
              </w:r>
              <w:r w:rsidRPr="006C0079">
                <w:rPr>
                  <w:rStyle w:val="Hyperlink"/>
                </w:rPr>
                <w:t>R</w:t>
              </w:r>
              <w:proofErr w:type="spellEnd"/>
              <w:r w:rsidRPr="006C0079">
                <w:rPr>
                  <w:rStyle w:val="Hyperlink"/>
                </w:rPr>
                <w:t xml:space="preserve"> 3.327(b)</w:t>
              </w:r>
            </w:hyperlink>
            <w:r w:rsidRPr="006C0079">
              <w:t xml:space="preserve"> in determining the need for review examination.</w:t>
            </w:r>
            <w:r w:rsidR="00DC1759" w:rsidRPr="006C0079">
              <w:t xml:space="preserve">  </w:t>
            </w:r>
            <w:r w:rsidR="005B1C20" w:rsidRPr="006C0079">
              <w:t xml:space="preserve">It is the policy of VBA to request future examinations only when </w:t>
            </w:r>
            <w:proofErr w:type="gramStart"/>
            <w:r w:rsidR="005B1C20" w:rsidRPr="006C0079">
              <w:t>absolutely necessary</w:t>
            </w:r>
            <w:proofErr w:type="gramEnd"/>
            <w:r w:rsidR="005B1C20" w:rsidRPr="006C0079">
              <w:t xml:space="preserve"> and every effort should be made to limit cases where future examinations are requested.  </w:t>
            </w:r>
            <w:r w:rsidR="00DC1759" w:rsidRPr="006C0079">
              <w:t xml:space="preserve">Consider whether </w:t>
            </w:r>
          </w:p>
          <w:p w:rsidR="00684E9E" w:rsidRPr="006C0079" w:rsidRDefault="00684E9E">
            <w:pPr>
              <w:pStyle w:val="BlockText"/>
            </w:pPr>
          </w:p>
          <w:p w:rsidR="00DC1759" w:rsidRPr="006C0079" w:rsidRDefault="00DC1759">
            <w:pPr>
              <w:pStyle w:val="BulletText1"/>
            </w:pPr>
            <w:r w:rsidRPr="006C0079">
              <w:t xml:space="preserve">the </w:t>
            </w:r>
            <w:r w:rsidR="00F223E5" w:rsidRPr="006C0079">
              <w:t>Veteran</w:t>
            </w:r>
            <w:r w:rsidRPr="006C0079">
              <w:t>’s current condition is an acute exacerbation</w:t>
            </w:r>
          </w:p>
          <w:p w:rsidR="00DC1759" w:rsidRPr="006C0079" w:rsidRDefault="00DC1759">
            <w:pPr>
              <w:pStyle w:val="BulletText1"/>
            </w:pPr>
            <w:r w:rsidRPr="006C0079">
              <w:t xml:space="preserve">the </w:t>
            </w:r>
            <w:r w:rsidR="00F223E5" w:rsidRPr="006C0079">
              <w:t>Veteran</w:t>
            </w:r>
            <w:r w:rsidRPr="006C0079">
              <w:t xml:space="preserve"> is still recuperating following hospitalization, and</w:t>
            </w:r>
          </w:p>
          <w:p w:rsidR="00DC1759" w:rsidRPr="006C0079" w:rsidRDefault="00DC1759">
            <w:pPr>
              <w:pStyle w:val="BulletText1"/>
            </w:pPr>
            <w:proofErr w:type="gramStart"/>
            <w:r w:rsidRPr="006C0079">
              <w:t>improvement</w:t>
            </w:r>
            <w:proofErr w:type="gramEnd"/>
            <w:r w:rsidRPr="006C0079">
              <w:t xml:space="preserve"> or recovery can be anticipated.</w:t>
            </w:r>
          </w:p>
          <w:p w:rsidR="00DC1759" w:rsidRPr="006C0079" w:rsidRDefault="00DC1759">
            <w:pPr>
              <w:pStyle w:val="BlockText"/>
            </w:pPr>
          </w:p>
          <w:p w:rsidR="00DF1BA2" w:rsidRPr="006C0079" w:rsidRDefault="00670041" w:rsidP="00DF1BA2">
            <w:pPr>
              <w:pStyle w:val="BlockText"/>
            </w:pPr>
            <w:r w:rsidRPr="006C0079">
              <w:t xml:space="preserve">After determining the need for </w:t>
            </w:r>
            <w:r w:rsidR="00DF1BA2" w:rsidRPr="006C0079">
              <w:t xml:space="preserve">a routine future examination, schedule the </w:t>
            </w:r>
            <w:r w:rsidR="00DF1BA2" w:rsidRPr="006C0079">
              <w:lastRenderedPageBreak/>
              <w:t xml:space="preserve">examination </w:t>
            </w:r>
            <w:r w:rsidR="00DF1BA2" w:rsidRPr="006C0079">
              <w:rPr>
                <w:i/>
              </w:rPr>
              <w:t>five years</w:t>
            </w:r>
            <w:r w:rsidR="00DF1BA2" w:rsidRPr="006C0079">
              <w:t xml:space="preserve"> from the date of the rating decision, with the following exceptions</w:t>
            </w:r>
          </w:p>
          <w:p w:rsidR="00DF1BA2" w:rsidRPr="006C0079" w:rsidRDefault="00DF1BA2" w:rsidP="00DF1BA2">
            <w:pPr>
              <w:pStyle w:val="BlockText"/>
            </w:pPr>
          </w:p>
          <w:p w:rsidR="00DF1BA2" w:rsidRPr="006C0079" w:rsidRDefault="00DF1BA2" w:rsidP="00DF1BA2">
            <w:pPr>
              <w:pStyle w:val="BulletText1"/>
            </w:pPr>
            <w:proofErr w:type="spellStart"/>
            <w:r w:rsidRPr="006C0079">
              <w:t>prestabilization</w:t>
            </w:r>
            <w:proofErr w:type="spellEnd"/>
            <w:r w:rsidRPr="006C0079">
              <w:t xml:space="preserve"> rating decisions under </w:t>
            </w:r>
            <w:hyperlink r:id="rId18" w:history="1">
              <w:r w:rsidR="00FC48C4" w:rsidRPr="006C0079">
                <w:rPr>
                  <w:rStyle w:val="Hyperlink"/>
                </w:rPr>
                <w:t xml:space="preserve">38 </w:t>
              </w:r>
              <w:proofErr w:type="spellStart"/>
              <w:r w:rsidR="00FC48C4" w:rsidRPr="006C0079">
                <w:rPr>
                  <w:rStyle w:val="Hyperlink"/>
                </w:rPr>
                <w:t>CFR</w:t>
              </w:r>
              <w:proofErr w:type="spellEnd"/>
              <w:r w:rsidRPr="006C0079">
                <w:rPr>
                  <w:rStyle w:val="Hyperlink"/>
                </w:rPr>
                <w:t xml:space="preserve"> 3.327</w:t>
              </w:r>
            </w:hyperlink>
          </w:p>
          <w:p w:rsidR="00DF1BA2" w:rsidRPr="006C0079" w:rsidRDefault="00DF1BA2" w:rsidP="00DF1BA2">
            <w:pPr>
              <w:pStyle w:val="BulletText1"/>
            </w:pPr>
            <w:r w:rsidRPr="006C0079">
              <w:t xml:space="preserve">discharge from military service due to a mental disorder caused by traumatic stress under </w:t>
            </w:r>
            <w:hyperlink r:id="rId19" w:history="1">
              <w:r w:rsidR="00FC48C4" w:rsidRPr="006C0079">
                <w:rPr>
                  <w:rStyle w:val="Hyperlink"/>
                </w:rPr>
                <w:t xml:space="preserve">38 </w:t>
              </w:r>
              <w:proofErr w:type="spellStart"/>
              <w:r w:rsidR="00FC48C4" w:rsidRPr="006C0079">
                <w:rPr>
                  <w:rStyle w:val="Hyperlink"/>
                </w:rPr>
                <w:t>CFR</w:t>
              </w:r>
              <w:proofErr w:type="spellEnd"/>
              <w:r w:rsidRPr="006C0079">
                <w:rPr>
                  <w:rStyle w:val="Hyperlink"/>
                </w:rPr>
                <w:t xml:space="preserve"> 4.129</w:t>
              </w:r>
            </w:hyperlink>
          </w:p>
          <w:p w:rsidR="00DF1BA2" w:rsidRPr="006C0079" w:rsidRDefault="00DF1BA2" w:rsidP="00DF1BA2">
            <w:pPr>
              <w:pStyle w:val="BulletText1"/>
            </w:pPr>
            <w:r w:rsidRPr="006C0079">
              <w:t>malignancies that require reevaluation six months following cessation of treatment for active disease, and</w:t>
            </w:r>
          </w:p>
          <w:p w:rsidR="00684E9E" w:rsidRPr="006C0079" w:rsidRDefault="00DF1BA2" w:rsidP="00DF1BA2">
            <w:pPr>
              <w:pStyle w:val="BulletText1"/>
            </w:pPr>
            <w:proofErr w:type="gramStart"/>
            <w:r w:rsidRPr="006C0079">
              <w:t>any</w:t>
            </w:r>
            <w:proofErr w:type="gramEnd"/>
            <w:r w:rsidRPr="006C0079">
              <w:t xml:space="preserve"> other future examination required under other </w:t>
            </w:r>
            <w:r w:rsidR="00FB1C97" w:rsidRPr="006C0079">
              <w:t xml:space="preserve">sections of 38 </w:t>
            </w:r>
            <w:proofErr w:type="spellStart"/>
            <w:r w:rsidR="00FB1C97" w:rsidRPr="006C0079">
              <w:t>CF</w:t>
            </w:r>
            <w:r w:rsidR="006C0079">
              <w:t>R</w:t>
            </w:r>
            <w:proofErr w:type="spellEnd"/>
            <w:r w:rsidRPr="006C0079">
              <w:t xml:space="preserve"> Part 3 and Part 4.</w:t>
            </w:r>
          </w:p>
          <w:p w:rsidR="00DF1BA2" w:rsidRPr="006C0079" w:rsidRDefault="00DF1BA2" w:rsidP="00DF1BA2">
            <w:pPr>
              <w:pStyle w:val="BlockText"/>
            </w:pPr>
          </w:p>
          <w:p w:rsidR="00DC1759" w:rsidRPr="006C0079" w:rsidRDefault="00DC1759" w:rsidP="00B845A1">
            <w:pPr>
              <w:pStyle w:val="BlockText"/>
            </w:pPr>
            <w:r w:rsidRPr="006C0079">
              <w:rPr>
                <w:b/>
                <w:i/>
              </w:rPr>
              <w:t>Important</w:t>
            </w:r>
            <w:r w:rsidRPr="006C0079">
              <w:t xml:space="preserve">:  Medical evidence from any of the sources listed in </w:t>
            </w:r>
            <w:hyperlink r:id="rId20" w:history="1">
              <w:r w:rsidR="00FC48C4" w:rsidRPr="006C0079">
                <w:rPr>
                  <w:rStyle w:val="Hyperlink"/>
                </w:rPr>
                <w:t xml:space="preserve">38 </w:t>
              </w:r>
              <w:proofErr w:type="spellStart"/>
              <w:r w:rsidR="00FC48C4" w:rsidRPr="006C0079">
                <w:rPr>
                  <w:rStyle w:val="Hyperlink"/>
                </w:rPr>
                <w:t>CFR</w:t>
              </w:r>
              <w:proofErr w:type="spellEnd"/>
              <w:r w:rsidR="00F223E5" w:rsidRPr="006C0079">
                <w:rPr>
                  <w:rStyle w:val="Hyperlink"/>
                </w:rPr>
                <w:t xml:space="preserve"> 3</w:t>
              </w:r>
              <w:r w:rsidRPr="006C0079">
                <w:rPr>
                  <w:rStyle w:val="Hyperlink"/>
                </w:rPr>
                <w:t>.326(b) and (c)</w:t>
              </w:r>
            </w:hyperlink>
            <w:r w:rsidRPr="006C0079">
              <w:t xml:space="preserve"> may satisfy the need for reexamination.</w:t>
            </w:r>
          </w:p>
          <w:p w:rsidR="00B845A1" w:rsidRPr="006C0079" w:rsidRDefault="00B845A1" w:rsidP="00347598">
            <w:pPr>
              <w:pStyle w:val="BlockText"/>
            </w:pPr>
          </w:p>
          <w:p w:rsidR="00B845A1" w:rsidRPr="006C0079" w:rsidRDefault="00B845A1" w:rsidP="00F93585">
            <w:pPr>
              <w:pStyle w:val="BlockText"/>
            </w:pPr>
            <w:r w:rsidRPr="006C0079">
              <w:rPr>
                <w:b/>
                <w:i/>
              </w:rPr>
              <w:t>Reference</w:t>
            </w:r>
            <w:r w:rsidRPr="006C0079">
              <w:t xml:space="preserve">:  For more information on scheduling review examinations following periods of convalescence, see </w:t>
            </w:r>
            <w:proofErr w:type="spellStart"/>
            <w:r w:rsidR="0070664F" w:rsidRPr="006C0079">
              <w:t>M21</w:t>
            </w:r>
            <w:proofErr w:type="spellEnd"/>
            <w:r w:rsidR="0070664F" w:rsidRPr="006C0079">
              <w:t>-1</w:t>
            </w:r>
            <w:r w:rsidRPr="006C0079">
              <w:t xml:space="preserve">, Part IV, Subpart ii, </w:t>
            </w:r>
            <w:proofErr w:type="spellStart"/>
            <w:r w:rsidRPr="006C0079">
              <w:t>2.J.</w:t>
            </w:r>
            <w:r w:rsidR="00F93585" w:rsidRPr="006C0079">
              <w:t>6</w:t>
            </w:r>
            <w:proofErr w:type="spellEnd"/>
            <w:r w:rsidRPr="006C0079">
              <w:t>.</w:t>
            </w:r>
          </w:p>
        </w:tc>
      </w:tr>
    </w:tbl>
    <w:p w:rsidR="00DC1759" w:rsidRPr="006C0079" w:rsidRDefault="00DC175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>
        <w:trPr>
          <w:cantSplit/>
        </w:trPr>
        <w:tc>
          <w:tcPr>
            <w:tcW w:w="1728" w:type="dxa"/>
          </w:tcPr>
          <w:p w:rsidR="00DC1759" w:rsidRPr="006C0079" w:rsidRDefault="00B845A1">
            <w:pPr>
              <w:pStyle w:val="Heading5"/>
            </w:pPr>
            <w:bookmarkStart w:id="10" w:name="_c.__When"/>
            <w:bookmarkEnd w:id="10"/>
            <w:proofErr w:type="gramStart"/>
            <w:r w:rsidRPr="006C0079">
              <w:t>c</w:t>
            </w:r>
            <w:r w:rsidR="00DC1759" w:rsidRPr="006C0079">
              <w:t>.  When</w:t>
            </w:r>
            <w:proofErr w:type="gramEnd"/>
            <w:r w:rsidR="00DC1759" w:rsidRPr="006C0079">
              <w:t xml:space="preserve"> Not to Schedule Review Examinations</w:t>
            </w:r>
          </w:p>
        </w:tc>
        <w:tc>
          <w:tcPr>
            <w:tcW w:w="7740" w:type="dxa"/>
          </w:tcPr>
          <w:p w:rsidR="00DC1759" w:rsidRPr="006C0079" w:rsidRDefault="00DC1759">
            <w:pPr>
              <w:pStyle w:val="BlockText"/>
            </w:pPr>
            <w:r w:rsidRPr="006C0079">
              <w:t xml:space="preserve">Do </w:t>
            </w:r>
            <w:r w:rsidRPr="006C0079">
              <w:rPr>
                <w:i/>
                <w:iCs/>
              </w:rPr>
              <w:t>not</w:t>
            </w:r>
            <w:r w:rsidRPr="006C0079">
              <w:t xml:space="preserve"> request reexaminations in cases when</w:t>
            </w:r>
          </w:p>
          <w:p w:rsidR="00DC1759" w:rsidRPr="006C0079" w:rsidRDefault="00DC1759">
            <w:pPr>
              <w:pStyle w:val="BlockText"/>
            </w:pPr>
          </w:p>
          <w:p w:rsidR="00605B98" w:rsidRPr="006C0079" w:rsidRDefault="00DC1759" w:rsidP="00605B98">
            <w:pPr>
              <w:pStyle w:val="BulletText1"/>
            </w:pPr>
            <w:r w:rsidRPr="006C0079">
              <w:t xml:space="preserve">the disability is static, without material improvement over five years </w:t>
            </w:r>
          </w:p>
          <w:p w:rsidR="00DC1759" w:rsidRPr="006C0079" w:rsidRDefault="0072539C">
            <w:pPr>
              <w:pStyle w:val="BulletText1"/>
            </w:pPr>
            <w:r w:rsidRPr="006C0079">
              <w:t xml:space="preserve">the disability is permanent in character </w:t>
            </w:r>
            <w:r w:rsidR="00DC1759" w:rsidRPr="006C0079">
              <w:t>and</w:t>
            </w:r>
            <w:r w:rsidRPr="006C0079">
              <w:t xml:space="preserve"> of such nature</w:t>
            </w:r>
            <w:r w:rsidR="00003114" w:rsidRPr="006C0079">
              <w:t xml:space="preserve"> </w:t>
            </w:r>
            <w:r w:rsidRPr="006C0079">
              <w:t>that there is no likelihood of improvement</w:t>
            </w:r>
          </w:p>
          <w:p w:rsidR="00DC1759" w:rsidRPr="006C0079" w:rsidRDefault="00DC1759" w:rsidP="00775EE1">
            <w:pPr>
              <w:pStyle w:val="ListParagraph"/>
              <w:numPr>
                <w:ilvl w:val="0"/>
                <w:numId w:val="42"/>
              </w:numPr>
              <w:ind w:left="158" w:hanging="187"/>
            </w:pPr>
            <w:proofErr w:type="gramStart"/>
            <w:r w:rsidRPr="006C0079">
              <w:t>the</w:t>
            </w:r>
            <w:proofErr w:type="gramEnd"/>
            <w:r w:rsidRPr="006C0079">
              <w:t xml:space="preserve"> </w:t>
            </w:r>
            <w:r w:rsidR="00F223E5" w:rsidRPr="006C0079">
              <w:t>Veteran</w:t>
            </w:r>
            <w:r w:rsidRPr="006C0079">
              <w:t xml:space="preserve"> is over 55 years of age (except </w:t>
            </w:r>
            <w:r w:rsidR="00E53936" w:rsidRPr="006C0079">
              <w:t xml:space="preserve">under </w:t>
            </w:r>
            <w:r w:rsidRPr="006C0079">
              <w:t>circumstances</w:t>
            </w:r>
            <w:r w:rsidR="005B1C20" w:rsidRPr="006C0079">
              <w:t xml:space="preserve"> where required by regulation</w:t>
            </w:r>
            <w:r w:rsidR="00775EE1" w:rsidRPr="006C0079">
              <w:t>,</w:t>
            </w:r>
            <w:r w:rsidR="005B1C20" w:rsidRPr="006C0079">
              <w:t xml:space="preserve"> such as convalescence after surgery.</w:t>
            </w:r>
            <w:r w:rsidRPr="006C0079">
              <w:t>)</w:t>
            </w:r>
          </w:p>
          <w:p w:rsidR="00DC1759" w:rsidRPr="006C0079" w:rsidRDefault="00DC1759">
            <w:pPr>
              <w:pStyle w:val="BulletText1"/>
            </w:pPr>
            <w:r w:rsidRPr="006C0079">
              <w:t xml:space="preserve">the evaluation is the prescribed </w:t>
            </w:r>
            <w:proofErr w:type="spellStart"/>
            <w:r w:rsidRPr="006C0079">
              <w:t>schedular</w:t>
            </w:r>
            <w:proofErr w:type="spellEnd"/>
            <w:r w:rsidRPr="006C0079">
              <w:t xml:space="preserve"> minimum</w:t>
            </w:r>
            <w:r w:rsidR="0072539C" w:rsidRPr="006C0079">
              <w:t xml:space="preserve"> within its diagnostic code</w:t>
            </w:r>
          </w:p>
          <w:p w:rsidR="0072539C" w:rsidRPr="006C0079" w:rsidRDefault="0072539C">
            <w:pPr>
              <w:pStyle w:val="BulletText1"/>
            </w:pPr>
            <w:r w:rsidRPr="006C0079">
              <w:t>the evaluation is 10 percent or less, or</w:t>
            </w:r>
          </w:p>
          <w:p w:rsidR="007E5E74" w:rsidRPr="006C0079" w:rsidRDefault="00DC1759" w:rsidP="007E5E74">
            <w:pPr>
              <w:pStyle w:val="BulletText1"/>
            </w:pPr>
            <w:proofErr w:type="gramStart"/>
            <w:r w:rsidRPr="006C0079">
              <w:t>the</w:t>
            </w:r>
            <w:proofErr w:type="gramEnd"/>
            <w:r w:rsidRPr="006C0079">
              <w:t xml:space="preserve"> combined evaluation would not change even if the reexamination resulted in a reduced evaluation for one or more disabilities.</w:t>
            </w:r>
          </w:p>
          <w:p w:rsidR="0083316F" w:rsidRPr="006C0079" w:rsidRDefault="0083316F" w:rsidP="00605B98">
            <w:pPr>
              <w:pStyle w:val="BulletText1"/>
              <w:numPr>
                <w:ilvl w:val="0"/>
                <w:numId w:val="0"/>
              </w:numPr>
              <w:rPr>
                <w:b/>
                <w:i/>
              </w:rPr>
            </w:pPr>
          </w:p>
          <w:p w:rsidR="00605B98" w:rsidRPr="006C0079" w:rsidRDefault="0083316F" w:rsidP="00605B98">
            <w:pPr>
              <w:pStyle w:val="BulletText1"/>
              <w:numPr>
                <w:ilvl w:val="0"/>
                <w:numId w:val="0"/>
              </w:numPr>
            </w:pPr>
            <w:r w:rsidRPr="006C0079">
              <w:rPr>
                <w:b/>
                <w:i/>
              </w:rPr>
              <w:t>Important</w:t>
            </w:r>
            <w:r w:rsidR="00605B98" w:rsidRPr="006C0079">
              <w:t xml:space="preserve">:  </w:t>
            </w:r>
            <w:r w:rsidRPr="006C0079">
              <w:t>When deciding if a disability is static or not, o</w:t>
            </w:r>
            <w:r w:rsidR="00605B98" w:rsidRPr="006C0079">
              <w:t xml:space="preserve">nly order a future examination if there is objective evidence stating clearly </w:t>
            </w:r>
            <w:r w:rsidRPr="006C0079">
              <w:t>a</w:t>
            </w:r>
            <w:r w:rsidR="00605B98" w:rsidRPr="006C0079">
              <w:t xml:space="preserve"> disability is likely to improve.</w:t>
            </w:r>
          </w:p>
          <w:p w:rsidR="007E5E74" w:rsidRPr="006C0079" w:rsidRDefault="007E5E74" w:rsidP="00BB5BCA">
            <w:pPr>
              <w:pStyle w:val="ListParagraph"/>
              <w:ind w:left="158"/>
            </w:pPr>
          </w:p>
          <w:p w:rsidR="00DC1759" w:rsidRPr="006C0079" w:rsidRDefault="00DC1759" w:rsidP="00FC48C4">
            <w:pPr>
              <w:pStyle w:val="BlockText"/>
            </w:pPr>
            <w:r w:rsidRPr="006C0079">
              <w:rPr>
                <w:b/>
                <w:bCs/>
                <w:i/>
                <w:iCs/>
              </w:rPr>
              <w:t>Reference</w:t>
            </w:r>
            <w:r w:rsidRPr="006C0079">
              <w:t xml:space="preserve">:  For more information on when </w:t>
            </w:r>
            <w:r w:rsidRPr="006C0079">
              <w:rPr>
                <w:i/>
                <w:iCs/>
              </w:rPr>
              <w:t>not</w:t>
            </w:r>
            <w:r w:rsidRPr="006C0079">
              <w:t xml:space="preserve"> to schedule reexaminations, see </w:t>
            </w:r>
            <w:hyperlink r:id="rId21" w:history="1">
              <w:r w:rsidR="00FC48C4" w:rsidRPr="006C0079">
                <w:rPr>
                  <w:rStyle w:val="Hyperlink"/>
                </w:rPr>
                <w:t xml:space="preserve">38 </w:t>
              </w:r>
              <w:proofErr w:type="spellStart"/>
              <w:r w:rsidR="00FC48C4" w:rsidRPr="006C0079">
                <w:rPr>
                  <w:rStyle w:val="Hyperlink"/>
                </w:rPr>
                <w:t>C</w:t>
              </w:r>
              <w:r w:rsidR="00F223E5" w:rsidRPr="006C0079">
                <w:rPr>
                  <w:rStyle w:val="Hyperlink"/>
                </w:rPr>
                <w:t>FR</w:t>
              </w:r>
              <w:proofErr w:type="spellEnd"/>
              <w:r w:rsidR="00F223E5" w:rsidRPr="006C0079">
                <w:rPr>
                  <w:rStyle w:val="Hyperlink"/>
                </w:rPr>
                <w:t xml:space="preserve"> 3.327(b)</w:t>
              </w:r>
            </w:hyperlink>
            <w:r w:rsidRPr="006C0079">
              <w:t>.</w:t>
            </w:r>
          </w:p>
        </w:tc>
      </w:tr>
    </w:tbl>
    <w:p w:rsidR="009447A1" w:rsidRPr="006C0079" w:rsidRDefault="009447A1" w:rsidP="009447A1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E70E8" w:rsidRPr="006C0079" w:rsidTr="009E70E8">
        <w:tc>
          <w:tcPr>
            <w:tcW w:w="1728" w:type="dxa"/>
            <w:shd w:val="clear" w:color="auto" w:fill="auto"/>
          </w:tcPr>
          <w:p w:rsidR="009E70E8" w:rsidRPr="006C0079" w:rsidRDefault="009E70E8" w:rsidP="005B5F6F">
            <w:pPr>
              <w:pStyle w:val="Heading5"/>
            </w:pPr>
            <w:bookmarkStart w:id="11" w:name="_d.__When"/>
            <w:bookmarkEnd w:id="11"/>
            <w:proofErr w:type="gramStart"/>
            <w:r w:rsidRPr="006C0079">
              <w:t>d.  When</w:t>
            </w:r>
            <w:proofErr w:type="gramEnd"/>
            <w:r w:rsidRPr="006C0079">
              <w:t xml:space="preserve"> Review Examination Shows Improvement of a </w:t>
            </w:r>
            <w:r w:rsidR="005B5F6F" w:rsidRPr="006C0079">
              <w:t xml:space="preserve">Stabilized </w:t>
            </w:r>
            <w:r w:rsidRPr="006C0079">
              <w:t>Disability</w:t>
            </w:r>
          </w:p>
        </w:tc>
        <w:tc>
          <w:tcPr>
            <w:tcW w:w="7740" w:type="dxa"/>
            <w:shd w:val="clear" w:color="auto" w:fill="auto"/>
          </w:tcPr>
          <w:p w:rsidR="009E70E8" w:rsidRPr="006C0079" w:rsidRDefault="00BA1784" w:rsidP="00F90C29">
            <w:pPr>
              <w:pStyle w:val="BlockText"/>
            </w:pPr>
            <w:r w:rsidRPr="006C0079">
              <w:t xml:space="preserve">When the results of </w:t>
            </w:r>
            <w:r w:rsidR="00F90C29" w:rsidRPr="006C0079">
              <w:t xml:space="preserve">a </w:t>
            </w:r>
            <w:r w:rsidRPr="006C0079">
              <w:t xml:space="preserve">review examination show improvement </w:t>
            </w:r>
            <w:r w:rsidR="00E53AB5" w:rsidRPr="006C0079">
              <w:t>of</w:t>
            </w:r>
            <w:r w:rsidRPr="006C0079">
              <w:t xml:space="preserve"> </w:t>
            </w:r>
            <w:r w:rsidR="00811749" w:rsidRPr="006C0079">
              <w:t>a</w:t>
            </w:r>
            <w:r w:rsidR="005B5F6F" w:rsidRPr="006C0079">
              <w:t xml:space="preserve"> stabilized</w:t>
            </w:r>
            <w:r w:rsidR="00811749" w:rsidRPr="006C0079">
              <w:t xml:space="preserve"> </w:t>
            </w:r>
            <w:r w:rsidR="005B5F6F" w:rsidRPr="006C0079">
              <w:t xml:space="preserve">disability, and </w:t>
            </w:r>
            <w:r w:rsidR="00E8600C" w:rsidRPr="006C0079">
              <w:t xml:space="preserve">it is determined another </w:t>
            </w:r>
            <w:r w:rsidRPr="006C0079">
              <w:t>review examination</w:t>
            </w:r>
            <w:r w:rsidR="00E8600C" w:rsidRPr="006C0079">
              <w:t xml:space="preserve"> </w:t>
            </w:r>
            <w:proofErr w:type="gramStart"/>
            <w:r w:rsidR="00E8600C" w:rsidRPr="006C0079">
              <w:t>is needed</w:t>
            </w:r>
            <w:proofErr w:type="gramEnd"/>
            <w:r w:rsidR="00E8600C" w:rsidRPr="006C0079">
              <w:t>, schedule it</w:t>
            </w:r>
            <w:r w:rsidRPr="006C0079">
              <w:t xml:space="preserve"> 18, 24, or 30 months from the date of the </w:t>
            </w:r>
            <w:r w:rsidR="00E8600C" w:rsidRPr="006C0079">
              <w:t xml:space="preserve">new </w:t>
            </w:r>
            <w:r w:rsidRPr="006C0079">
              <w:t>rating.</w:t>
            </w:r>
          </w:p>
          <w:p w:rsidR="005B5F6F" w:rsidRPr="006C0079" w:rsidRDefault="005B5F6F" w:rsidP="00F90C29">
            <w:pPr>
              <w:pStyle w:val="BlockText"/>
            </w:pPr>
          </w:p>
          <w:p w:rsidR="00811749" w:rsidRPr="006C0079" w:rsidRDefault="00F90C29" w:rsidP="00F90C29">
            <w:pPr>
              <w:pStyle w:val="BlockText"/>
            </w:pPr>
            <w:r w:rsidRPr="006C0079">
              <w:rPr>
                <w:b/>
                <w:i/>
              </w:rPr>
              <w:t>Reference</w:t>
            </w:r>
            <w:r w:rsidR="00F46476" w:rsidRPr="006C0079">
              <w:rPr>
                <w:b/>
                <w:i/>
              </w:rPr>
              <w:t>s</w:t>
            </w:r>
            <w:r w:rsidRPr="006C0079">
              <w:t xml:space="preserve">:  For more information on </w:t>
            </w:r>
          </w:p>
          <w:p w:rsidR="00F90C29" w:rsidRPr="006C0079" w:rsidRDefault="00F90C29" w:rsidP="00811749">
            <w:pPr>
              <w:pStyle w:val="BulletText1"/>
            </w:pPr>
            <w:r w:rsidRPr="006C0079">
              <w:t xml:space="preserve">stabilization of disability evaluations, see </w:t>
            </w:r>
            <w:hyperlink r:id="rId22" w:history="1">
              <w:r w:rsidRPr="006C0079">
                <w:rPr>
                  <w:rStyle w:val="Hyperlink"/>
                </w:rPr>
                <w:t xml:space="preserve">38 </w:t>
              </w:r>
              <w:proofErr w:type="spellStart"/>
              <w:r w:rsidRPr="006C0079">
                <w:rPr>
                  <w:rStyle w:val="Hyperlink"/>
                </w:rPr>
                <w:t>CFR</w:t>
              </w:r>
              <w:proofErr w:type="spellEnd"/>
              <w:r w:rsidRPr="006C0079">
                <w:rPr>
                  <w:rStyle w:val="Hyperlink"/>
                </w:rPr>
                <w:t xml:space="preserve"> 3.344</w:t>
              </w:r>
            </w:hyperlink>
            <w:r w:rsidR="00811749" w:rsidRPr="006C0079">
              <w:t>, and</w:t>
            </w:r>
          </w:p>
          <w:p w:rsidR="00811749" w:rsidRPr="006C0079" w:rsidRDefault="00D031D5" w:rsidP="00F93585">
            <w:pPr>
              <w:pStyle w:val="BulletText1"/>
            </w:pPr>
            <w:proofErr w:type="gramStart"/>
            <w:r w:rsidRPr="006C0079">
              <w:t>reduction</w:t>
            </w:r>
            <w:proofErr w:type="gramEnd"/>
            <w:r w:rsidR="00811749" w:rsidRPr="006C0079">
              <w:t xml:space="preserve"> in evaluation of </w:t>
            </w:r>
            <w:r w:rsidRPr="006C0079">
              <w:t xml:space="preserve">a </w:t>
            </w:r>
            <w:r w:rsidR="00811749" w:rsidRPr="006C0079">
              <w:t>stabilized disabilit</w:t>
            </w:r>
            <w:r w:rsidRPr="006C0079">
              <w:t>y</w:t>
            </w:r>
            <w:r w:rsidR="00811749" w:rsidRPr="006C0079">
              <w:t xml:space="preserve">, see </w:t>
            </w:r>
            <w:proofErr w:type="spellStart"/>
            <w:r w:rsidR="00F93585" w:rsidRPr="006C0079">
              <w:t>M21</w:t>
            </w:r>
            <w:proofErr w:type="spellEnd"/>
            <w:r w:rsidR="00F93585" w:rsidRPr="006C0079">
              <w:t xml:space="preserve">-1, Part III, Subpart iv, </w:t>
            </w:r>
            <w:proofErr w:type="spellStart"/>
            <w:r w:rsidR="00F93585" w:rsidRPr="006C0079">
              <w:t>8.D.2</w:t>
            </w:r>
            <w:proofErr w:type="spellEnd"/>
            <w:r w:rsidR="00811749" w:rsidRPr="006C0079">
              <w:t>.</w:t>
            </w:r>
          </w:p>
        </w:tc>
      </w:tr>
    </w:tbl>
    <w:p w:rsidR="009447A1" w:rsidRPr="006C0079" w:rsidRDefault="009447A1" w:rsidP="009447A1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>
        <w:trPr>
          <w:cantSplit/>
        </w:trPr>
        <w:tc>
          <w:tcPr>
            <w:tcW w:w="1728" w:type="dxa"/>
          </w:tcPr>
          <w:p w:rsidR="00DC1759" w:rsidRPr="006C0079" w:rsidRDefault="002D63B5">
            <w:pPr>
              <w:pStyle w:val="Heading5"/>
            </w:pPr>
            <w:bookmarkStart w:id="12" w:name="_e.__Scheduling"/>
            <w:bookmarkEnd w:id="12"/>
            <w:proofErr w:type="gramStart"/>
            <w:r w:rsidRPr="006C0079">
              <w:t>e</w:t>
            </w:r>
            <w:r w:rsidR="00DC1759" w:rsidRPr="006C0079">
              <w:t>.  Scheduling</w:t>
            </w:r>
            <w:proofErr w:type="gramEnd"/>
            <w:r w:rsidR="00DC1759" w:rsidRPr="006C0079">
              <w:t xml:space="preserve"> Reexaminations in Pension Cases</w:t>
            </w:r>
          </w:p>
        </w:tc>
        <w:tc>
          <w:tcPr>
            <w:tcW w:w="7740" w:type="dxa"/>
          </w:tcPr>
          <w:p w:rsidR="00DC1759" w:rsidRPr="006C0079" w:rsidRDefault="00DC1759">
            <w:pPr>
              <w:pStyle w:val="BlockText"/>
            </w:pPr>
            <w:r w:rsidRPr="006C0079">
              <w:t>Do not routinely request reexamination in disability pension cases.</w:t>
            </w:r>
          </w:p>
          <w:p w:rsidR="00DC1759" w:rsidRPr="006C0079" w:rsidRDefault="00DC1759">
            <w:pPr>
              <w:pStyle w:val="BlockText"/>
            </w:pPr>
          </w:p>
          <w:p w:rsidR="00DC1759" w:rsidRPr="006C0079" w:rsidRDefault="00DC1759">
            <w:pPr>
              <w:pStyle w:val="BlockText"/>
            </w:pPr>
            <w:r w:rsidRPr="006C0079">
              <w:rPr>
                <w:b/>
                <w:i/>
              </w:rPr>
              <w:t>Note</w:t>
            </w:r>
            <w:r w:rsidRPr="006C0079">
              <w:t xml:space="preserve">:  If a reexamination is scheduled, fully explain the reason for reexamination in the </w:t>
            </w:r>
            <w:r w:rsidR="0029097A" w:rsidRPr="006C0079">
              <w:rPr>
                <w:i/>
              </w:rPr>
              <w:t>R</w:t>
            </w:r>
            <w:r w:rsidRPr="006C0079">
              <w:rPr>
                <w:i/>
              </w:rPr>
              <w:t xml:space="preserve">easons and </w:t>
            </w:r>
            <w:r w:rsidR="0029097A" w:rsidRPr="006C0079">
              <w:rPr>
                <w:i/>
              </w:rPr>
              <w:t>B</w:t>
            </w:r>
            <w:r w:rsidRPr="006C0079">
              <w:rPr>
                <w:i/>
              </w:rPr>
              <w:t>ases</w:t>
            </w:r>
            <w:r w:rsidRPr="006C0079">
              <w:t xml:space="preserve"> section of the rating decision.</w:t>
            </w:r>
          </w:p>
          <w:p w:rsidR="00DC1759" w:rsidRPr="006C0079" w:rsidRDefault="00DC1759">
            <w:pPr>
              <w:pStyle w:val="BlockText"/>
            </w:pPr>
          </w:p>
          <w:p w:rsidR="00DC1759" w:rsidRPr="006C0079" w:rsidRDefault="00DC1759" w:rsidP="00FC48C4">
            <w:pPr>
              <w:pStyle w:val="BlockText"/>
            </w:pPr>
            <w:r w:rsidRPr="006C0079">
              <w:rPr>
                <w:b/>
                <w:i/>
              </w:rPr>
              <w:t>Reference</w:t>
            </w:r>
            <w:r w:rsidRPr="006C0079">
              <w:t xml:space="preserve">:  For more information on reexaminations, see </w:t>
            </w:r>
            <w:hyperlink r:id="rId23" w:history="1">
              <w:r w:rsidR="00FC48C4" w:rsidRPr="006C0079">
                <w:rPr>
                  <w:rStyle w:val="Hyperlink"/>
                </w:rPr>
                <w:t xml:space="preserve">38 </w:t>
              </w:r>
              <w:proofErr w:type="spellStart"/>
              <w:r w:rsidR="00FC48C4" w:rsidRPr="006C0079">
                <w:rPr>
                  <w:rStyle w:val="Hyperlink"/>
                </w:rPr>
                <w:t>CFR</w:t>
              </w:r>
              <w:proofErr w:type="spellEnd"/>
              <w:r w:rsidR="00F223E5" w:rsidRPr="006C0079">
                <w:rPr>
                  <w:rStyle w:val="Hyperlink"/>
                </w:rPr>
                <w:t xml:space="preserve"> 3</w:t>
              </w:r>
              <w:r w:rsidRPr="006C0079">
                <w:rPr>
                  <w:rStyle w:val="Hyperlink"/>
                </w:rPr>
                <w:t>.327</w:t>
              </w:r>
            </w:hyperlink>
            <w:r w:rsidRPr="006C0079">
              <w:t>.</w:t>
            </w:r>
          </w:p>
        </w:tc>
      </w:tr>
    </w:tbl>
    <w:p w:rsidR="00DC1759" w:rsidRPr="006C0079" w:rsidRDefault="00DC175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>
        <w:trPr>
          <w:cantSplit/>
        </w:trPr>
        <w:tc>
          <w:tcPr>
            <w:tcW w:w="1728" w:type="dxa"/>
          </w:tcPr>
          <w:p w:rsidR="00DC1759" w:rsidRPr="006C0079" w:rsidRDefault="002D63B5" w:rsidP="00F8028B">
            <w:pPr>
              <w:pStyle w:val="Heading5"/>
            </w:pPr>
            <w:bookmarkStart w:id="13" w:name="_f.__Annotating"/>
            <w:bookmarkEnd w:id="13"/>
            <w:proofErr w:type="gramStart"/>
            <w:r w:rsidRPr="006C0079">
              <w:t>f</w:t>
            </w:r>
            <w:r w:rsidR="00DC1759" w:rsidRPr="006C0079">
              <w:t xml:space="preserve">.  </w:t>
            </w:r>
            <w:r w:rsidR="00F8028B" w:rsidRPr="006C0079">
              <w:t>Documenting</w:t>
            </w:r>
            <w:proofErr w:type="gramEnd"/>
            <w:r w:rsidR="00F8028B" w:rsidRPr="006C0079">
              <w:t xml:space="preserve"> the Cancellation of Review </w:t>
            </w:r>
            <w:r w:rsidR="00DC1759" w:rsidRPr="006C0079">
              <w:t>Examinations</w:t>
            </w:r>
          </w:p>
        </w:tc>
        <w:tc>
          <w:tcPr>
            <w:tcW w:w="7740" w:type="dxa"/>
          </w:tcPr>
          <w:p w:rsidR="00DC1759" w:rsidRPr="006C0079" w:rsidRDefault="00DC1759" w:rsidP="00AD0C95">
            <w:pPr>
              <w:pStyle w:val="BlockText"/>
              <w:rPr>
                <w:i/>
              </w:rPr>
            </w:pPr>
            <w:r w:rsidRPr="006C0079">
              <w:t xml:space="preserve">If a future examination </w:t>
            </w:r>
            <w:r w:rsidR="008D2543" w:rsidRPr="006C0079">
              <w:t>control</w:t>
            </w:r>
            <w:r w:rsidR="00F8028B" w:rsidRPr="006C0079">
              <w:t xml:space="preserve">, </w:t>
            </w:r>
            <w:r w:rsidR="00F8028B" w:rsidRPr="006C0079">
              <w:rPr>
                <w:i/>
                <w:iCs/>
              </w:rPr>
              <w:t>810 series work item,</w:t>
            </w:r>
            <w:r w:rsidR="00E53936" w:rsidRPr="006C0079">
              <w:rPr>
                <w:i/>
                <w:iCs/>
              </w:rPr>
              <w:t xml:space="preserve"> or</w:t>
            </w:r>
            <w:r w:rsidR="00F8028B" w:rsidRPr="006C0079">
              <w:rPr>
                <w:i/>
                <w:iCs/>
              </w:rPr>
              <w:t xml:space="preserve"> </w:t>
            </w:r>
            <w:proofErr w:type="spellStart"/>
            <w:r w:rsidR="00F8028B" w:rsidRPr="006C0079">
              <w:rPr>
                <w:i/>
                <w:iCs/>
              </w:rPr>
              <w:t>631A</w:t>
            </w:r>
            <w:proofErr w:type="spellEnd"/>
            <w:r w:rsidR="00F8028B" w:rsidRPr="006C0079">
              <w:rPr>
                <w:i/>
                <w:iCs/>
              </w:rPr>
              <w:t xml:space="preserve"> Future Physical Examination</w:t>
            </w:r>
            <w:r w:rsidR="008D2543" w:rsidRPr="006C0079">
              <w:t xml:space="preserve"> </w:t>
            </w:r>
            <w:r w:rsidRPr="006C0079">
              <w:t xml:space="preserve">is canceled, </w:t>
            </w:r>
            <w:r w:rsidR="00AD0C95" w:rsidRPr="006C0079">
              <w:t xml:space="preserve">place a note in </w:t>
            </w:r>
            <w:r w:rsidR="006E0498" w:rsidRPr="006C0079">
              <w:t>the Veterans Benefits Management System (</w:t>
            </w:r>
            <w:proofErr w:type="spellStart"/>
            <w:r w:rsidR="00AD0C95" w:rsidRPr="006C0079">
              <w:t>VBMS</w:t>
            </w:r>
            <w:proofErr w:type="spellEnd"/>
            <w:r w:rsidR="006E0498" w:rsidRPr="006C0079">
              <w:t>)</w:t>
            </w:r>
            <w:r w:rsidR="00AD0C95" w:rsidRPr="006C0079">
              <w:t xml:space="preserve"> as to the reason for cancellation.</w:t>
            </w:r>
          </w:p>
          <w:p w:rsidR="006E0498" w:rsidRPr="006C0079" w:rsidRDefault="006E0498" w:rsidP="006E0498">
            <w:pPr>
              <w:pStyle w:val="BlockText"/>
              <w:rPr>
                <w:b/>
                <w:i/>
              </w:rPr>
            </w:pPr>
            <w:r w:rsidRPr="006C0079">
              <w:rPr>
                <w:b/>
                <w:i/>
              </w:rPr>
              <w:t xml:space="preserve"> </w:t>
            </w:r>
          </w:p>
          <w:p w:rsidR="006E0498" w:rsidRPr="006C0079" w:rsidRDefault="006E0498" w:rsidP="006E0498">
            <w:pPr>
              <w:pStyle w:val="BlockText"/>
            </w:pPr>
            <w:r w:rsidRPr="006C0079">
              <w:rPr>
                <w:b/>
                <w:i/>
              </w:rPr>
              <w:t>Reference</w:t>
            </w:r>
            <w:r w:rsidR="00F230A5" w:rsidRPr="006C0079">
              <w:rPr>
                <w:b/>
                <w:i/>
              </w:rPr>
              <w:t>s</w:t>
            </w:r>
            <w:r w:rsidRPr="006C0079">
              <w:t xml:space="preserve">:  For more information on </w:t>
            </w:r>
          </w:p>
          <w:p w:rsidR="003363C6" w:rsidRPr="006C0079" w:rsidRDefault="006E0498" w:rsidP="00BB5BCA">
            <w:pPr>
              <w:pStyle w:val="BulletText1"/>
            </w:pPr>
            <w:r w:rsidRPr="006C0079">
              <w:t xml:space="preserve">action when the control period for the future examination matures, see </w:t>
            </w:r>
            <w:proofErr w:type="spellStart"/>
            <w:r w:rsidRPr="006C0079">
              <w:t>M21</w:t>
            </w:r>
            <w:proofErr w:type="spellEnd"/>
            <w:r w:rsidRPr="006C0079">
              <w:t xml:space="preserve">-1, Part III, Subpart iv, </w:t>
            </w:r>
            <w:proofErr w:type="spellStart"/>
            <w:r w:rsidRPr="006C0079">
              <w:t>3.C</w:t>
            </w:r>
            <w:r w:rsidRPr="006C0079">
              <w:rPr>
                <w:color w:val="auto"/>
              </w:rPr>
              <w:t>.</w:t>
            </w:r>
            <w:r w:rsidR="00F93585" w:rsidRPr="006C0079">
              <w:rPr>
                <w:color w:val="auto"/>
              </w:rPr>
              <w:t>2</w:t>
            </w:r>
            <w:r w:rsidR="0011622D" w:rsidRPr="006C0079">
              <w:rPr>
                <w:rStyle w:val="Hyperlink"/>
                <w:color w:val="auto"/>
                <w:u w:val="none"/>
              </w:rPr>
              <w:t>.d</w:t>
            </w:r>
            <w:proofErr w:type="spellEnd"/>
            <w:r w:rsidRPr="006C0079">
              <w:rPr>
                <w:color w:val="auto"/>
              </w:rPr>
              <w:t xml:space="preserve">, </w:t>
            </w:r>
            <w:r w:rsidRPr="006C0079">
              <w:t xml:space="preserve">and </w:t>
            </w:r>
          </w:p>
          <w:p w:rsidR="00DC1759" w:rsidRPr="006C0079" w:rsidRDefault="006E0498" w:rsidP="00BB5BCA">
            <w:pPr>
              <w:pStyle w:val="BulletText1"/>
            </w:pPr>
            <w:r w:rsidRPr="006C0079">
              <w:t xml:space="preserve">rating action after a future examination is canceled, see </w:t>
            </w:r>
            <w:proofErr w:type="spellStart"/>
            <w:r w:rsidRPr="006C0079">
              <w:t>M21</w:t>
            </w:r>
            <w:proofErr w:type="spellEnd"/>
            <w:r w:rsidRPr="006C0079">
              <w:t xml:space="preserve">-1, Part III, Subpart iv, </w:t>
            </w:r>
            <w:proofErr w:type="spellStart"/>
            <w:r w:rsidRPr="006C0079">
              <w:t>3.B.</w:t>
            </w:r>
            <w:r w:rsidR="00F93585" w:rsidRPr="006C0079">
              <w:t>2</w:t>
            </w:r>
            <w:r w:rsidRPr="006C0079">
              <w:t>.h</w:t>
            </w:r>
            <w:proofErr w:type="spellEnd"/>
            <w:r w:rsidRPr="006C0079">
              <w:t>.</w:t>
            </w:r>
          </w:p>
        </w:tc>
      </w:tr>
    </w:tbl>
    <w:p w:rsidR="00DC1759" w:rsidRPr="006C0079" w:rsidRDefault="00DC175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>
        <w:trPr>
          <w:cantSplit/>
        </w:trPr>
        <w:tc>
          <w:tcPr>
            <w:tcW w:w="1728" w:type="dxa"/>
          </w:tcPr>
          <w:p w:rsidR="00DC1759" w:rsidRPr="006C0079" w:rsidRDefault="002D63B5">
            <w:pPr>
              <w:pStyle w:val="Heading5"/>
            </w:pPr>
            <w:bookmarkStart w:id="14" w:name="_g.__Failure"/>
            <w:bookmarkEnd w:id="14"/>
            <w:proofErr w:type="gramStart"/>
            <w:r w:rsidRPr="006C0079">
              <w:t>g</w:t>
            </w:r>
            <w:r w:rsidR="00DC1759" w:rsidRPr="006C0079">
              <w:t>.  Failure</w:t>
            </w:r>
            <w:proofErr w:type="gramEnd"/>
            <w:r w:rsidR="00DC1759" w:rsidRPr="006C0079">
              <w:t xml:space="preserve"> to Report for a Review Examination</w:t>
            </w:r>
          </w:p>
        </w:tc>
        <w:tc>
          <w:tcPr>
            <w:tcW w:w="7740" w:type="dxa"/>
          </w:tcPr>
          <w:p w:rsidR="00DC1759" w:rsidRPr="006C0079" w:rsidRDefault="00DC1759" w:rsidP="00FB760B">
            <w:pPr>
              <w:pStyle w:val="BlockText"/>
            </w:pPr>
            <w:r w:rsidRPr="006C0079">
              <w:t xml:space="preserve">For more information on what to do when the claimant fails to report for a review examination, see </w:t>
            </w:r>
            <w:proofErr w:type="spellStart"/>
            <w:r w:rsidR="00D914F3" w:rsidRPr="006C0079">
              <w:t>M21</w:t>
            </w:r>
            <w:proofErr w:type="spellEnd"/>
            <w:r w:rsidR="00D914F3" w:rsidRPr="006C0079">
              <w:t xml:space="preserve">-1, Part III, Subpart iv, </w:t>
            </w:r>
            <w:proofErr w:type="spellStart"/>
            <w:r w:rsidR="00D914F3" w:rsidRPr="006C0079">
              <w:t>8.E.1</w:t>
            </w:r>
            <w:proofErr w:type="spellEnd"/>
            <w:r w:rsidRPr="006C0079">
              <w:t>.</w:t>
            </w:r>
          </w:p>
          <w:p w:rsidR="00E53936" w:rsidRPr="006C0079" w:rsidRDefault="00E53936" w:rsidP="00FB760B">
            <w:pPr>
              <w:pStyle w:val="BlockText"/>
            </w:pPr>
          </w:p>
          <w:p w:rsidR="00E53936" w:rsidRPr="006C0079" w:rsidRDefault="00E53936" w:rsidP="003A1B27">
            <w:pPr>
              <w:pStyle w:val="BlockText"/>
            </w:pPr>
            <w:r w:rsidRPr="006C0079">
              <w:rPr>
                <w:b/>
                <w:i/>
              </w:rPr>
              <w:t>Important:</w:t>
            </w:r>
            <w:r w:rsidRPr="006C0079">
              <w:t xml:space="preserve"> </w:t>
            </w:r>
            <w:r w:rsidR="004403DA" w:rsidRPr="006C0079">
              <w:t>According to</w:t>
            </w:r>
            <w:r w:rsidR="003A1B27" w:rsidRPr="006C0079">
              <w:t xml:space="preserve"> </w:t>
            </w:r>
            <w:hyperlink r:id="rId24" w:history="1">
              <w:proofErr w:type="spellStart"/>
              <w:r w:rsidR="004403DA" w:rsidRPr="006C0079">
                <w:rPr>
                  <w:rStyle w:val="Hyperlink"/>
                </w:rPr>
                <w:t>VAOPGCPREC</w:t>
              </w:r>
              <w:proofErr w:type="spellEnd"/>
              <w:r w:rsidR="004403DA" w:rsidRPr="006C0079">
                <w:rPr>
                  <w:rStyle w:val="Hyperlink"/>
                </w:rPr>
                <w:t xml:space="preserve"> 04-91</w:t>
              </w:r>
            </w:hyperlink>
            <w:r w:rsidR="004403DA" w:rsidRPr="006C0079">
              <w:t>, a</w:t>
            </w:r>
            <w:r w:rsidRPr="006C0079">
              <w:t xml:space="preserve"> Veteran’s refusal to participate in an examination</w:t>
            </w:r>
            <w:r w:rsidR="00F230A5" w:rsidRPr="006C0079">
              <w:t xml:space="preserve"> without the presence of an attorney or a recording device</w:t>
            </w:r>
            <w:r w:rsidRPr="006C0079">
              <w:t xml:space="preserve"> </w:t>
            </w:r>
            <w:r w:rsidR="00F230A5" w:rsidRPr="006C0079">
              <w:t>will be considered a failure to report for examination</w:t>
            </w:r>
            <w:r w:rsidR="00043858" w:rsidRPr="006C0079">
              <w:t xml:space="preserve"> under </w:t>
            </w:r>
            <w:hyperlink r:id="rId25" w:history="1">
              <w:r w:rsidR="00043858" w:rsidRPr="006C0079">
                <w:rPr>
                  <w:rStyle w:val="Hyperlink"/>
                </w:rPr>
                <w:t xml:space="preserve">38 </w:t>
              </w:r>
              <w:proofErr w:type="spellStart"/>
              <w:r w:rsidR="00043858" w:rsidRPr="006C0079">
                <w:rPr>
                  <w:rStyle w:val="Hyperlink"/>
                </w:rPr>
                <w:t>CFR</w:t>
              </w:r>
              <w:proofErr w:type="spellEnd"/>
              <w:r w:rsidR="00043858" w:rsidRPr="006C0079">
                <w:rPr>
                  <w:rStyle w:val="Hyperlink"/>
                </w:rPr>
                <w:t xml:space="preserve"> 3.655</w:t>
              </w:r>
            </w:hyperlink>
            <w:r w:rsidR="00F230A5" w:rsidRPr="006C0079">
              <w:t>.</w:t>
            </w:r>
          </w:p>
        </w:tc>
      </w:tr>
    </w:tbl>
    <w:p w:rsidR="00DC1759" w:rsidRPr="006C0079" w:rsidRDefault="00DC1759" w:rsidP="00570A6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C1759" w:rsidRPr="006C0079">
        <w:trPr>
          <w:cantSplit/>
        </w:trPr>
        <w:tc>
          <w:tcPr>
            <w:tcW w:w="1728" w:type="dxa"/>
          </w:tcPr>
          <w:p w:rsidR="00DC1759" w:rsidRPr="006C0079" w:rsidRDefault="002D63B5">
            <w:pPr>
              <w:pStyle w:val="Heading5"/>
            </w:pPr>
            <w:bookmarkStart w:id="15" w:name="_h.__Rating"/>
            <w:bookmarkEnd w:id="15"/>
            <w:proofErr w:type="gramStart"/>
            <w:r w:rsidRPr="006C0079">
              <w:t>h</w:t>
            </w:r>
            <w:r w:rsidR="00DC1759" w:rsidRPr="006C0079">
              <w:t>.  Rating</w:t>
            </w:r>
            <w:proofErr w:type="gramEnd"/>
            <w:r w:rsidR="00DC1759" w:rsidRPr="006C0079">
              <w:t xml:space="preserve"> Action Taken If Examination Is Canceled</w:t>
            </w:r>
          </w:p>
        </w:tc>
        <w:tc>
          <w:tcPr>
            <w:tcW w:w="7740" w:type="dxa"/>
          </w:tcPr>
          <w:p w:rsidR="00DC1759" w:rsidRPr="006C0079" w:rsidRDefault="00DC1759">
            <w:pPr>
              <w:pStyle w:val="BlockText"/>
            </w:pPr>
            <w:r w:rsidRPr="006C0079">
              <w:t xml:space="preserve">Use the following table to determine the rating action to take if an examination </w:t>
            </w:r>
            <w:proofErr w:type="gramStart"/>
            <w:r w:rsidRPr="006C0079">
              <w:t>is canceled</w:t>
            </w:r>
            <w:proofErr w:type="gramEnd"/>
            <w:r w:rsidRPr="006C0079">
              <w:t>.</w:t>
            </w:r>
          </w:p>
        </w:tc>
      </w:tr>
    </w:tbl>
    <w:p w:rsidR="00DC1759" w:rsidRPr="006C0079" w:rsidRDefault="00DC1759"/>
    <w:tbl>
      <w:tblPr>
        <w:tblW w:w="0" w:type="auto"/>
        <w:tblInd w:w="1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10"/>
        <w:gridCol w:w="5050"/>
      </w:tblGrid>
      <w:tr w:rsidR="00DC1759" w:rsidRPr="006C0079" w:rsidTr="006C0079">
        <w:trPr>
          <w:cantSplit/>
        </w:trPr>
        <w:tc>
          <w:tcPr>
            <w:tcW w:w="2510" w:type="dxa"/>
          </w:tcPr>
          <w:p w:rsidR="00DC1759" w:rsidRPr="006C0079" w:rsidRDefault="00DC1759">
            <w:pPr>
              <w:pStyle w:val="TableHeaderText"/>
              <w:jc w:val="left"/>
            </w:pPr>
            <w:r w:rsidRPr="006C0079">
              <w:t>If …</w:t>
            </w:r>
          </w:p>
        </w:tc>
        <w:tc>
          <w:tcPr>
            <w:tcW w:w="5050" w:type="dxa"/>
          </w:tcPr>
          <w:p w:rsidR="00DC1759" w:rsidRPr="006C0079" w:rsidRDefault="00DC1759">
            <w:pPr>
              <w:pStyle w:val="TableHeaderText"/>
              <w:jc w:val="left"/>
            </w:pPr>
            <w:r w:rsidRPr="006C0079">
              <w:t>Then …</w:t>
            </w:r>
          </w:p>
        </w:tc>
      </w:tr>
      <w:tr w:rsidR="00DC1759" w:rsidRPr="006C0079" w:rsidTr="006C0079">
        <w:tc>
          <w:tcPr>
            <w:tcW w:w="2510" w:type="dxa"/>
          </w:tcPr>
          <w:p w:rsidR="00DC1759" w:rsidRPr="006C0079" w:rsidRDefault="00DC1759">
            <w:pPr>
              <w:pStyle w:val="TableText"/>
            </w:pPr>
            <w:r w:rsidRPr="006C0079">
              <w:t xml:space="preserve">it is determined that a future examination should be canceled and the </w:t>
            </w:r>
            <w:r w:rsidR="00F223E5" w:rsidRPr="006C0079">
              <w:t>Veteran</w:t>
            </w:r>
            <w:r w:rsidRPr="006C0079">
              <w:t xml:space="preserve"> is receiving total compensation, either by</w:t>
            </w:r>
          </w:p>
          <w:p w:rsidR="00DC1759" w:rsidRPr="006C0079" w:rsidRDefault="00DC1759">
            <w:pPr>
              <w:pStyle w:val="TableText"/>
            </w:pPr>
          </w:p>
          <w:p w:rsidR="00DC1759" w:rsidRPr="006C0079" w:rsidRDefault="00DC1759">
            <w:pPr>
              <w:pStyle w:val="BulletText1"/>
            </w:pPr>
            <w:r w:rsidRPr="006C0079">
              <w:t xml:space="preserve">reason of 100 percent </w:t>
            </w:r>
            <w:proofErr w:type="spellStart"/>
            <w:r w:rsidRPr="006C0079">
              <w:t>schedular</w:t>
            </w:r>
            <w:proofErr w:type="spellEnd"/>
            <w:r w:rsidRPr="006C0079">
              <w:t xml:space="preserve"> evaluation, or</w:t>
            </w:r>
          </w:p>
          <w:p w:rsidR="00DC1759" w:rsidRPr="006C0079" w:rsidRDefault="00DC1759">
            <w:pPr>
              <w:pStyle w:val="BulletText1"/>
            </w:pPr>
            <w:r w:rsidRPr="006C0079">
              <w:t xml:space="preserve">entitlement to individual </w:t>
            </w:r>
            <w:proofErr w:type="spellStart"/>
            <w:r w:rsidRPr="006C0079">
              <w:t>unemployability</w:t>
            </w:r>
            <w:proofErr w:type="spellEnd"/>
          </w:p>
        </w:tc>
        <w:tc>
          <w:tcPr>
            <w:tcW w:w="5050" w:type="dxa"/>
          </w:tcPr>
          <w:p w:rsidR="00DC1759" w:rsidRPr="006C0079" w:rsidRDefault="00DC1759">
            <w:pPr>
              <w:pStyle w:val="BulletText1"/>
            </w:pPr>
            <w:r w:rsidRPr="006C0079">
              <w:t>prepare a rating decision establishing basic eligibility for Dependents’ Educational Assistance (DEA), and</w:t>
            </w:r>
          </w:p>
          <w:p w:rsidR="00DC1759" w:rsidRPr="006C0079" w:rsidRDefault="00DC1759">
            <w:pPr>
              <w:pStyle w:val="BulletText1"/>
            </w:pPr>
            <w:proofErr w:type="gramStart"/>
            <w:r w:rsidRPr="006C0079">
              <w:t>take</w:t>
            </w:r>
            <w:proofErr w:type="gramEnd"/>
            <w:r w:rsidRPr="006C0079">
              <w:t xml:space="preserve"> action to provide notice of potential entitlement to DEA.  </w:t>
            </w:r>
          </w:p>
          <w:p w:rsidR="00DC1759" w:rsidRPr="006C0079" w:rsidRDefault="00DC1759">
            <w:pPr>
              <w:pStyle w:val="TableText"/>
            </w:pPr>
          </w:p>
          <w:p w:rsidR="00DC1759" w:rsidRPr="006C0079" w:rsidRDefault="00DC1759">
            <w:pPr>
              <w:pStyle w:val="TableText"/>
            </w:pPr>
            <w:r w:rsidRPr="006C0079">
              <w:rPr>
                <w:b/>
                <w:i/>
              </w:rPr>
              <w:t>References</w:t>
            </w:r>
            <w:r w:rsidRPr="006C0079">
              <w:t>:  For more information on</w:t>
            </w:r>
          </w:p>
          <w:p w:rsidR="009B5EA4" w:rsidRPr="006C0079" w:rsidRDefault="00DC1759">
            <w:pPr>
              <w:pStyle w:val="BulletText1"/>
            </w:pPr>
            <w:r w:rsidRPr="006C0079">
              <w:t xml:space="preserve">preparing a rating decision for DEA, see </w:t>
            </w:r>
            <w:proofErr w:type="spellStart"/>
            <w:r w:rsidR="0070664F" w:rsidRPr="006C0079">
              <w:t>M21</w:t>
            </w:r>
            <w:proofErr w:type="spellEnd"/>
            <w:r w:rsidR="0070664F" w:rsidRPr="006C0079">
              <w:t>-1</w:t>
            </w:r>
            <w:r w:rsidRPr="006C0079">
              <w:t xml:space="preserve">, Part IX, Subpart ii, 2.1 </w:t>
            </w:r>
          </w:p>
          <w:p w:rsidR="00DC1759" w:rsidRPr="006C0079" w:rsidRDefault="009B5EA4">
            <w:pPr>
              <w:pStyle w:val="BulletText1"/>
            </w:pPr>
            <w:r w:rsidRPr="006C0079">
              <w:t xml:space="preserve">establishing an effective date of permanency, see </w:t>
            </w:r>
            <w:proofErr w:type="spellStart"/>
            <w:r w:rsidR="0070664F" w:rsidRPr="006C0079">
              <w:t>M21</w:t>
            </w:r>
            <w:proofErr w:type="spellEnd"/>
            <w:r w:rsidR="0070664F" w:rsidRPr="006C0079">
              <w:t>-1</w:t>
            </w:r>
            <w:r w:rsidRPr="006C0079">
              <w:t xml:space="preserve">, Part IX, Subpart ii, 2.1, </w:t>
            </w:r>
            <w:r w:rsidR="00DC1759" w:rsidRPr="006C0079">
              <w:t>and</w:t>
            </w:r>
          </w:p>
          <w:p w:rsidR="00DC1759" w:rsidRPr="006C0079" w:rsidRDefault="00DC1759" w:rsidP="0070664F">
            <w:pPr>
              <w:pStyle w:val="BulletText1"/>
            </w:pPr>
            <w:r w:rsidRPr="006C0079">
              <w:t xml:space="preserve">taking action to provide notice of entitlement to DEA, see </w:t>
            </w:r>
            <w:proofErr w:type="spellStart"/>
            <w:r w:rsidRPr="006C0079">
              <w:t>M21</w:t>
            </w:r>
            <w:proofErr w:type="spellEnd"/>
            <w:r w:rsidRPr="006C0079">
              <w:t xml:space="preserve">-1, Part III, Subpart iii, </w:t>
            </w:r>
            <w:proofErr w:type="spellStart"/>
            <w:r w:rsidRPr="006C0079">
              <w:t>6.C</w:t>
            </w:r>
            <w:proofErr w:type="spellEnd"/>
            <w:r w:rsidRPr="006C0079">
              <w:t>.</w:t>
            </w:r>
          </w:p>
        </w:tc>
      </w:tr>
    </w:tbl>
    <w:p w:rsidR="00DC1759" w:rsidRDefault="00B74D0D">
      <w:pPr>
        <w:pStyle w:val="BlockLine"/>
      </w:pPr>
      <w:r w:rsidRPr="006C0079">
        <w:lastRenderedPageBreak/>
        <w:fldChar w:fldCharType="begin">
          <w:fldData xml:space="preserve">RABvAGMAVABlAG0AcAAxAFYAYQByAFQAcgBhAGQAaQB0AGkAbwBuAGEAbAA=
</w:fldData>
        </w:fldChar>
      </w:r>
      <w:r w:rsidRPr="006C0079">
        <w:instrText xml:space="preserve"> ADDIN  \* MERGEFORMAT </w:instrText>
      </w:r>
      <w:r w:rsidRPr="006C0079">
        <w:fldChar w:fldCharType="end"/>
      </w:r>
      <w:r w:rsidRPr="006C0079">
        <w:fldChar w:fldCharType="begin">
          <w:fldData xml:space="preserve">RgBvAG4AdABTAGUAdABTAHQAYQBuAGQAYQByAGQA
</w:fldData>
        </w:fldChar>
      </w:r>
      <w:r w:rsidRPr="006C0079">
        <w:instrText xml:space="preserve"> ADDIN  \* MERGEFORMAT </w:instrText>
      </w:r>
      <w:r w:rsidRPr="006C0079">
        <w:fldChar w:fldCharType="end"/>
      </w:r>
      <w:r w:rsidR="000E6FB8" w:rsidRPr="006C0079">
        <w:fldChar w:fldCharType="begin">
          <w:fldData xml:space="preserve">RABvAGMAVABlAG0AcAAxAFYAYQByAFQAcgBhAGQAaQB0AGkAbwBuAGEAbAA=
</w:fldData>
        </w:fldChar>
      </w:r>
      <w:r w:rsidR="000E6FB8" w:rsidRPr="006C0079">
        <w:instrText xml:space="preserve"> ADDIN  \* MERGEFORMAT </w:instrText>
      </w:r>
      <w:r w:rsidR="000E6FB8" w:rsidRPr="006C0079">
        <w:fldChar w:fldCharType="end"/>
      </w:r>
      <w:r w:rsidR="000E6FB8" w:rsidRPr="006C0079">
        <w:fldChar w:fldCharType="begin">
          <w:fldData xml:space="preserve">RgBvAG4AdABTAGUAdABTAHQAYQBuAGQAYQByAGQA
</w:fldData>
        </w:fldChar>
      </w:r>
      <w:r w:rsidR="000E6FB8" w:rsidRPr="006C0079">
        <w:instrText xml:space="preserve"> ADDIN  \* MERGEFORMAT </w:instrText>
      </w:r>
      <w:r w:rsidR="000E6FB8" w:rsidRPr="006C0079">
        <w:fldChar w:fldCharType="end"/>
      </w:r>
      <w:r w:rsidR="00D44D38" w:rsidRPr="006C0079">
        <w:fldChar w:fldCharType="begin">
          <w:fldData xml:space="preserve">RABvAGMAVABlAG0AcAAxAFYAYQByAFQAcgBhAGQAaQB0AGkAbwBuAGEAbAA=
</w:fldData>
        </w:fldChar>
      </w:r>
      <w:r w:rsidR="00D44D38" w:rsidRPr="006C0079">
        <w:instrText xml:space="preserve"> ADDIN  \* MERGEFORMAT </w:instrText>
      </w:r>
      <w:r w:rsidR="00D44D38" w:rsidRPr="006C0079">
        <w:fldChar w:fldCharType="end"/>
      </w:r>
      <w:r w:rsidR="00D44D38" w:rsidRPr="006C0079">
        <w:fldChar w:fldCharType="begin">
          <w:fldData xml:space="preserve">RgBvAG4AdABTAGUAdABTAHQAYQBuAGQAYQByAGQA
</w:fldData>
        </w:fldChar>
      </w:r>
      <w:r w:rsidR="00D44D38" w:rsidRPr="006C0079">
        <w:instrText xml:space="preserve"> ADDIN  \* MERGEFORMAT </w:instrText>
      </w:r>
      <w:r w:rsidR="00D44D38" w:rsidRPr="006C0079">
        <w:fldChar w:fldCharType="end"/>
      </w:r>
      <w:r w:rsidR="00A15413" w:rsidRPr="006C0079">
        <w:fldChar w:fldCharType="begin">
          <w:fldData xml:space="preserve">RABvAGMAVABlAG0AcAAxAFYAYQByAFQAcgBhAGQAaQB0AGkAbwBuAGEAbAA=
</w:fldData>
        </w:fldChar>
      </w:r>
      <w:r w:rsidR="00A15413" w:rsidRPr="006C0079">
        <w:instrText xml:space="preserve"> ADDIN  \* MERGEFORMAT </w:instrText>
      </w:r>
      <w:r w:rsidR="00A15413" w:rsidRPr="006C0079">
        <w:fldChar w:fldCharType="end"/>
      </w:r>
      <w:r w:rsidR="00A15413" w:rsidRPr="006C0079">
        <w:fldChar w:fldCharType="begin">
          <w:fldData xml:space="preserve">RgBvAG4AdABTAGUAdABTAHQAYQBuAGQAYQByAGQA
</w:fldData>
        </w:fldChar>
      </w:r>
      <w:r w:rsidR="00A15413" w:rsidRPr="006C0079">
        <w:instrText xml:space="preserve"> ADDIN  \* MERGEFORMAT </w:instrText>
      </w:r>
      <w:r w:rsidR="00A15413" w:rsidRPr="006C0079">
        <w:fldChar w:fldCharType="end"/>
      </w:r>
      <w:r w:rsidR="005F37D4" w:rsidRPr="006C0079">
        <w:fldChar w:fldCharType="begin">
          <w:fldData xml:space="preserve">RABvAGMAVABlAG0AcAAxAFYAYQByAFQAcgBhAGQAaQB0AGkAbwBuAGEAbAA=
</w:fldData>
        </w:fldChar>
      </w:r>
      <w:r w:rsidR="005F37D4" w:rsidRPr="006C0079">
        <w:instrText xml:space="preserve"> ADDIN  \* MERGEFORMAT </w:instrText>
      </w:r>
      <w:r w:rsidR="005F37D4" w:rsidRPr="006C0079">
        <w:fldChar w:fldCharType="end"/>
      </w:r>
      <w:r w:rsidR="005F37D4" w:rsidRPr="006C0079">
        <w:fldChar w:fldCharType="begin">
          <w:fldData xml:space="preserve">RgBvAG4AdABTAGUAdABGAG8AbgB0AFMAZQB0AFMAdABhAG4AZABhAHIAZAA=
</w:fldData>
        </w:fldChar>
      </w:r>
      <w:r w:rsidR="005F37D4" w:rsidRPr="006C0079">
        <w:instrText xml:space="preserve"> ADDIN  \* MERGEFORMAT </w:instrText>
      </w:r>
      <w:r w:rsidR="005F37D4" w:rsidRPr="006C0079">
        <w:fldChar w:fldCharType="end"/>
      </w:r>
      <w:r w:rsidR="00C00973" w:rsidRPr="006C0079">
        <w:fldChar w:fldCharType="begin">
          <w:fldData xml:space="preserve">RABvAGMAVABlAG0AcAAxAFYAYQByAFQAcgBhAGQAaQB0AGkAbwBuAGEAbAA=
</w:fldData>
        </w:fldChar>
      </w:r>
      <w:r w:rsidR="00C00973" w:rsidRPr="006C0079">
        <w:instrText xml:space="preserve"> ADDIN  \* MERGEFORMAT </w:instrText>
      </w:r>
      <w:r w:rsidR="00C00973" w:rsidRPr="006C0079">
        <w:fldChar w:fldCharType="end"/>
      </w:r>
      <w:r w:rsidR="00C00973" w:rsidRPr="006C0079">
        <w:fldChar w:fldCharType="begin">
          <w:fldData xml:space="preserve">RgBvAG4AdABTAGUAdABGAG8AbgB0AFMAZQB0AEYAbwBuAHQAUwBlAHQAUwB0AGEAbgBkAGEAcgBk
AA==
</w:fldData>
        </w:fldChar>
      </w:r>
      <w:r w:rsidR="00C00973" w:rsidRPr="006C0079">
        <w:instrText xml:space="preserve"> ADDIN  \* MERGEFORMAT </w:instrText>
      </w:r>
      <w:r w:rsidR="00C00973" w:rsidRPr="006C0079">
        <w:fldChar w:fldCharType="end"/>
      </w:r>
      <w:r w:rsidR="00C27F20" w:rsidRPr="006C0079">
        <w:fldChar w:fldCharType="begin">
          <w:fldData xml:space="preserve">RABvAGMAVABlAG0AcAAxAFYAYQByAFQAcgBhAGQAaQB0AGkAbwBuAGEAbAA=
</w:fldData>
        </w:fldChar>
      </w:r>
      <w:r w:rsidR="00C27F20" w:rsidRPr="006C0079">
        <w:instrText xml:space="preserve"> ADDIN  \* MERGEFORMAT </w:instrText>
      </w:r>
      <w:r w:rsidR="00C27F20" w:rsidRPr="006C0079">
        <w:fldChar w:fldCharType="end"/>
      </w:r>
      <w:r w:rsidR="00C27F20" w:rsidRPr="006C0079">
        <w:fldChar w:fldCharType="begin">
          <w:fldData xml:space="preserve">RgBvAG4AdABTAGUAdABGAG8AbgB0AFMAZQB0AEYAbwBuAHQAUwBlAHQARgBvAG4AdABTAGUAdABT
AHQAYQBuAGQAYQByAGQA
</w:fldData>
        </w:fldChar>
      </w:r>
      <w:r w:rsidR="00C27F20" w:rsidRPr="006C0079">
        <w:instrText xml:space="preserve"> ADDIN  \* MERGEFORMAT </w:instrText>
      </w:r>
      <w:r w:rsidR="00C27F20" w:rsidRPr="006C0079">
        <w:fldChar w:fldCharType="end"/>
      </w:r>
      <w:r w:rsidR="00106144" w:rsidRPr="006C0079">
        <w:fldChar w:fldCharType="begin">
          <w:fldData xml:space="preserve">RABvAGMAVABlAG0AcAAxAFYAYQByAFQAcgBhAGQAaQB0AGkAbwBuAGEAbAA=
</w:fldData>
        </w:fldChar>
      </w:r>
      <w:r w:rsidR="00106144" w:rsidRPr="006C0079">
        <w:instrText xml:space="preserve"> ADDIN  \* MERGEFORMAT </w:instrText>
      </w:r>
      <w:r w:rsidR="00106144" w:rsidRPr="006C0079">
        <w:fldChar w:fldCharType="end"/>
      </w:r>
      <w:r w:rsidR="00106144" w:rsidRPr="006C0079">
        <w:fldChar w:fldCharType="begin">
          <w:fldData xml:space="preserve">RgBvAG4AdABTAGUAdABGAG8AbgB0AFMAZQB0AEYAbwBuAHQAUwBlAHQARgBvAG4AdABTAGUAdABG
AG8AbgB0AFMAZQB0AFMAdABhAG4AZABhAHIAZAA=
</w:fldData>
        </w:fldChar>
      </w:r>
      <w:r w:rsidR="00106144" w:rsidRPr="006C0079">
        <w:instrText xml:space="preserve"> ADDIN  \* MERGEFORMAT </w:instrText>
      </w:r>
      <w:r w:rsidR="00106144" w:rsidRPr="006C0079">
        <w:fldChar w:fldCharType="end"/>
      </w:r>
      <w:r w:rsidR="00700749" w:rsidRPr="006C0079">
        <w:fldChar w:fldCharType="begin">
          <w:fldData xml:space="preserve">RABvAGMAVABlAG0AcAAxAFYAYQByAFQAcgBhAGQAaQB0AGkAbwBuAGEAbAA=
</w:fldData>
        </w:fldChar>
      </w:r>
      <w:r w:rsidR="00700749" w:rsidRPr="006C0079">
        <w:instrText xml:space="preserve"> ADDIN  \* MERGEFORMAT </w:instrText>
      </w:r>
      <w:r w:rsidR="00700749" w:rsidRPr="006C0079">
        <w:fldChar w:fldCharType="end"/>
      </w:r>
      <w:r w:rsidR="00700749" w:rsidRPr="006C0079">
        <w:fldChar w:fldCharType="begin">
          <w:fldData xml:space="preserve">RgBvAG4AdABTAGUAdABGAG8AbgB0AFMAZQB0AEYAbwBuAHQAUwBlAHQARgBvAG4AdABTAGUAdABG
AG8AbgB0AFMAZQB0AEYAbwBuAHQAUwBlAHQAUwB0AGEAbgBkAGEAcgBkAA==
</w:fldData>
        </w:fldChar>
      </w:r>
      <w:r w:rsidR="00700749" w:rsidRPr="006C0079">
        <w:instrText xml:space="preserve"> ADDIN  \* MERGEFORMAT </w:instrText>
      </w:r>
      <w:r w:rsidR="00700749" w:rsidRPr="006C0079">
        <w:fldChar w:fldCharType="end"/>
      </w:r>
      <w:r w:rsidR="005763D8" w:rsidRPr="006C0079">
        <w:fldChar w:fldCharType="begin">
          <w:fldData xml:space="preserve">RABvAGMAVABlAG0AcAAxAFYAYQByAFQAcgBhAGQAaQB0AGkAbwBuAGEAbAA=
</w:fldData>
        </w:fldChar>
      </w:r>
      <w:r w:rsidR="005763D8" w:rsidRPr="006C0079">
        <w:instrText xml:space="preserve"> ADDIN  \* MERGEFORMAT </w:instrText>
      </w:r>
      <w:r w:rsidR="005763D8" w:rsidRPr="006C0079">
        <w:fldChar w:fldCharType="end"/>
      </w:r>
      <w:r w:rsidR="005763D8" w:rsidRPr="006C0079">
        <w:fldChar w:fldCharType="begin">
          <w:fldData xml:space="preserve">RgBvAG4AdABTAGUAdABpAG0AaQBzAHQAeQBsAGUAcwAuAHgAbQBsAA==
</w:fldData>
        </w:fldChar>
      </w:r>
      <w:r w:rsidR="005763D8" w:rsidRPr="006C0079">
        <w:instrText xml:space="preserve"> ADDIN  \* MERGEFORMAT </w:instrText>
      </w:r>
      <w:r w:rsidR="005763D8" w:rsidRPr="006C0079">
        <w:fldChar w:fldCharType="end"/>
      </w:r>
      <w:r w:rsidR="00030145" w:rsidRPr="006C0079">
        <w:fldChar w:fldCharType="begin">
          <w:fldData xml:space="preserve">RABvAGMAVABlAG0AcAAxAFYAYQByAFQAcgBhAGQAaQB0AGkAbwBuAGEAbAA=
</w:fldData>
        </w:fldChar>
      </w:r>
      <w:r w:rsidR="00030145" w:rsidRPr="006C0079">
        <w:instrText xml:space="preserve"> ADDIN  \* MERGEFORMAT </w:instrText>
      </w:r>
      <w:r w:rsidR="00030145" w:rsidRPr="006C0079">
        <w:fldChar w:fldCharType="end"/>
      </w:r>
      <w:r w:rsidR="00030145" w:rsidRPr="006C0079">
        <w:fldChar w:fldCharType="begin">
          <w:fldData xml:space="preserve">RgBvAG4AdABTAGUAdABGAG8AbgB0AFMAZQB0AGkAbQBpAHMAdAB5AGwAZQBzAC4AeABtAGwA
</w:fldData>
        </w:fldChar>
      </w:r>
      <w:r w:rsidR="00030145" w:rsidRPr="006C0079">
        <w:instrText xml:space="preserve"> ADDIN  \* MERGEFORMAT </w:instrText>
      </w:r>
      <w:r w:rsidR="00030145" w:rsidRPr="006C0079">
        <w:fldChar w:fldCharType="end"/>
      </w:r>
      <w:r w:rsidR="00B438D9" w:rsidRPr="006C0079">
        <w:fldChar w:fldCharType="begin">
          <w:fldData xml:space="preserve">RABvAGMAVABlAG0AcAAxAFYAYQByAFQAcgBhAGQAaQB0AGkAbwBuAGEAbAA=
</w:fldData>
        </w:fldChar>
      </w:r>
      <w:r w:rsidR="00B438D9" w:rsidRPr="006C0079">
        <w:instrText xml:space="preserve"> ADDIN  \* MERGEFORMAT </w:instrText>
      </w:r>
      <w:r w:rsidR="00B438D9" w:rsidRPr="006C0079">
        <w:fldChar w:fldCharType="end"/>
      </w:r>
      <w:r w:rsidR="00B438D9" w:rsidRPr="006C0079">
        <w:fldChar w:fldCharType="begin">
          <w:fldData xml:space="preserve">RgBvAG4AdABTAGUAdABGAG8AbgB0AFMAZQB0AEYAbwBuAHQAUwBlAHQAaQBtAGkAcwB0AHkAbABl
AHMALgB4AG0AbAA=
</w:fldData>
        </w:fldChar>
      </w:r>
      <w:r w:rsidR="00B438D9" w:rsidRPr="006C0079">
        <w:instrText xml:space="preserve"> ADDIN  \* MERGEFORMAT </w:instrText>
      </w:r>
      <w:r w:rsidR="00B438D9" w:rsidRPr="006C0079">
        <w:fldChar w:fldCharType="end"/>
      </w:r>
      <w:r w:rsidR="00AE6289" w:rsidRPr="006C0079">
        <w:fldChar w:fldCharType="begin">
          <w:fldData xml:space="preserve">RABvAGMAVABlAG0AcAAxAFYAYQByAFQAcgBhAGQAaQB0AGkAbwBuAGEAbAA=
</w:fldData>
        </w:fldChar>
      </w:r>
      <w:r w:rsidR="00AE6289" w:rsidRPr="006C0079">
        <w:instrText xml:space="preserve"> ADDIN  \* MERGEFORMAT </w:instrText>
      </w:r>
      <w:r w:rsidR="00AE6289" w:rsidRPr="006C0079">
        <w:fldChar w:fldCharType="end"/>
      </w:r>
      <w:r w:rsidR="00AE6289" w:rsidRPr="006C0079">
        <w:fldChar w:fldCharType="begin">
          <w:fldData xml:space="preserve">RgBvAG4AdABTAGUAdABGAG8AbgB0AFMAZQB0AEYAbwBuAHQAUwBlAHQARgBvAG4AdABTAGUAdABp
AG0AaQBzAHQAeQBsAGUAcwAuAHgAbQBsAA==
</w:fldData>
        </w:fldChar>
      </w:r>
      <w:r w:rsidR="00AE6289" w:rsidRPr="006C0079">
        <w:instrText xml:space="preserve"> ADDIN  \* MERGEFORMAT </w:instrText>
      </w:r>
      <w:r w:rsidR="00AE6289" w:rsidRPr="006C0079">
        <w:fldChar w:fldCharType="end"/>
      </w:r>
      <w:r w:rsidR="0098127B" w:rsidRPr="006C0079">
        <w:fldChar w:fldCharType="begin">
          <w:fldData xml:space="preserve">RABvAGMAVABlAG0AcAAxAFYAYQByAFQAcgBhAGQAaQB0AGkAbwBuAGEAbAA=
</w:fldData>
        </w:fldChar>
      </w:r>
      <w:r w:rsidR="0098127B" w:rsidRPr="006C0079">
        <w:instrText xml:space="preserve"> ADDIN  \* MERGEFORMAT </w:instrText>
      </w:r>
      <w:r w:rsidR="0098127B" w:rsidRPr="006C0079">
        <w:fldChar w:fldCharType="end"/>
      </w:r>
      <w:r w:rsidR="0098127B" w:rsidRPr="006C0079">
        <w:fldChar w:fldCharType="begin">
          <w:fldData xml:space="preserve">RgBvAG4AdABTAGUAdABGAG8AbgB0AFMAZQB0AEYAbwBuAHQAUwBlAHQARgBvAG4AdABTAGUAdABG
AG8AbgB0AFMAZQB0AGkAbQBpAHMAdAB5AGwAZQBzAC4AeABtAGwA
</w:fldData>
        </w:fldChar>
      </w:r>
      <w:r w:rsidR="0098127B" w:rsidRPr="006C0079">
        <w:instrText xml:space="preserve"> ADDIN  \* MERGEFORMAT </w:instrText>
      </w:r>
      <w:r w:rsidR="0098127B" w:rsidRPr="006C0079">
        <w:fldChar w:fldCharType="end"/>
      </w:r>
    </w:p>
    <w:sectPr w:rsidR="00DC1759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144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BA" w:rsidRDefault="004E1EBA">
      <w:r>
        <w:separator/>
      </w:r>
    </w:p>
  </w:endnote>
  <w:endnote w:type="continuationSeparator" w:id="0">
    <w:p w:rsidR="004E1EBA" w:rsidRDefault="004E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31" w:rsidRDefault="00427D31">
    <w:pPr>
      <w:pStyle w:val="Footer"/>
      <w:tabs>
        <w:tab w:val="left" w:pos="0"/>
        <w:tab w:val="right" w:pos="9274"/>
      </w:tabs>
    </w:pPr>
    <w:r>
      <w:rPr>
        <w:rStyle w:val="PageNumber"/>
        <w:b/>
        <w:sz w:val="20"/>
      </w:rPr>
      <w:tab/>
    </w:r>
    <w:r>
      <w:rPr>
        <w:rStyle w:val="PageNumber"/>
        <w:b/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31" w:rsidRDefault="00427D31">
    <w:pPr>
      <w:pStyle w:val="Footer"/>
      <w:tabs>
        <w:tab w:val="left" w:pos="0"/>
        <w:tab w:val="right" w:pos="927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BA" w:rsidRDefault="004E1EBA">
      <w:r>
        <w:separator/>
      </w:r>
    </w:p>
  </w:footnote>
  <w:footnote w:type="continuationSeparator" w:id="0">
    <w:p w:rsidR="004E1EBA" w:rsidRDefault="004E1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31" w:rsidRDefault="00427D31">
    <w:pPr>
      <w:pStyle w:val="Header"/>
    </w:pPr>
    <w:proofErr w:type="spellStart"/>
    <w:r>
      <w:rPr>
        <w:b/>
        <w:sz w:val="20"/>
      </w:rPr>
      <w:t>M21</w:t>
    </w:r>
    <w:proofErr w:type="spellEnd"/>
    <w:r>
      <w:rPr>
        <w:b/>
        <w:sz w:val="20"/>
      </w:rPr>
      <w:t>-1, Part III, Subpart iv, Chapter 3, Section B</w:t>
    </w:r>
    <w:r>
      <w:rPr>
        <w:b/>
        <w:sz w:val="20"/>
      </w:rPr>
      <w:tab/>
    </w:r>
    <w:r>
      <w:rPr>
        <w:b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31" w:rsidRDefault="00427D31">
    <w:pPr>
      <w:pStyle w:val="Header"/>
    </w:pPr>
    <w:r>
      <w:rPr>
        <w:b/>
        <w:sz w:val="20"/>
      </w:rPr>
      <w:tab/>
    </w:r>
    <w:r>
      <w:rPr>
        <w:b/>
        <w:sz w:val="20"/>
      </w:rPr>
      <w:tab/>
    </w:r>
    <w:proofErr w:type="spellStart"/>
    <w:r>
      <w:rPr>
        <w:b/>
        <w:sz w:val="20"/>
      </w:rPr>
      <w:t>M21</w:t>
    </w:r>
    <w:proofErr w:type="spellEnd"/>
    <w:r>
      <w:rPr>
        <w:b/>
        <w:sz w:val="20"/>
      </w:rPr>
      <w:t>-1, Part III, Subpart iv, Chapter 3, Section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fspro_2columns"/>
      </v:shape>
    </w:pict>
  </w:numPicBullet>
  <w:numPicBullet w:numPicBulletId="1">
    <w:pict>
      <v:shape id="_x0000_i1027" type="#_x0000_t75" style="width:11.25pt;height:11.25pt" o:bullet="t">
        <v:imagedata r:id="rId2" o:title="advanced"/>
      </v:shape>
    </w:pict>
  </w:numPicBullet>
  <w:numPicBullet w:numPicBulletId="2">
    <w:pict>
      <v:shape id="_x0000_i1028" type="#_x0000_t75" style="width:11.25pt;height:11.25pt" o:bullet="t">
        <v:imagedata r:id="rId3" o:title="continue"/>
      </v:shape>
    </w:pict>
  </w:numPicBullet>
  <w:numPicBullet w:numPicBulletId="3">
    <w:pict>
      <v:shape id="_x0000_i1029" type="#_x0000_t75" style="width:11.25pt;height:11.25pt" o:bullet="t">
        <v:imagedata r:id="rId4" o:title="webpage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45032"/>
    <w:multiLevelType w:val="hybridMultilevel"/>
    <w:tmpl w:val="C7FA47D0"/>
    <w:lvl w:ilvl="0" w:tplc="5DE6C28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E6A89"/>
    <w:multiLevelType w:val="hybridMultilevel"/>
    <w:tmpl w:val="D5163816"/>
    <w:lvl w:ilvl="0" w:tplc="08E23EF0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E5BF1"/>
    <w:multiLevelType w:val="hybridMultilevel"/>
    <w:tmpl w:val="0FDE2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74E7B"/>
    <w:multiLevelType w:val="hybridMultilevel"/>
    <w:tmpl w:val="36FCD85A"/>
    <w:lvl w:ilvl="0" w:tplc="5DE6C28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B6EB1"/>
    <w:multiLevelType w:val="singleLevel"/>
    <w:tmpl w:val="44586DB2"/>
    <w:lvl w:ilvl="0">
      <w:start w:val="1"/>
      <w:numFmt w:val="bullet"/>
      <w:lvlText w:val="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</w:rPr>
    </w:lvl>
  </w:abstractNum>
  <w:abstractNum w:abstractNumId="7">
    <w:nsid w:val="1DB71D57"/>
    <w:multiLevelType w:val="hybridMultilevel"/>
    <w:tmpl w:val="3A5A0CA8"/>
    <w:lvl w:ilvl="0" w:tplc="AB00BB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E321A"/>
    <w:multiLevelType w:val="hybridMultilevel"/>
    <w:tmpl w:val="AFC827E8"/>
    <w:lvl w:ilvl="0" w:tplc="52CCEB8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327DD"/>
    <w:multiLevelType w:val="hybridMultilevel"/>
    <w:tmpl w:val="CD1A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04A99"/>
    <w:multiLevelType w:val="hybridMultilevel"/>
    <w:tmpl w:val="31420CDC"/>
    <w:lvl w:ilvl="0" w:tplc="5DE6C28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E6376B"/>
    <w:multiLevelType w:val="hybridMultilevel"/>
    <w:tmpl w:val="6506124E"/>
    <w:lvl w:ilvl="0" w:tplc="52CCEB8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04D88"/>
    <w:multiLevelType w:val="hybridMultilevel"/>
    <w:tmpl w:val="5C3619D2"/>
    <w:lvl w:ilvl="0" w:tplc="313ACFD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E4656"/>
    <w:multiLevelType w:val="hybridMultilevel"/>
    <w:tmpl w:val="30708A16"/>
    <w:lvl w:ilvl="0" w:tplc="DC9AA222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A1977"/>
    <w:multiLevelType w:val="hybridMultilevel"/>
    <w:tmpl w:val="2CA62D38"/>
    <w:lvl w:ilvl="0" w:tplc="5DE6C28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108BE"/>
    <w:multiLevelType w:val="hybridMultilevel"/>
    <w:tmpl w:val="53A44CC6"/>
    <w:lvl w:ilvl="0" w:tplc="FFFFFFFF">
      <w:start w:val="1"/>
      <w:numFmt w:val="bullet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8B4FBC"/>
    <w:multiLevelType w:val="hybridMultilevel"/>
    <w:tmpl w:val="28DAAB82"/>
    <w:lvl w:ilvl="0" w:tplc="313ACFD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8FD53AD"/>
    <w:multiLevelType w:val="hybridMultilevel"/>
    <w:tmpl w:val="C6AC6A3C"/>
    <w:lvl w:ilvl="0" w:tplc="C68210F6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86702"/>
    <w:multiLevelType w:val="hybridMultilevel"/>
    <w:tmpl w:val="15FE277E"/>
    <w:lvl w:ilvl="0" w:tplc="5DE6C28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E6281"/>
    <w:multiLevelType w:val="hybridMultilevel"/>
    <w:tmpl w:val="971A3526"/>
    <w:lvl w:ilvl="0" w:tplc="5DE6C28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6CB64D4"/>
    <w:multiLevelType w:val="hybridMultilevel"/>
    <w:tmpl w:val="E08E4694"/>
    <w:lvl w:ilvl="0" w:tplc="5DE6C28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67967"/>
    <w:multiLevelType w:val="hybridMultilevel"/>
    <w:tmpl w:val="4C80448A"/>
    <w:lvl w:ilvl="0" w:tplc="01461AC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F4818AE"/>
    <w:multiLevelType w:val="singleLevel"/>
    <w:tmpl w:val="C19E6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2DB3D68"/>
    <w:multiLevelType w:val="hybridMultilevel"/>
    <w:tmpl w:val="914E0A66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A01795"/>
    <w:multiLevelType w:val="hybridMultilevel"/>
    <w:tmpl w:val="E5B84C76"/>
    <w:lvl w:ilvl="0" w:tplc="13AAA4DC">
      <w:start w:val="1"/>
      <w:numFmt w:val="bullet"/>
      <w:lvlRestart w:val="0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>
    <w:nsid w:val="6C6B02AF"/>
    <w:multiLevelType w:val="singleLevel"/>
    <w:tmpl w:val="15F25542"/>
    <w:lvl w:ilvl="0">
      <w:start w:val="1"/>
      <w:numFmt w:val="bullet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31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5EC20E2"/>
    <w:multiLevelType w:val="hybridMultilevel"/>
    <w:tmpl w:val="6A14E708"/>
    <w:lvl w:ilvl="0" w:tplc="5DE6C28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07290"/>
    <w:multiLevelType w:val="singleLevel"/>
    <w:tmpl w:val="2012D14E"/>
    <w:lvl w:ilvl="0">
      <w:start w:val="1"/>
      <w:numFmt w:val="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abstractNum w:abstractNumId="35">
    <w:nsid w:val="7A0B517E"/>
    <w:multiLevelType w:val="hybridMultilevel"/>
    <w:tmpl w:val="16CE2382"/>
    <w:lvl w:ilvl="0" w:tplc="13AAA4DC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154DF"/>
    <w:multiLevelType w:val="hybridMultilevel"/>
    <w:tmpl w:val="8CA04C8E"/>
    <w:lvl w:ilvl="0" w:tplc="C68210F6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307E7"/>
    <w:multiLevelType w:val="hybridMultilevel"/>
    <w:tmpl w:val="9CB69C14"/>
    <w:lvl w:ilvl="0" w:tplc="1C4E1E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665F9"/>
    <w:multiLevelType w:val="hybridMultilevel"/>
    <w:tmpl w:val="75FE2588"/>
    <w:lvl w:ilvl="0" w:tplc="D03A0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11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6"/>
  </w:num>
  <w:num w:numId="8">
    <w:abstractNumId w:val="34"/>
  </w:num>
  <w:num w:numId="9">
    <w:abstractNumId w:val="30"/>
  </w:num>
  <w:num w:numId="10">
    <w:abstractNumId w:val="16"/>
  </w:num>
  <w:num w:numId="11">
    <w:abstractNumId w:val="28"/>
  </w:num>
  <w:num w:numId="12">
    <w:abstractNumId w:val="1"/>
  </w:num>
  <w:num w:numId="13">
    <w:abstractNumId w:val="31"/>
  </w:num>
  <w:num w:numId="14">
    <w:abstractNumId w:val="26"/>
  </w:num>
  <w:num w:numId="15">
    <w:abstractNumId w:val="23"/>
  </w:num>
  <w:num w:numId="16">
    <w:abstractNumId w:val="32"/>
  </w:num>
  <w:num w:numId="17">
    <w:abstractNumId w:val="19"/>
  </w:num>
  <w:num w:numId="18">
    <w:abstractNumId w:val="17"/>
  </w:num>
  <w:num w:numId="19">
    <w:abstractNumId w:val="3"/>
  </w:num>
  <w:num w:numId="20">
    <w:abstractNumId w:val="36"/>
  </w:num>
  <w:num w:numId="21">
    <w:abstractNumId w:val="20"/>
  </w:num>
  <w:num w:numId="22">
    <w:abstractNumId w:val="38"/>
  </w:num>
  <w:num w:numId="23">
    <w:abstractNumId w:val="7"/>
  </w:num>
  <w:num w:numId="24">
    <w:abstractNumId w:val="9"/>
  </w:num>
  <w:num w:numId="25">
    <w:abstractNumId w:val="4"/>
  </w:num>
  <w:num w:numId="26">
    <w:abstractNumId w:val="37"/>
  </w:num>
  <w:num w:numId="27">
    <w:abstractNumId w:val="8"/>
  </w:num>
  <w:num w:numId="28">
    <w:abstractNumId w:val="12"/>
  </w:num>
  <w:num w:numId="29">
    <w:abstractNumId w:val="35"/>
  </w:num>
  <w:num w:numId="30">
    <w:abstractNumId w:val="29"/>
  </w:num>
  <w:num w:numId="31">
    <w:abstractNumId w:val="5"/>
  </w:num>
  <w:num w:numId="32">
    <w:abstractNumId w:val="15"/>
  </w:num>
  <w:num w:numId="33">
    <w:abstractNumId w:val="21"/>
  </w:num>
  <w:num w:numId="34">
    <w:abstractNumId w:val="22"/>
  </w:num>
  <w:num w:numId="35">
    <w:abstractNumId w:val="33"/>
  </w:num>
  <w:num w:numId="36">
    <w:abstractNumId w:val="10"/>
  </w:num>
  <w:num w:numId="37">
    <w:abstractNumId w:val="2"/>
  </w:num>
  <w:num w:numId="38">
    <w:abstractNumId w:val="24"/>
  </w:num>
  <w:num w:numId="39">
    <w:abstractNumId w:val="14"/>
  </w:num>
  <w:num w:numId="40">
    <w:abstractNumId w:val="18"/>
  </w:num>
  <w:num w:numId="41">
    <w:abstractNumId w:val="1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oNotTrackFormatting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Temp1Var" w:val="Traditional"/>
    <w:docVar w:name="FontSet" w:val="FontSetFontSetFontSetFontSetFontSetimistyles.xml"/>
    <w:docVar w:name="XSLstylesheet" w:val="http://vbaw.vba.va.gov/bl/21/m21-1mr/stylesheets/m21.xsl"/>
  </w:docVars>
  <w:rsids>
    <w:rsidRoot w:val="00462FA1"/>
    <w:rsid w:val="00003114"/>
    <w:rsid w:val="000042C9"/>
    <w:rsid w:val="0002255E"/>
    <w:rsid w:val="00026CD4"/>
    <w:rsid w:val="00030145"/>
    <w:rsid w:val="00036B0C"/>
    <w:rsid w:val="00043858"/>
    <w:rsid w:val="000602A0"/>
    <w:rsid w:val="00060E27"/>
    <w:rsid w:val="00080082"/>
    <w:rsid w:val="00083C78"/>
    <w:rsid w:val="000A4FC2"/>
    <w:rsid w:val="000A7A84"/>
    <w:rsid w:val="000E0F55"/>
    <w:rsid w:val="000E1956"/>
    <w:rsid w:val="000E5391"/>
    <w:rsid w:val="000E6DA6"/>
    <w:rsid w:val="000E6FB8"/>
    <w:rsid w:val="00106144"/>
    <w:rsid w:val="0011622D"/>
    <w:rsid w:val="00122D1C"/>
    <w:rsid w:val="001472A5"/>
    <w:rsid w:val="001541FF"/>
    <w:rsid w:val="001714C1"/>
    <w:rsid w:val="0017686C"/>
    <w:rsid w:val="001A3630"/>
    <w:rsid w:val="001B4C59"/>
    <w:rsid w:val="001C1218"/>
    <w:rsid w:val="001C201D"/>
    <w:rsid w:val="001C5A85"/>
    <w:rsid w:val="001D5BAF"/>
    <w:rsid w:val="001F38A3"/>
    <w:rsid w:val="00204BC4"/>
    <w:rsid w:val="002122CD"/>
    <w:rsid w:val="00215BC1"/>
    <w:rsid w:val="00223ECF"/>
    <w:rsid w:val="00252613"/>
    <w:rsid w:val="0027006E"/>
    <w:rsid w:val="002764E1"/>
    <w:rsid w:val="00276D9F"/>
    <w:rsid w:val="00277187"/>
    <w:rsid w:val="0029097A"/>
    <w:rsid w:val="002B2909"/>
    <w:rsid w:val="002C25F7"/>
    <w:rsid w:val="002C5BE7"/>
    <w:rsid w:val="002D2D0E"/>
    <w:rsid w:val="002D63B5"/>
    <w:rsid w:val="002E3B20"/>
    <w:rsid w:val="002F5C15"/>
    <w:rsid w:val="00303017"/>
    <w:rsid w:val="00326216"/>
    <w:rsid w:val="00330204"/>
    <w:rsid w:val="003363C6"/>
    <w:rsid w:val="00347598"/>
    <w:rsid w:val="00354CC2"/>
    <w:rsid w:val="00357F51"/>
    <w:rsid w:val="00370557"/>
    <w:rsid w:val="00377DB9"/>
    <w:rsid w:val="00390AA2"/>
    <w:rsid w:val="003A1B27"/>
    <w:rsid w:val="003A5552"/>
    <w:rsid w:val="003C0A20"/>
    <w:rsid w:val="003E6A29"/>
    <w:rsid w:val="004113E8"/>
    <w:rsid w:val="004167AE"/>
    <w:rsid w:val="00416C86"/>
    <w:rsid w:val="00427D31"/>
    <w:rsid w:val="004403DA"/>
    <w:rsid w:val="00462FA1"/>
    <w:rsid w:val="00483D94"/>
    <w:rsid w:val="004A174C"/>
    <w:rsid w:val="004A34BF"/>
    <w:rsid w:val="004A56D8"/>
    <w:rsid w:val="004A59CD"/>
    <w:rsid w:val="004D4E1E"/>
    <w:rsid w:val="004D7453"/>
    <w:rsid w:val="004E1EBA"/>
    <w:rsid w:val="004E3540"/>
    <w:rsid w:val="004F71C8"/>
    <w:rsid w:val="004F7E90"/>
    <w:rsid w:val="00527C80"/>
    <w:rsid w:val="00532775"/>
    <w:rsid w:val="00534D21"/>
    <w:rsid w:val="00537E36"/>
    <w:rsid w:val="00547C04"/>
    <w:rsid w:val="00570A69"/>
    <w:rsid w:val="005763D8"/>
    <w:rsid w:val="005A75AE"/>
    <w:rsid w:val="005B1C20"/>
    <w:rsid w:val="005B5F6F"/>
    <w:rsid w:val="005C0A28"/>
    <w:rsid w:val="005C67AA"/>
    <w:rsid w:val="005C7349"/>
    <w:rsid w:val="005E195B"/>
    <w:rsid w:val="005F3459"/>
    <w:rsid w:val="005F37D4"/>
    <w:rsid w:val="00605B98"/>
    <w:rsid w:val="00610A7E"/>
    <w:rsid w:val="00617350"/>
    <w:rsid w:val="00630527"/>
    <w:rsid w:val="00631B26"/>
    <w:rsid w:val="00641262"/>
    <w:rsid w:val="00652E88"/>
    <w:rsid w:val="00657A80"/>
    <w:rsid w:val="0066617F"/>
    <w:rsid w:val="00670041"/>
    <w:rsid w:val="006715FC"/>
    <w:rsid w:val="006725D9"/>
    <w:rsid w:val="006771C6"/>
    <w:rsid w:val="00684E9E"/>
    <w:rsid w:val="006B1EDA"/>
    <w:rsid w:val="006C0079"/>
    <w:rsid w:val="006C2FAA"/>
    <w:rsid w:val="006E0498"/>
    <w:rsid w:val="006E11B5"/>
    <w:rsid w:val="006E41B1"/>
    <w:rsid w:val="006E59C7"/>
    <w:rsid w:val="006F5D1C"/>
    <w:rsid w:val="00700749"/>
    <w:rsid w:val="0070664F"/>
    <w:rsid w:val="0072539C"/>
    <w:rsid w:val="00753B25"/>
    <w:rsid w:val="00754104"/>
    <w:rsid w:val="00775EE1"/>
    <w:rsid w:val="00781F85"/>
    <w:rsid w:val="00782C3F"/>
    <w:rsid w:val="00793558"/>
    <w:rsid w:val="007A4781"/>
    <w:rsid w:val="007C5BC2"/>
    <w:rsid w:val="007C6C8D"/>
    <w:rsid w:val="007C6E15"/>
    <w:rsid w:val="007D146C"/>
    <w:rsid w:val="007E5E74"/>
    <w:rsid w:val="008027E1"/>
    <w:rsid w:val="00810423"/>
    <w:rsid w:val="00811749"/>
    <w:rsid w:val="008164C1"/>
    <w:rsid w:val="00825725"/>
    <w:rsid w:val="0083316F"/>
    <w:rsid w:val="00870E10"/>
    <w:rsid w:val="00884DA3"/>
    <w:rsid w:val="0088729D"/>
    <w:rsid w:val="0089355E"/>
    <w:rsid w:val="008A1F4E"/>
    <w:rsid w:val="008B1F92"/>
    <w:rsid w:val="008B5909"/>
    <w:rsid w:val="008C30AD"/>
    <w:rsid w:val="008D2543"/>
    <w:rsid w:val="008D71F4"/>
    <w:rsid w:val="008E11D6"/>
    <w:rsid w:val="008F23DF"/>
    <w:rsid w:val="00914E4F"/>
    <w:rsid w:val="0092099D"/>
    <w:rsid w:val="00923E0F"/>
    <w:rsid w:val="009447A1"/>
    <w:rsid w:val="00951DEF"/>
    <w:rsid w:val="00952CB6"/>
    <w:rsid w:val="00952DDA"/>
    <w:rsid w:val="00957C65"/>
    <w:rsid w:val="0098127B"/>
    <w:rsid w:val="00983E9B"/>
    <w:rsid w:val="009B5EA4"/>
    <w:rsid w:val="009D510D"/>
    <w:rsid w:val="009E70E8"/>
    <w:rsid w:val="009F6B56"/>
    <w:rsid w:val="00A15413"/>
    <w:rsid w:val="00A17023"/>
    <w:rsid w:val="00A35E62"/>
    <w:rsid w:val="00A44306"/>
    <w:rsid w:val="00A54C8C"/>
    <w:rsid w:val="00A95D74"/>
    <w:rsid w:val="00AC32D4"/>
    <w:rsid w:val="00AC346F"/>
    <w:rsid w:val="00AD0C95"/>
    <w:rsid w:val="00AD67AA"/>
    <w:rsid w:val="00AD756C"/>
    <w:rsid w:val="00AE6289"/>
    <w:rsid w:val="00B03632"/>
    <w:rsid w:val="00B22BB1"/>
    <w:rsid w:val="00B25FE7"/>
    <w:rsid w:val="00B438D9"/>
    <w:rsid w:val="00B44414"/>
    <w:rsid w:val="00B475E0"/>
    <w:rsid w:val="00B7302D"/>
    <w:rsid w:val="00B74D0D"/>
    <w:rsid w:val="00B77175"/>
    <w:rsid w:val="00B845A1"/>
    <w:rsid w:val="00B847B7"/>
    <w:rsid w:val="00B92D7B"/>
    <w:rsid w:val="00BA1784"/>
    <w:rsid w:val="00BA4DBF"/>
    <w:rsid w:val="00BB096F"/>
    <w:rsid w:val="00BB50E6"/>
    <w:rsid w:val="00BB58AB"/>
    <w:rsid w:val="00BB5BCA"/>
    <w:rsid w:val="00BD0D0E"/>
    <w:rsid w:val="00BF66F9"/>
    <w:rsid w:val="00C00973"/>
    <w:rsid w:val="00C010FF"/>
    <w:rsid w:val="00C0484C"/>
    <w:rsid w:val="00C05B63"/>
    <w:rsid w:val="00C16EA9"/>
    <w:rsid w:val="00C23E11"/>
    <w:rsid w:val="00C27F20"/>
    <w:rsid w:val="00C46B1F"/>
    <w:rsid w:val="00C712D7"/>
    <w:rsid w:val="00C71FE0"/>
    <w:rsid w:val="00C90A42"/>
    <w:rsid w:val="00C92F41"/>
    <w:rsid w:val="00CA0E03"/>
    <w:rsid w:val="00CA4D23"/>
    <w:rsid w:val="00CC4ED8"/>
    <w:rsid w:val="00CC5E32"/>
    <w:rsid w:val="00CD5A83"/>
    <w:rsid w:val="00D01A62"/>
    <w:rsid w:val="00D031D5"/>
    <w:rsid w:val="00D11492"/>
    <w:rsid w:val="00D12C5C"/>
    <w:rsid w:val="00D26629"/>
    <w:rsid w:val="00D44D38"/>
    <w:rsid w:val="00D67CED"/>
    <w:rsid w:val="00D7085C"/>
    <w:rsid w:val="00D75E5F"/>
    <w:rsid w:val="00D91450"/>
    <w:rsid w:val="00D914F3"/>
    <w:rsid w:val="00D9795B"/>
    <w:rsid w:val="00DA40DE"/>
    <w:rsid w:val="00DA639F"/>
    <w:rsid w:val="00DB1E7F"/>
    <w:rsid w:val="00DC15C4"/>
    <w:rsid w:val="00DC1759"/>
    <w:rsid w:val="00DE0E77"/>
    <w:rsid w:val="00DE0EEB"/>
    <w:rsid w:val="00DE6722"/>
    <w:rsid w:val="00DF1BA2"/>
    <w:rsid w:val="00E24D99"/>
    <w:rsid w:val="00E27E48"/>
    <w:rsid w:val="00E53936"/>
    <w:rsid w:val="00E53AB5"/>
    <w:rsid w:val="00E65C04"/>
    <w:rsid w:val="00E707A1"/>
    <w:rsid w:val="00E8600C"/>
    <w:rsid w:val="00E8610D"/>
    <w:rsid w:val="00E957B1"/>
    <w:rsid w:val="00EA37AC"/>
    <w:rsid w:val="00EB6059"/>
    <w:rsid w:val="00EF18A5"/>
    <w:rsid w:val="00EF5BFD"/>
    <w:rsid w:val="00EF6AF7"/>
    <w:rsid w:val="00F223E5"/>
    <w:rsid w:val="00F230A5"/>
    <w:rsid w:val="00F2374D"/>
    <w:rsid w:val="00F2702F"/>
    <w:rsid w:val="00F27626"/>
    <w:rsid w:val="00F456E3"/>
    <w:rsid w:val="00F46476"/>
    <w:rsid w:val="00F47778"/>
    <w:rsid w:val="00F52E39"/>
    <w:rsid w:val="00F62248"/>
    <w:rsid w:val="00F67BF6"/>
    <w:rsid w:val="00F75BF1"/>
    <w:rsid w:val="00F8011E"/>
    <w:rsid w:val="00F8028B"/>
    <w:rsid w:val="00F80CAE"/>
    <w:rsid w:val="00F82CAD"/>
    <w:rsid w:val="00F90C29"/>
    <w:rsid w:val="00F93585"/>
    <w:rsid w:val="00FB0072"/>
    <w:rsid w:val="00FB1C97"/>
    <w:rsid w:val="00FB44E1"/>
    <w:rsid w:val="00FB760B"/>
    <w:rsid w:val="00FC48C4"/>
    <w:rsid w:val="00FD1A22"/>
    <w:rsid w:val="00FE3A46"/>
    <w:rsid w:val="00FF3E16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E0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E5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F223E5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F223E5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,Section Title"/>
    <w:basedOn w:val="Normal"/>
    <w:next w:val="Heading4"/>
    <w:qFormat/>
    <w:rsid w:val="00F223E5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F223E5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F223E5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F223E5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23E5"/>
    <w:pPr>
      <w:tabs>
        <w:tab w:val="center" w:pos="4680"/>
        <w:tab w:val="right" w:pos="936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F223E5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F223E5"/>
  </w:style>
  <w:style w:type="paragraph" w:customStyle="1" w:styleId="BulletText1">
    <w:name w:val="Bullet Text 1"/>
    <w:basedOn w:val="Normal"/>
    <w:rsid w:val="00F223E5"/>
    <w:pPr>
      <w:numPr>
        <w:numId w:val="11"/>
      </w:numPr>
    </w:pPr>
    <w:rPr>
      <w:szCs w:val="20"/>
    </w:rPr>
  </w:style>
  <w:style w:type="paragraph" w:customStyle="1" w:styleId="BulletText2">
    <w:name w:val="Bullet Text 2"/>
    <w:basedOn w:val="Normal"/>
    <w:rsid w:val="00F223E5"/>
    <w:pPr>
      <w:numPr>
        <w:numId w:val="1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F223E5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F223E5"/>
    <w:pPr>
      <w:spacing w:after="240"/>
    </w:pPr>
    <w:rPr>
      <w:b/>
      <w:sz w:val="22"/>
      <w:szCs w:val="20"/>
    </w:rPr>
  </w:style>
  <w:style w:type="paragraph" w:customStyle="1" w:styleId="MapTitleContinued">
    <w:name w:val="Map Title. Continued"/>
    <w:basedOn w:val="Normal"/>
    <w:next w:val="Normal"/>
    <w:rsid w:val="00F223E5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F223E5"/>
  </w:style>
  <w:style w:type="paragraph" w:styleId="Footer">
    <w:name w:val="footer"/>
    <w:basedOn w:val="Normal"/>
    <w:link w:val="FooterChar"/>
    <w:rsid w:val="00F223E5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semiHidden/>
  </w:style>
  <w:style w:type="paragraph" w:customStyle="1" w:styleId="TableText">
    <w:name w:val="Table Text"/>
    <w:basedOn w:val="Normal"/>
    <w:rsid w:val="00F223E5"/>
    <w:rPr>
      <w:szCs w:val="20"/>
    </w:rPr>
  </w:style>
  <w:style w:type="paragraph" w:customStyle="1" w:styleId="NoteText">
    <w:name w:val="Note Text"/>
    <w:basedOn w:val="Normal"/>
    <w:rsid w:val="00F223E5"/>
    <w:rPr>
      <w:szCs w:val="20"/>
    </w:rPr>
  </w:style>
  <w:style w:type="paragraph" w:customStyle="1" w:styleId="TableHeaderText">
    <w:name w:val="Table Header Text"/>
    <w:basedOn w:val="Normal"/>
    <w:rsid w:val="00F223E5"/>
    <w:pPr>
      <w:jc w:val="center"/>
    </w:pPr>
    <w:rPr>
      <w:b/>
      <w:szCs w:val="20"/>
    </w:rPr>
  </w:style>
  <w:style w:type="paragraph" w:customStyle="1" w:styleId="EmbeddedText">
    <w:name w:val="Embedded Text"/>
    <w:basedOn w:val="Normal"/>
    <w:rsid w:val="00F223E5"/>
    <w:rPr>
      <w:szCs w:val="20"/>
    </w:rPr>
  </w:style>
  <w:style w:type="paragraph" w:styleId="TOC1">
    <w:name w:val="toc 1"/>
    <w:basedOn w:val="Normal"/>
    <w:next w:val="Normal"/>
    <w:autoRedefine/>
    <w:semiHidden/>
    <w:pPr>
      <w:ind w:left="57"/>
    </w:p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F223E5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F223E5"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customStyle="1" w:styleId="Continued">
    <w:name w:val="Continued"/>
    <w:rPr>
      <w:rFonts w:ascii="Arial" w:hAnsi="Arial"/>
      <w:sz w:val="24"/>
    </w:rPr>
  </w:style>
  <w:style w:type="paragraph" w:customStyle="1" w:styleId="ContinuedBlockLabel">
    <w:name w:val="Continued Block Label"/>
    <w:basedOn w:val="Normal"/>
    <w:next w:val="Normal"/>
    <w:rsid w:val="00F223E5"/>
    <w:pPr>
      <w:spacing w:after="240"/>
    </w:pPr>
    <w:rPr>
      <w:b/>
      <w:sz w:val="22"/>
      <w:szCs w:val="20"/>
    </w:rPr>
  </w:style>
  <w:style w:type="character" w:customStyle="1" w:styleId="Jump">
    <w:name w:val="Jump"/>
    <w:rPr>
      <w:color w:val="FF0000"/>
    </w:rPr>
  </w:style>
  <w:style w:type="paragraph" w:customStyle="1" w:styleId="PublicationTitle">
    <w:name w:val="Publication Title"/>
    <w:basedOn w:val="Normal"/>
    <w:next w:val="Heading4"/>
    <w:rsid w:val="00F223E5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OCTitle">
    <w:name w:val="TOC Title"/>
    <w:basedOn w:val="Normal"/>
    <w:rsid w:val="00F223E5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223E5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223E5"/>
    <w:rPr>
      <w:szCs w:val="20"/>
    </w:rPr>
  </w:style>
  <w:style w:type="character" w:styleId="Hyperlink">
    <w:name w:val="Hyperlink"/>
    <w:uiPriority w:val="99"/>
    <w:rsid w:val="00F223E5"/>
    <w:rPr>
      <w:color w:val="0000FF"/>
      <w:u w:val="single"/>
    </w:rPr>
  </w:style>
  <w:style w:type="character" w:styleId="FollowedHyperlink">
    <w:name w:val="FollowedHyperlink"/>
    <w:rsid w:val="00F223E5"/>
    <w:rPr>
      <w:color w:val="800080"/>
      <w:u w:val="single"/>
    </w:rPr>
  </w:style>
  <w:style w:type="paragraph" w:customStyle="1" w:styleId="BulletText3">
    <w:name w:val="Bullet Text 3"/>
    <w:basedOn w:val="Normal"/>
    <w:rsid w:val="00F223E5"/>
    <w:pPr>
      <w:numPr>
        <w:numId w:val="13"/>
      </w:numPr>
      <w:tabs>
        <w:tab w:val="clear" w:pos="173"/>
      </w:tabs>
      <w:ind w:left="533" w:hanging="173"/>
    </w:pPr>
    <w:rPr>
      <w:szCs w:val="20"/>
    </w:rPr>
  </w:style>
  <w:style w:type="character" w:styleId="HTMLAcronym">
    <w:name w:val="HTML Acronym"/>
    <w:basedOn w:val="DefaultParagraphFont"/>
    <w:rsid w:val="00F223E5"/>
  </w:style>
  <w:style w:type="paragraph" w:customStyle="1" w:styleId="IMTOC">
    <w:name w:val="IMTOC"/>
    <w:rsid w:val="00F223E5"/>
    <w:rPr>
      <w:sz w:val="24"/>
    </w:rPr>
  </w:style>
  <w:style w:type="paragraph" w:styleId="BalloonText">
    <w:name w:val="Balloon Text"/>
    <w:basedOn w:val="Normal"/>
    <w:link w:val="BalloonTextChar"/>
    <w:semiHidden/>
    <w:rsid w:val="00F22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223E5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F223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F223E5"/>
    <w:rPr>
      <w:color w:val="000000"/>
      <w:sz w:val="24"/>
      <w:szCs w:val="24"/>
    </w:rPr>
  </w:style>
  <w:style w:type="character" w:customStyle="1" w:styleId="FooterChar">
    <w:name w:val="Footer Char"/>
    <w:link w:val="Footer"/>
    <w:rsid w:val="00F223E5"/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FD1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A2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A22"/>
    <w:rPr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7E5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E5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F223E5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F223E5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,Section Title"/>
    <w:basedOn w:val="Normal"/>
    <w:next w:val="Heading4"/>
    <w:qFormat/>
    <w:rsid w:val="00F223E5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F223E5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F223E5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F223E5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23E5"/>
    <w:pPr>
      <w:tabs>
        <w:tab w:val="center" w:pos="4680"/>
        <w:tab w:val="right" w:pos="936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F223E5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F223E5"/>
  </w:style>
  <w:style w:type="paragraph" w:customStyle="1" w:styleId="BulletText1">
    <w:name w:val="Bullet Text 1"/>
    <w:basedOn w:val="Normal"/>
    <w:rsid w:val="00F223E5"/>
    <w:pPr>
      <w:numPr>
        <w:numId w:val="11"/>
      </w:numPr>
    </w:pPr>
    <w:rPr>
      <w:szCs w:val="20"/>
    </w:rPr>
  </w:style>
  <w:style w:type="paragraph" w:customStyle="1" w:styleId="BulletText2">
    <w:name w:val="Bullet Text 2"/>
    <w:basedOn w:val="Normal"/>
    <w:rsid w:val="00F223E5"/>
    <w:pPr>
      <w:numPr>
        <w:numId w:val="1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F223E5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F223E5"/>
    <w:pPr>
      <w:spacing w:after="240"/>
    </w:pPr>
    <w:rPr>
      <w:b/>
      <w:sz w:val="22"/>
      <w:szCs w:val="20"/>
    </w:rPr>
  </w:style>
  <w:style w:type="paragraph" w:customStyle="1" w:styleId="MapTitleContinued">
    <w:name w:val="Map Title. Continued"/>
    <w:basedOn w:val="Normal"/>
    <w:next w:val="Normal"/>
    <w:rsid w:val="00F223E5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F223E5"/>
  </w:style>
  <w:style w:type="paragraph" w:styleId="Footer">
    <w:name w:val="footer"/>
    <w:basedOn w:val="Normal"/>
    <w:link w:val="FooterChar"/>
    <w:rsid w:val="00F223E5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semiHidden/>
  </w:style>
  <w:style w:type="paragraph" w:customStyle="1" w:styleId="TableText">
    <w:name w:val="Table Text"/>
    <w:basedOn w:val="Normal"/>
    <w:rsid w:val="00F223E5"/>
    <w:rPr>
      <w:szCs w:val="20"/>
    </w:rPr>
  </w:style>
  <w:style w:type="paragraph" w:customStyle="1" w:styleId="NoteText">
    <w:name w:val="Note Text"/>
    <w:basedOn w:val="Normal"/>
    <w:rsid w:val="00F223E5"/>
    <w:rPr>
      <w:szCs w:val="20"/>
    </w:rPr>
  </w:style>
  <w:style w:type="paragraph" w:customStyle="1" w:styleId="TableHeaderText">
    <w:name w:val="Table Header Text"/>
    <w:basedOn w:val="Normal"/>
    <w:rsid w:val="00F223E5"/>
    <w:pPr>
      <w:jc w:val="center"/>
    </w:pPr>
    <w:rPr>
      <w:b/>
      <w:szCs w:val="20"/>
    </w:rPr>
  </w:style>
  <w:style w:type="paragraph" w:customStyle="1" w:styleId="EmbeddedText">
    <w:name w:val="Embedded Text"/>
    <w:basedOn w:val="Normal"/>
    <w:rsid w:val="00F223E5"/>
    <w:rPr>
      <w:szCs w:val="20"/>
    </w:rPr>
  </w:style>
  <w:style w:type="paragraph" w:styleId="TOC1">
    <w:name w:val="toc 1"/>
    <w:basedOn w:val="Normal"/>
    <w:next w:val="Normal"/>
    <w:autoRedefine/>
    <w:semiHidden/>
    <w:pPr>
      <w:ind w:left="57"/>
    </w:p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F223E5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F223E5"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customStyle="1" w:styleId="Continued">
    <w:name w:val="Continued"/>
    <w:rPr>
      <w:rFonts w:ascii="Arial" w:hAnsi="Arial"/>
      <w:sz w:val="24"/>
    </w:rPr>
  </w:style>
  <w:style w:type="paragraph" w:customStyle="1" w:styleId="ContinuedBlockLabel">
    <w:name w:val="Continued Block Label"/>
    <w:basedOn w:val="Normal"/>
    <w:next w:val="Normal"/>
    <w:rsid w:val="00F223E5"/>
    <w:pPr>
      <w:spacing w:after="240"/>
    </w:pPr>
    <w:rPr>
      <w:b/>
      <w:sz w:val="22"/>
      <w:szCs w:val="20"/>
    </w:rPr>
  </w:style>
  <w:style w:type="character" w:customStyle="1" w:styleId="Jump">
    <w:name w:val="Jump"/>
    <w:rPr>
      <w:color w:val="FF0000"/>
    </w:rPr>
  </w:style>
  <w:style w:type="paragraph" w:customStyle="1" w:styleId="PublicationTitle">
    <w:name w:val="Publication Title"/>
    <w:basedOn w:val="Normal"/>
    <w:next w:val="Heading4"/>
    <w:rsid w:val="00F223E5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OCTitle">
    <w:name w:val="TOC Title"/>
    <w:basedOn w:val="Normal"/>
    <w:rsid w:val="00F223E5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223E5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223E5"/>
    <w:rPr>
      <w:szCs w:val="20"/>
    </w:rPr>
  </w:style>
  <w:style w:type="character" w:styleId="Hyperlink">
    <w:name w:val="Hyperlink"/>
    <w:uiPriority w:val="99"/>
    <w:rsid w:val="00F223E5"/>
    <w:rPr>
      <w:color w:val="0000FF"/>
      <w:u w:val="single"/>
    </w:rPr>
  </w:style>
  <w:style w:type="character" w:styleId="FollowedHyperlink">
    <w:name w:val="FollowedHyperlink"/>
    <w:rsid w:val="00F223E5"/>
    <w:rPr>
      <w:color w:val="800080"/>
      <w:u w:val="single"/>
    </w:rPr>
  </w:style>
  <w:style w:type="paragraph" w:customStyle="1" w:styleId="BulletText3">
    <w:name w:val="Bullet Text 3"/>
    <w:basedOn w:val="Normal"/>
    <w:rsid w:val="00F223E5"/>
    <w:pPr>
      <w:numPr>
        <w:numId w:val="13"/>
      </w:numPr>
      <w:tabs>
        <w:tab w:val="clear" w:pos="173"/>
      </w:tabs>
      <w:ind w:left="533" w:hanging="173"/>
    </w:pPr>
    <w:rPr>
      <w:szCs w:val="20"/>
    </w:rPr>
  </w:style>
  <w:style w:type="character" w:styleId="HTMLAcronym">
    <w:name w:val="HTML Acronym"/>
    <w:basedOn w:val="DefaultParagraphFont"/>
    <w:rsid w:val="00F223E5"/>
  </w:style>
  <w:style w:type="paragraph" w:customStyle="1" w:styleId="IMTOC">
    <w:name w:val="IMTOC"/>
    <w:rsid w:val="00F223E5"/>
    <w:rPr>
      <w:sz w:val="24"/>
    </w:rPr>
  </w:style>
  <w:style w:type="paragraph" w:styleId="BalloonText">
    <w:name w:val="Balloon Text"/>
    <w:basedOn w:val="Normal"/>
    <w:link w:val="BalloonTextChar"/>
    <w:semiHidden/>
    <w:rsid w:val="00F22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223E5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F223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F223E5"/>
    <w:rPr>
      <w:color w:val="000000"/>
      <w:sz w:val="24"/>
      <w:szCs w:val="24"/>
    </w:rPr>
  </w:style>
  <w:style w:type="character" w:customStyle="1" w:styleId="FooterChar">
    <w:name w:val="Footer Char"/>
    <w:link w:val="Footer"/>
    <w:rsid w:val="00F223E5"/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FD1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A2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A22"/>
    <w:rPr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7E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vbaw.vba.va.gov/bl/21/Advisory/CAVCDAD.htm" TargetMode="External"/><Relationship Id="rId18" Type="http://schemas.openxmlformats.org/officeDocument/2006/relationships/hyperlink" Target="http://www.ecfr.gov/cgi-bin/text-idxhttp:/www.ecfr.gov/cgi-bin/text-idx?SID=701766796419185783305987e4179efb&amp;node=se38.1.3_1327&amp;rgn=div8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cfr.gov/cgi-bin/text-idx?SID=e80956928eaae6689e418e441a61025c&amp;node=se38.1.3_1327&amp;rgn=div8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ecfr.gov/cgi-bin/text-idx?SID=92008dfecc8b6f4164213583622b454d&amp;node=se38.1.3_1344&amp;rgn=div8" TargetMode="External"/><Relationship Id="rId17" Type="http://schemas.openxmlformats.org/officeDocument/2006/relationships/hyperlink" Target="http://www.ecfr.gov/cgi-bin/text-idx?SID=701766796419185783305987e4179efb&amp;node=se38.1.3_1327&amp;rgn=div8" TargetMode="External"/><Relationship Id="rId25" Type="http://schemas.openxmlformats.org/officeDocument/2006/relationships/hyperlink" Target="http://www.ecfr.gov/cgi-bin/text-idx?SID=eab3e5e1da2fbdf958a6039cf337d523&amp;node=se38.1.3_1655&amp;rgn=div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cfr.gov/cgi-bin/text-idx?SID=701766796419185783305987e4179efb&amp;node=se38.1.3_1327&amp;rgn=div8" TargetMode="External"/><Relationship Id="rId20" Type="http://schemas.openxmlformats.org/officeDocument/2006/relationships/hyperlink" Target="http://www.ecfr.gov/cgi-bin/text-idx?SID=701766796419185783305987e4179efb&amp;node=se38.1.3_1326&amp;rgn=div8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va.gov/ogc/docs/1991/PREC_04-91.do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cfr.gov/cgi-bin/text-idx?SID=701766796419185783305987e4179efb&amp;node=se38.1.3_1326&amp;rgn=div8" TargetMode="External"/><Relationship Id="rId23" Type="http://schemas.openxmlformats.org/officeDocument/2006/relationships/hyperlink" Target="http://www.ecfr.gov/cgi-bin/text-idx?SID=e80956928eaae6689e418e441a61025c&amp;node=se38.1.3_1327&amp;rgn=div8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ecfr.gov/cgi-bin/text-idx?SID=e80956928eaae6689e418e441a61025c&amp;node=se38.1.4_1129&amp;rgn=div8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vbaw.vba.va.gov/bl/21/Advisory/CAVCDAD.htm" TargetMode="External"/><Relationship Id="rId22" Type="http://schemas.openxmlformats.org/officeDocument/2006/relationships/hyperlink" Target="http://www.ecfr.gov/cgi-bin/text-idx?SID=92008dfecc8b6f4164213583622b454d&amp;node=se38.1.3_1344&amp;rgn=div8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4.3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b438dcf7-3998-4283-b7fc-0ec6fa8e430f">1</Order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76AF772BF364D8E899CBB1EA8E540" ma:contentTypeVersion="2" ma:contentTypeDescription="Create a new document." ma:contentTypeScope="" ma:versionID="f46cc7b5527e7c7d5dbbc0c04eeeb083">
  <xsd:schema xmlns:xsd="http://www.w3.org/2001/XMLSchema" xmlns:xs="http://www.w3.org/2001/XMLSchema" xmlns:p="http://schemas.microsoft.com/office/2006/metadata/properties" xmlns:ns2="b438dcf7-3998-4283-b7fc-0ec6fa8e430f" targetNamespace="http://schemas.microsoft.com/office/2006/metadata/properties" ma:root="true" ma:fieldsID="f3f4c0ff34dd50b43aae98cd4e8e0e68" ns2:_="">
    <xsd:import namespace="b438dcf7-3998-4283-b7fc-0ec6fa8e430f"/>
    <xsd:element name="properties">
      <xsd:complexType>
        <xsd:sequence>
          <xsd:element name="documentManagement">
            <xsd:complexType>
              <xsd:all>
                <xsd:element ref="ns2:Order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dcf7-3998-4283-b7fc-0ec6fa8e430f" elementFormDefault="qualified">
    <xsd:import namespace="http://schemas.microsoft.com/office/2006/documentManagement/types"/>
    <xsd:import namespace="http://schemas.microsoft.com/office/infopath/2007/PartnerControls"/>
    <xsd:element name="Order0" ma:index="8" ma:displayName="Order" ma:internalName="Order0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2838-1F17-41C7-87B9-301715FB2D4A}">
  <ds:schemaRefs>
    <ds:schemaRef ds:uri="b438dcf7-3998-4283-b7fc-0ec6fa8e430f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39A3C9-54F0-4B37-9BE0-474D169A7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9D448-6E1C-42C4-9B6E-AB3ACDBC2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dcf7-3998-4283-b7fc-0ec6fa8e4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79B38E-AD7C-4FEA-B794-290DC218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FSPro.dotm</Template>
  <TotalTime>521</TotalTime>
  <Pages>8</Pages>
  <Words>1786</Words>
  <Characters>12514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Scheduling Examinations</vt:lpstr>
    </vt:vector>
  </TitlesOfParts>
  <Company>VA</Company>
  <LinksUpToDate>false</LinksUpToDate>
  <CharactersWithSpaces>14272</CharactersWithSpaces>
  <SharedDoc>false</SharedDoc>
  <HLinks>
    <vt:vector size="144" baseType="variant">
      <vt:variant>
        <vt:i4>6422615</vt:i4>
      </vt:variant>
      <vt:variant>
        <vt:i4>84</vt:i4>
      </vt:variant>
      <vt:variant>
        <vt:i4>0</vt:i4>
      </vt:variant>
      <vt:variant>
        <vt:i4>5</vt:i4>
      </vt:variant>
      <vt:variant>
        <vt:lpwstr>http://vbaw.vba.va.gov/bl/21/M21-1MR/pt03/sp04/ch03/pt03_sp03_ch06_secC.xml</vt:lpwstr>
      </vt:variant>
      <vt:variant>
        <vt:lpwstr>III.iii.6.C</vt:lpwstr>
      </vt:variant>
      <vt:variant>
        <vt:i4>1310750</vt:i4>
      </vt:variant>
      <vt:variant>
        <vt:i4>81</vt:i4>
      </vt:variant>
      <vt:variant>
        <vt:i4>0</vt:i4>
      </vt:variant>
      <vt:variant>
        <vt:i4>5</vt:i4>
      </vt:variant>
      <vt:variant>
        <vt:lpwstr>http://vbaw.vba.va.gov/bl/21/M21-1MR/pt03/sp04/ch03/pt09_sp02_ch02.xml</vt:lpwstr>
      </vt:variant>
      <vt:variant>
        <vt:lpwstr>IX.ii.2.1</vt:lpwstr>
      </vt:variant>
      <vt:variant>
        <vt:i4>720897</vt:i4>
      </vt:variant>
      <vt:variant>
        <vt:i4>75</vt:i4>
      </vt:variant>
      <vt:variant>
        <vt:i4>0</vt:i4>
      </vt:variant>
      <vt:variant>
        <vt:i4>5</vt:i4>
      </vt:variant>
      <vt:variant>
        <vt:lpwstr>imi-internal:M21-1MRIII.iv.8.E.16</vt:lpwstr>
      </vt:variant>
      <vt:variant>
        <vt:lpwstr/>
      </vt:variant>
      <vt:variant>
        <vt:i4>6750279</vt:i4>
      </vt:variant>
      <vt:variant>
        <vt:i4>72</vt:i4>
      </vt:variant>
      <vt:variant>
        <vt:i4>0</vt:i4>
      </vt:variant>
      <vt:variant>
        <vt:i4>5</vt:i4>
      </vt:variant>
      <vt:variant>
        <vt:lpwstr>http://www.warms.vba.va.gov/regs/38CFR/BOOKB/PART3/S3_327.DOC</vt:lpwstr>
      </vt:variant>
      <vt:variant>
        <vt:lpwstr/>
      </vt:variant>
      <vt:variant>
        <vt:i4>6750279</vt:i4>
      </vt:variant>
      <vt:variant>
        <vt:i4>66</vt:i4>
      </vt:variant>
      <vt:variant>
        <vt:i4>0</vt:i4>
      </vt:variant>
      <vt:variant>
        <vt:i4>5</vt:i4>
      </vt:variant>
      <vt:variant>
        <vt:lpwstr>http://www.warms.vba.va.gov/regs/38CFR/BOOKB/PART3/S3_327.DOC</vt:lpwstr>
      </vt:variant>
      <vt:variant>
        <vt:lpwstr/>
      </vt:variant>
      <vt:variant>
        <vt:i4>3080199</vt:i4>
      </vt:variant>
      <vt:variant>
        <vt:i4>63</vt:i4>
      </vt:variant>
      <vt:variant>
        <vt:i4>0</vt:i4>
      </vt:variant>
      <vt:variant>
        <vt:i4>5</vt:i4>
      </vt:variant>
      <vt:variant>
        <vt:lpwstr>http://vbaw.vba.va.gov/bl/21/M21-1MR/pt03/sp04/ch03/pt04_sp02_ch02_secJ.xml</vt:lpwstr>
      </vt:variant>
      <vt:variant>
        <vt:lpwstr>IV.ii.2.J.64.e</vt:lpwstr>
      </vt:variant>
      <vt:variant>
        <vt:i4>6750278</vt:i4>
      </vt:variant>
      <vt:variant>
        <vt:i4>60</vt:i4>
      </vt:variant>
      <vt:variant>
        <vt:i4>0</vt:i4>
      </vt:variant>
      <vt:variant>
        <vt:i4>5</vt:i4>
      </vt:variant>
      <vt:variant>
        <vt:lpwstr>http://www.warms.vba.va.gov/regs/38CFR/BOOKB/PART3/S3_326.DOC</vt:lpwstr>
      </vt:variant>
      <vt:variant>
        <vt:lpwstr/>
      </vt:variant>
      <vt:variant>
        <vt:i4>393313</vt:i4>
      </vt:variant>
      <vt:variant>
        <vt:i4>57</vt:i4>
      </vt:variant>
      <vt:variant>
        <vt:i4>0</vt:i4>
      </vt:variant>
      <vt:variant>
        <vt:i4>5</vt:i4>
      </vt:variant>
      <vt:variant>
        <vt:lpwstr>http://www.benefits.va.gov/warms/docs/regs/38CFR/BOOKC/PART4/S4_127.DOC</vt:lpwstr>
      </vt:variant>
      <vt:variant>
        <vt:lpwstr/>
      </vt:variant>
      <vt:variant>
        <vt:i4>6750279</vt:i4>
      </vt:variant>
      <vt:variant>
        <vt:i4>54</vt:i4>
      </vt:variant>
      <vt:variant>
        <vt:i4>0</vt:i4>
      </vt:variant>
      <vt:variant>
        <vt:i4>5</vt:i4>
      </vt:variant>
      <vt:variant>
        <vt:lpwstr>http://www.warms.vba.va.gov/regs/38CFR/BOOKB/PART3/S3_327.DOC</vt:lpwstr>
      </vt:variant>
      <vt:variant>
        <vt:lpwstr/>
      </vt:variant>
      <vt:variant>
        <vt:i4>6750279</vt:i4>
      </vt:variant>
      <vt:variant>
        <vt:i4>51</vt:i4>
      </vt:variant>
      <vt:variant>
        <vt:i4>0</vt:i4>
      </vt:variant>
      <vt:variant>
        <vt:i4>5</vt:i4>
      </vt:variant>
      <vt:variant>
        <vt:lpwstr>http://www.warms.vba.va.gov/regs/38CFR/BOOKB/PART3/S3_327.DOC</vt:lpwstr>
      </vt:variant>
      <vt:variant>
        <vt:lpwstr/>
      </vt:variant>
      <vt:variant>
        <vt:i4>6750278</vt:i4>
      </vt:variant>
      <vt:variant>
        <vt:i4>45</vt:i4>
      </vt:variant>
      <vt:variant>
        <vt:i4>0</vt:i4>
      </vt:variant>
      <vt:variant>
        <vt:i4>5</vt:i4>
      </vt:variant>
      <vt:variant>
        <vt:lpwstr>http://www.warms.vba.va.gov/regs/38CFR/BOOKB/PART3/S3_326.DOC</vt:lpwstr>
      </vt:variant>
      <vt:variant>
        <vt:lpwstr/>
      </vt:variant>
      <vt:variant>
        <vt:i4>6750279</vt:i4>
      </vt:variant>
      <vt:variant>
        <vt:i4>42</vt:i4>
      </vt:variant>
      <vt:variant>
        <vt:i4>0</vt:i4>
      </vt:variant>
      <vt:variant>
        <vt:i4>5</vt:i4>
      </vt:variant>
      <vt:variant>
        <vt:lpwstr>http://www.warms.vba.va.gov/regs/38CFR/BOOKB/PART3/S3_327.DOC</vt:lpwstr>
      </vt:variant>
      <vt:variant>
        <vt:lpwstr/>
      </vt:variant>
      <vt:variant>
        <vt:i4>6750279</vt:i4>
      </vt:variant>
      <vt:variant>
        <vt:i4>39</vt:i4>
      </vt:variant>
      <vt:variant>
        <vt:i4>0</vt:i4>
      </vt:variant>
      <vt:variant>
        <vt:i4>5</vt:i4>
      </vt:variant>
      <vt:variant>
        <vt:lpwstr>http://www.warms.vba.va.gov/regs/38CFR/BOOKB/PART3/S3_327.DOC</vt:lpwstr>
      </vt:variant>
      <vt:variant>
        <vt:lpwstr/>
      </vt:variant>
      <vt:variant>
        <vt:i4>851969</vt:i4>
      </vt:variant>
      <vt:variant>
        <vt:i4>36</vt:i4>
      </vt:variant>
      <vt:variant>
        <vt:i4>0</vt:i4>
      </vt:variant>
      <vt:variant>
        <vt:i4>5</vt:i4>
      </vt:variant>
      <vt:variant>
        <vt:lpwstr>imi-internal:M21-1MRIII.iv.3.A.8</vt:lpwstr>
      </vt:variant>
      <vt:variant>
        <vt:lpwstr/>
      </vt:variant>
      <vt:variant>
        <vt:i4>3407984</vt:i4>
      </vt:variant>
      <vt:variant>
        <vt:i4>33</vt:i4>
      </vt:variant>
      <vt:variant>
        <vt:i4>0</vt:i4>
      </vt:variant>
      <vt:variant>
        <vt:i4>5</vt:i4>
      </vt:variant>
      <vt:variant>
        <vt:lpwstr>http://152.124.238.193/bl/21/Advisory/CAVCDAD.htm</vt:lpwstr>
      </vt:variant>
      <vt:variant>
        <vt:lpwstr>bmk</vt:lpwstr>
      </vt:variant>
      <vt:variant>
        <vt:i4>2031655</vt:i4>
      </vt:variant>
      <vt:variant>
        <vt:i4>30</vt:i4>
      </vt:variant>
      <vt:variant>
        <vt:i4>0</vt:i4>
      </vt:variant>
      <vt:variant>
        <vt:i4>5</vt:i4>
      </vt:variant>
      <vt:variant>
        <vt:lpwstr>http://vbaw.vba.va.gov/bl/21/M21-1MR/pt03/sp04/ch03/pt03_sp04_ch08_secE.xml</vt:lpwstr>
      </vt:variant>
      <vt:variant>
        <vt:lpwstr>III.iv.8.E.16</vt:lpwstr>
      </vt:variant>
      <vt:variant>
        <vt:i4>6750278</vt:i4>
      </vt:variant>
      <vt:variant>
        <vt:i4>27</vt:i4>
      </vt:variant>
      <vt:variant>
        <vt:i4>0</vt:i4>
      </vt:variant>
      <vt:variant>
        <vt:i4>5</vt:i4>
      </vt:variant>
      <vt:variant>
        <vt:lpwstr>http://www.warms.vba.va.gov/regs/38CFR/BOOKB/PART3/S3_326.DOC</vt:lpwstr>
      </vt:variant>
      <vt:variant>
        <vt:lpwstr/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>http://152.124.238.193/bl/21/Advisory/CAVCDAD.htm</vt:lpwstr>
      </vt:variant>
      <vt:variant>
        <vt:lpwstr>bma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>http://152.124.238.193/bl/21/Advisory/CAVCDAD.htm</vt:lpwstr>
      </vt:variant>
      <vt:variant>
        <vt:lpwstr>bmb</vt:lpwstr>
      </vt:variant>
      <vt:variant>
        <vt:i4>6357060</vt:i4>
      </vt:variant>
      <vt:variant>
        <vt:i4>15</vt:i4>
      </vt:variant>
      <vt:variant>
        <vt:i4>0</vt:i4>
      </vt:variant>
      <vt:variant>
        <vt:i4>5</vt:i4>
      </vt:variant>
      <vt:variant>
        <vt:lpwstr>http://www.warms.vba.va.gov/regs/38CFR/BOOKB/PART3/S3_344.DOC</vt:lpwstr>
      </vt:variant>
      <vt:variant>
        <vt:lpwstr/>
      </vt:variant>
      <vt:variant>
        <vt:i4>2621459</vt:i4>
      </vt:variant>
      <vt:variant>
        <vt:i4>9</vt:i4>
      </vt:variant>
      <vt:variant>
        <vt:i4>0</vt:i4>
      </vt:variant>
      <vt:variant>
        <vt:i4>5</vt:i4>
      </vt:variant>
      <vt:variant>
        <vt:lpwstr>http://vbaw.vba.va.gov/bl/21/M21-1MR/pt03/sp04/ch03/pt03_sp02_ch01_secC.xml</vt:lpwstr>
      </vt:variant>
      <vt:variant>
        <vt:lpwstr>III.ii.1.C.14.e</vt:lpwstr>
      </vt:variant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imi-internal:M21-1MRIII.iv.3.A.12.c</vt:lpwstr>
      </vt:variant>
      <vt:variant>
        <vt:lpwstr/>
      </vt:variant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imi-internal:M21-1MRIII.iv.3.A.12</vt:lpwstr>
      </vt:variant>
      <vt:variant>
        <vt:lpwstr/>
      </vt:variant>
      <vt:variant>
        <vt:i4>6684719</vt:i4>
      </vt:variant>
      <vt:variant>
        <vt:i4>0</vt:i4>
      </vt:variant>
      <vt:variant>
        <vt:i4>0</vt:i4>
      </vt:variant>
      <vt:variant>
        <vt:i4>5</vt:i4>
      </vt:variant>
      <vt:variant>
        <vt:lpwstr>imi-internal:M21-1MRIII.iv.3.A.1.b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Scheduling Examinations</dc:title>
  <dc:subject>Scheduling Examinations</dc:subject>
  <dc:creator>Department of Veterans Affairs</dc:creator>
  <cp:keywords>scheduling, examinations, review examination, employee claimant, stabilized, specialist, routine future, cancellation</cp:keywords>
  <dc:description>Overview of scheduling exams with VHA and guidance on when to order review examinations.</dc:description>
  <cp:lastModifiedBy>Mazar, Leah B., VBAVACO</cp:lastModifiedBy>
  <cp:revision>25</cp:revision>
  <cp:lastPrinted>2011-05-06T14:54:00Z</cp:lastPrinted>
  <dcterms:created xsi:type="dcterms:W3CDTF">2015-03-23T20:26:00Z</dcterms:created>
  <dcterms:modified xsi:type="dcterms:W3CDTF">2015-05-08T19:32:00Z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Created">
    <vt:lpwstr>2007</vt:lpwstr>
  </property>
  <property fmtid="{D5CDD505-2E9C-101B-9397-08002B2CF9AE}" pid="3" name="DateReviewed">
    <vt:lpwstr>20141002</vt:lpwstr>
  </property>
  <property fmtid="{D5CDD505-2E9C-101B-9397-08002B2CF9AE}" pid="4" name="Language">
    <vt:lpwstr>en</vt:lpwstr>
  </property>
  <property fmtid="{D5CDD505-2E9C-101B-9397-08002B2CF9AE}" pid="5" name="Creator">
    <vt:lpwstr>Department of Veterans Affairs, Veterans Benefits Administration, Compensation Service, Procedures</vt:lpwstr>
  </property>
  <property fmtid="{D5CDD505-2E9C-101B-9397-08002B2CF9AE}" pid="6" name="Type">
    <vt:lpwstr>Manual</vt:lpwstr>
  </property>
  <property fmtid="{D5CDD505-2E9C-101B-9397-08002B2CF9AE}" pid="7" name="ContentTypeId">
    <vt:lpwstr>0x010100A3776AF772BF364D8E899CBB1EA8E540</vt:lpwstr>
  </property>
</Properties>
</file>