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999E5" w14:textId="77777777" w:rsidR="00DC0C65" w:rsidRPr="008E3C0B" w:rsidRDefault="00DC0C65">
      <w:pPr>
        <w:pStyle w:val="Heading2"/>
      </w:pPr>
      <w:r w:rsidRPr="008E3C0B">
        <w:t>Section C.  Control of Examinations</w:t>
      </w:r>
    </w:p>
    <w:p w14:paraId="3D8999E6" w14:textId="77777777" w:rsidR="00DC0C65" w:rsidRPr="008E3C0B" w:rsidRDefault="00DC0C65">
      <w:pPr>
        <w:pStyle w:val="Heading4"/>
      </w:pPr>
      <w:r w:rsidRPr="008E3C0B">
        <w:fldChar w:fldCharType="begin"/>
      </w:r>
      <w:r w:rsidRPr="008E3C0B">
        <w:instrText xml:space="preserve"> PRIVATE INFOTYPE="OTHER" </w:instrText>
      </w:r>
      <w:r w:rsidRPr="008E3C0B">
        <w:fldChar w:fldCharType="end"/>
      </w:r>
      <w:r w:rsidRPr="008E3C0B">
        <w:t>Overview</w:t>
      </w:r>
    </w:p>
    <w:p w14:paraId="3D8999E7" w14:textId="7777777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9EA" w14:textId="77777777">
        <w:trPr>
          <w:cantSplit/>
        </w:trPr>
        <w:tc>
          <w:tcPr>
            <w:tcW w:w="1728" w:type="dxa"/>
          </w:tcPr>
          <w:p w14:paraId="3D8999E8" w14:textId="4D74CF3A" w:rsidR="00DC0C65" w:rsidRPr="008E3C0B" w:rsidRDefault="00DC0C65">
            <w:pPr>
              <w:pStyle w:val="Heading5"/>
            </w:pPr>
            <w:r w:rsidRPr="008E3C0B">
              <w:t xml:space="preserve">In </w:t>
            </w:r>
            <w:r w:rsidR="00564DC8" w:rsidRPr="008E3C0B">
              <w:t>T</w:t>
            </w:r>
            <w:r w:rsidRPr="008E3C0B">
              <w:t>his Section</w:t>
            </w:r>
          </w:p>
        </w:tc>
        <w:tc>
          <w:tcPr>
            <w:tcW w:w="7740" w:type="dxa"/>
          </w:tcPr>
          <w:p w14:paraId="3D8999E9" w14:textId="77777777" w:rsidR="00DC0C65" w:rsidRPr="008E3C0B" w:rsidRDefault="00DC0C65">
            <w:pPr>
              <w:pStyle w:val="BlockText"/>
            </w:pPr>
            <w:r w:rsidRPr="008E3C0B">
              <w:t>This section contains the following topics:</w:t>
            </w:r>
          </w:p>
        </w:tc>
      </w:tr>
    </w:tbl>
    <w:p w14:paraId="3D8999EB" w14:textId="77777777" w:rsidR="00DC0C65" w:rsidRPr="008E3C0B" w:rsidRDefault="00DC0C65"/>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AC73F8" w:rsidRPr="008E3C0B" w14:paraId="3D8999EF" w14:textId="77777777" w:rsidTr="00B32FBF">
        <w:trPr>
          <w:cantSplit/>
        </w:trPr>
        <w:tc>
          <w:tcPr>
            <w:tcW w:w="1296" w:type="dxa"/>
            <w:tcBorders>
              <w:top w:val="single" w:sz="6" w:space="0" w:color="auto"/>
              <w:left w:val="single" w:sz="6" w:space="0" w:color="auto"/>
              <w:bottom w:val="single" w:sz="6" w:space="0" w:color="auto"/>
              <w:right w:val="single" w:sz="6" w:space="0" w:color="auto"/>
            </w:tcBorders>
          </w:tcPr>
          <w:p w14:paraId="3D8999EC" w14:textId="77777777" w:rsidR="00AC73F8" w:rsidRPr="008E3C0B" w:rsidRDefault="00AC73F8">
            <w:pPr>
              <w:pStyle w:val="TableHeaderText"/>
            </w:pPr>
            <w:r w:rsidRPr="008E3C0B">
              <w:t>Topic</w:t>
            </w:r>
          </w:p>
        </w:tc>
        <w:tc>
          <w:tcPr>
            <w:tcW w:w="6344" w:type="dxa"/>
            <w:tcBorders>
              <w:top w:val="single" w:sz="6" w:space="0" w:color="auto"/>
              <w:left w:val="single" w:sz="6" w:space="0" w:color="auto"/>
              <w:bottom w:val="single" w:sz="6" w:space="0" w:color="auto"/>
              <w:right w:val="single" w:sz="6" w:space="0" w:color="auto"/>
            </w:tcBorders>
          </w:tcPr>
          <w:p w14:paraId="3D8999ED" w14:textId="77777777" w:rsidR="00AC73F8" w:rsidRPr="008E3C0B" w:rsidRDefault="00AC73F8">
            <w:pPr>
              <w:pStyle w:val="TableHeaderText"/>
            </w:pPr>
            <w:r w:rsidRPr="008E3C0B">
              <w:t>Topic Name</w:t>
            </w:r>
          </w:p>
        </w:tc>
      </w:tr>
      <w:tr w:rsidR="00AC73F8" w:rsidRPr="008E3C0B" w14:paraId="3D8999F3" w14:textId="77777777" w:rsidTr="00B32FBF">
        <w:trPr>
          <w:cantSplit/>
        </w:trPr>
        <w:tc>
          <w:tcPr>
            <w:tcW w:w="1296" w:type="dxa"/>
            <w:tcBorders>
              <w:top w:val="single" w:sz="6" w:space="0" w:color="auto"/>
              <w:left w:val="single" w:sz="6" w:space="0" w:color="auto"/>
              <w:bottom w:val="single" w:sz="6" w:space="0" w:color="auto"/>
              <w:right w:val="single" w:sz="6" w:space="0" w:color="auto"/>
            </w:tcBorders>
          </w:tcPr>
          <w:p w14:paraId="3D8999F0" w14:textId="5B4F073D" w:rsidR="00AC73F8" w:rsidRPr="008E3C0B" w:rsidRDefault="00AC73F8">
            <w:pPr>
              <w:pStyle w:val="TableText"/>
              <w:jc w:val="center"/>
            </w:pPr>
            <w:r w:rsidRPr="008E3C0B">
              <w:t xml:space="preserve">1 </w:t>
            </w:r>
          </w:p>
        </w:tc>
        <w:tc>
          <w:tcPr>
            <w:tcW w:w="6344" w:type="dxa"/>
            <w:tcBorders>
              <w:top w:val="single" w:sz="6" w:space="0" w:color="auto"/>
              <w:left w:val="single" w:sz="6" w:space="0" w:color="auto"/>
              <w:bottom w:val="single" w:sz="6" w:space="0" w:color="auto"/>
              <w:right w:val="single" w:sz="6" w:space="0" w:color="auto"/>
            </w:tcBorders>
          </w:tcPr>
          <w:p w14:paraId="3D8999F1" w14:textId="77777777" w:rsidR="00AC73F8" w:rsidRPr="008E3C0B" w:rsidRDefault="00AC73F8">
            <w:pPr>
              <w:pStyle w:val="TableText"/>
            </w:pPr>
            <w:r w:rsidRPr="008E3C0B">
              <w:t>Control and Follow-Up of Examination Requests</w:t>
            </w:r>
          </w:p>
        </w:tc>
      </w:tr>
      <w:tr w:rsidR="00AC73F8" w:rsidRPr="008E3C0B" w14:paraId="3D8999F7" w14:textId="77777777" w:rsidTr="00B32FBF">
        <w:trPr>
          <w:cantSplit/>
        </w:trPr>
        <w:tc>
          <w:tcPr>
            <w:tcW w:w="1296" w:type="dxa"/>
            <w:tcBorders>
              <w:top w:val="single" w:sz="6" w:space="0" w:color="auto"/>
              <w:left w:val="single" w:sz="6" w:space="0" w:color="auto"/>
              <w:bottom w:val="single" w:sz="6" w:space="0" w:color="auto"/>
              <w:right w:val="single" w:sz="6" w:space="0" w:color="auto"/>
            </w:tcBorders>
          </w:tcPr>
          <w:p w14:paraId="3D8999F4" w14:textId="78E70BCE" w:rsidR="00AC73F8" w:rsidRPr="008E3C0B" w:rsidRDefault="00AC73F8">
            <w:pPr>
              <w:pStyle w:val="TableText"/>
              <w:jc w:val="center"/>
            </w:pPr>
            <w:r w:rsidRPr="008E3C0B">
              <w:t xml:space="preserve">2 </w:t>
            </w:r>
          </w:p>
        </w:tc>
        <w:tc>
          <w:tcPr>
            <w:tcW w:w="6344" w:type="dxa"/>
            <w:tcBorders>
              <w:top w:val="single" w:sz="6" w:space="0" w:color="auto"/>
              <w:left w:val="single" w:sz="6" w:space="0" w:color="auto"/>
              <w:bottom w:val="single" w:sz="6" w:space="0" w:color="auto"/>
              <w:right w:val="single" w:sz="6" w:space="0" w:color="auto"/>
            </w:tcBorders>
          </w:tcPr>
          <w:p w14:paraId="3D8999F5" w14:textId="77777777" w:rsidR="00AC73F8" w:rsidRPr="008E3C0B" w:rsidRDefault="00AC73F8">
            <w:pPr>
              <w:pStyle w:val="TableText"/>
            </w:pPr>
            <w:r w:rsidRPr="008E3C0B">
              <w:t>Control of Future Examinations</w:t>
            </w:r>
          </w:p>
        </w:tc>
      </w:tr>
    </w:tbl>
    <w:p w14:paraId="702057B7" w14:textId="77777777" w:rsidR="00AB2699" w:rsidRPr="008E3C0B" w:rsidRDefault="00AB2699">
      <w:pPr>
        <w:pStyle w:val="Heading4"/>
      </w:pPr>
    </w:p>
    <w:p w14:paraId="4BB9F388" w14:textId="77777777" w:rsidR="00AB2699" w:rsidRPr="008E3C0B" w:rsidRDefault="00AB2699" w:rsidP="00AB2699">
      <w:pPr>
        <w:rPr>
          <w:rFonts w:ascii="Arial" w:hAnsi="Arial"/>
          <w:sz w:val="32"/>
        </w:rPr>
      </w:pPr>
      <w:r w:rsidRPr="008E3C0B">
        <w:br w:type="page"/>
      </w:r>
    </w:p>
    <w:p w14:paraId="3D8999F9" w14:textId="08131B3E" w:rsidR="00DC0C65" w:rsidRPr="008E3C0B" w:rsidRDefault="00AC73F8">
      <w:pPr>
        <w:pStyle w:val="Heading4"/>
      </w:pPr>
      <w:r w:rsidRPr="008E3C0B">
        <w:lastRenderedPageBreak/>
        <w:t>1</w:t>
      </w:r>
      <w:r w:rsidR="00DC0C65" w:rsidRPr="008E3C0B">
        <w:t xml:space="preserve">.  </w:t>
      </w:r>
      <w:bookmarkStart w:id="0" w:name="Topic16"/>
      <w:bookmarkEnd w:id="0"/>
      <w:r w:rsidR="00DC0C65" w:rsidRPr="008E3C0B">
        <w:t>Control and Follow-Up of Examination Requests</w:t>
      </w:r>
    </w:p>
    <w:p w14:paraId="3D8999FA" w14:textId="77777777" w:rsidR="00DC0C65" w:rsidRPr="008E3C0B" w:rsidRDefault="00DC0C65">
      <w:pPr>
        <w:pStyle w:val="BlockLine"/>
      </w:pPr>
      <w:r w:rsidRPr="008E3C0B">
        <w:fldChar w:fldCharType="begin"/>
      </w:r>
      <w:r w:rsidRPr="008E3C0B">
        <w:instrText xml:space="preserve"> PRIVATE INFOTYPE="OTHER" </w:instrText>
      </w:r>
      <w:r w:rsidRPr="008E3C0B">
        <w:fldChar w:fldCharType="end"/>
      </w:r>
    </w:p>
    <w:tbl>
      <w:tblPr>
        <w:tblW w:w="0" w:type="auto"/>
        <w:tblLayout w:type="fixed"/>
        <w:tblLook w:val="0000" w:firstRow="0" w:lastRow="0" w:firstColumn="0" w:lastColumn="0" w:noHBand="0" w:noVBand="0"/>
      </w:tblPr>
      <w:tblGrid>
        <w:gridCol w:w="1728"/>
        <w:gridCol w:w="7740"/>
      </w:tblGrid>
      <w:tr w:rsidR="00DC0C65" w:rsidRPr="008E3C0B" w14:paraId="3D899A01" w14:textId="77777777">
        <w:trPr>
          <w:cantSplit/>
        </w:trPr>
        <w:tc>
          <w:tcPr>
            <w:tcW w:w="1728" w:type="dxa"/>
          </w:tcPr>
          <w:p w14:paraId="3D8999FB" w14:textId="77777777" w:rsidR="00DC0C65" w:rsidRPr="008E3C0B" w:rsidRDefault="00DC0C65">
            <w:pPr>
              <w:pStyle w:val="Heading5"/>
            </w:pPr>
            <w:r w:rsidRPr="008E3C0B">
              <w:t>Introduction</w:t>
            </w:r>
          </w:p>
        </w:tc>
        <w:tc>
          <w:tcPr>
            <w:tcW w:w="7740" w:type="dxa"/>
          </w:tcPr>
          <w:p w14:paraId="3D8999FC" w14:textId="77777777" w:rsidR="00DC0C65" w:rsidRPr="008E3C0B" w:rsidRDefault="00DC0C65">
            <w:pPr>
              <w:pStyle w:val="BlockText"/>
            </w:pPr>
            <w:r w:rsidRPr="008E3C0B">
              <w:t>This topic contains information about control and follow-up of examination requests, including</w:t>
            </w:r>
          </w:p>
          <w:p w14:paraId="3D8999FD" w14:textId="77777777" w:rsidR="00DC0C65" w:rsidRPr="008E3C0B" w:rsidRDefault="00DC0C65">
            <w:pPr>
              <w:pStyle w:val="BlockText"/>
            </w:pPr>
          </w:p>
          <w:p w14:paraId="3D8999FE" w14:textId="1BD03C90" w:rsidR="00DC0C65" w:rsidRPr="008E3C0B" w:rsidRDefault="00DC0C65">
            <w:pPr>
              <w:pStyle w:val="BulletText1"/>
            </w:pPr>
            <w:r w:rsidRPr="008E3C0B">
              <w:t xml:space="preserve">determining the appropriate </w:t>
            </w:r>
            <w:r w:rsidR="006D06E8" w:rsidRPr="008E3C0B">
              <w:t>suspense date for examinations, and</w:t>
            </w:r>
          </w:p>
          <w:p w14:paraId="3D899A00" w14:textId="6BF7536D" w:rsidR="00DC0C65" w:rsidRPr="008E3C0B" w:rsidRDefault="00DC0C65">
            <w:pPr>
              <w:pStyle w:val="BulletText1"/>
            </w:pPr>
            <w:proofErr w:type="gramStart"/>
            <w:r w:rsidRPr="008E3C0B">
              <w:t>checking</w:t>
            </w:r>
            <w:proofErr w:type="gramEnd"/>
            <w:r w:rsidRPr="008E3C0B">
              <w:t xml:space="preserve"> the status of examination requests</w:t>
            </w:r>
            <w:r w:rsidR="006D06E8" w:rsidRPr="008E3C0B">
              <w:t xml:space="preserve"> under special circumstances</w:t>
            </w:r>
            <w:r w:rsidR="009B4C74" w:rsidRPr="008E3C0B">
              <w:t>.</w:t>
            </w:r>
          </w:p>
        </w:tc>
      </w:tr>
    </w:tbl>
    <w:p w14:paraId="3D899A02" w14:textId="7777777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05" w14:textId="77777777">
        <w:trPr>
          <w:cantSplit/>
        </w:trPr>
        <w:tc>
          <w:tcPr>
            <w:tcW w:w="1728" w:type="dxa"/>
          </w:tcPr>
          <w:p w14:paraId="3D899A03" w14:textId="77777777" w:rsidR="00DC0C65" w:rsidRPr="008E3C0B" w:rsidRDefault="00DC0C65">
            <w:pPr>
              <w:pStyle w:val="Heading5"/>
            </w:pPr>
            <w:r w:rsidRPr="008E3C0B">
              <w:t>Change Date</w:t>
            </w:r>
          </w:p>
        </w:tc>
        <w:tc>
          <w:tcPr>
            <w:tcW w:w="7740" w:type="dxa"/>
          </w:tcPr>
          <w:p w14:paraId="3D899A04" w14:textId="1D05C4DC" w:rsidR="00DC0C65" w:rsidRPr="008E3C0B" w:rsidRDefault="009B4C74">
            <w:pPr>
              <w:pStyle w:val="BlockText"/>
            </w:pPr>
            <w:r w:rsidRPr="008E3C0B">
              <w:t>May 1, 2015</w:t>
            </w:r>
          </w:p>
        </w:tc>
      </w:tr>
    </w:tbl>
    <w:p w14:paraId="3D899A06" w14:textId="7777777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09" w14:textId="77777777">
        <w:trPr>
          <w:cantSplit/>
        </w:trPr>
        <w:tc>
          <w:tcPr>
            <w:tcW w:w="1728" w:type="dxa"/>
          </w:tcPr>
          <w:p w14:paraId="3D899A07" w14:textId="690ED985" w:rsidR="00DC0C65" w:rsidRPr="008E3C0B" w:rsidRDefault="00DC0C65" w:rsidP="00975851">
            <w:pPr>
              <w:pStyle w:val="Heading5"/>
            </w:pPr>
            <w:bookmarkStart w:id="1" w:name="_a.__Determining"/>
            <w:bookmarkEnd w:id="1"/>
            <w:proofErr w:type="gramStart"/>
            <w:r w:rsidRPr="008E3C0B">
              <w:t>a.  Determining</w:t>
            </w:r>
            <w:proofErr w:type="gramEnd"/>
            <w:r w:rsidRPr="008E3C0B">
              <w:t xml:space="preserve"> the Appropriate </w:t>
            </w:r>
            <w:r w:rsidR="00975851" w:rsidRPr="008E3C0B">
              <w:t>Suspense Date for Examinations</w:t>
            </w:r>
          </w:p>
        </w:tc>
        <w:tc>
          <w:tcPr>
            <w:tcW w:w="7740" w:type="dxa"/>
          </w:tcPr>
          <w:p w14:paraId="0ECB57B7" w14:textId="57C684D3" w:rsidR="00D42BF8" w:rsidRPr="008E3C0B" w:rsidRDefault="0041032C" w:rsidP="00975851">
            <w:r w:rsidRPr="008E3C0B">
              <w:t>The initial suspense date of the pending end product (EP) is established automatically based on the suspense rea</w:t>
            </w:r>
            <w:r w:rsidR="00D42BF8" w:rsidRPr="008E3C0B">
              <w:t xml:space="preserve">son selected in the Veterans Benefits Management System (VBMS) or </w:t>
            </w:r>
            <w:r w:rsidR="00975851" w:rsidRPr="008E3C0B">
              <w:t>Modern Award Processing-</w:t>
            </w:r>
            <w:r w:rsidR="00D42BF8" w:rsidRPr="008E3C0B">
              <w:t>Development</w:t>
            </w:r>
            <w:r w:rsidR="00975851" w:rsidRPr="008E3C0B">
              <w:t xml:space="preserve"> </w:t>
            </w:r>
            <w:r w:rsidR="00D42BF8" w:rsidRPr="008E3C0B">
              <w:t>(MAP-D).</w:t>
            </w:r>
          </w:p>
          <w:p w14:paraId="13AB75E5" w14:textId="77777777" w:rsidR="00D42BF8" w:rsidRPr="008E3C0B" w:rsidRDefault="00D42BF8" w:rsidP="00975851"/>
          <w:p w14:paraId="33D68631" w14:textId="4BCDE0D8" w:rsidR="00DC0C65" w:rsidRPr="008E3C0B" w:rsidRDefault="0041032C" w:rsidP="00975851">
            <w:r w:rsidRPr="008E3C0B">
              <w:t xml:space="preserve">If the examination has not been completed once the suspense date matures, review the status in </w:t>
            </w:r>
            <w:r w:rsidR="00975851" w:rsidRPr="008E3C0B">
              <w:t>the Compensation and Pension Records Interchange (</w:t>
            </w:r>
            <w:r w:rsidRPr="008E3C0B">
              <w:t>CAP</w:t>
            </w:r>
            <w:r w:rsidR="00D42BF8" w:rsidRPr="008E3C0B">
              <w:t>RI</w:t>
            </w:r>
            <w:r w:rsidR="00975851" w:rsidRPr="008E3C0B">
              <w:t>)</w:t>
            </w:r>
            <w:r w:rsidR="00D42BF8" w:rsidRPr="008E3C0B">
              <w:t>, and u</w:t>
            </w:r>
            <w:r w:rsidRPr="008E3C0B">
              <w:t xml:space="preserve">pdate the suspense date based on the anticipated </w:t>
            </w:r>
            <w:r w:rsidR="00D42BF8" w:rsidRPr="008E3C0B">
              <w:t>completion date</w:t>
            </w:r>
            <w:r w:rsidRPr="008E3C0B">
              <w:t xml:space="preserve"> of the examination.</w:t>
            </w:r>
          </w:p>
          <w:p w14:paraId="47E6E1E3" w14:textId="77777777" w:rsidR="00D42BF8" w:rsidRPr="008E3C0B" w:rsidRDefault="00D42BF8" w:rsidP="00975851"/>
          <w:p w14:paraId="3D899A08" w14:textId="38D2A15C" w:rsidR="00D42BF8" w:rsidRPr="008E3C0B" w:rsidRDefault="00D42BF8" w:rsidP="00975851">
            <w:pPr>
              <w:rPr>
                <w:b/>
              </w:rPr>
            </w:pPr>
            <w:r w:rsidRPr="008E3C0B">
              <w:rPr>
                <w:b/>
                <w:i/>
              </w:rPr>
              <w:t>Reference</w:t>
            </w:r>
            <w:r w:rsidRPr="008E3C0B">
              <w:t xml:space="preserve">:  For information on how to receive automated e-mail notifications when examinations requested through CAPRI are completed or cancelled, see the </w:t>
            </w:r>
            <w:hyperlink r:id="rId12" w:history="1">
              <w:r w:rsidRPr="008E3C0B">
                <w:rPr>
                  <w:rStyle w:val="Hyperlink"/>
                </w:rPr>
                <w:t>Guide for Updating Forwarding E-mail Addresses in CAPRI</w:t>
              </w:r>
            </w:hyperlink>
            <w:r w:rsidRPr="008E3C0B">
              <w:t>.</w:t>
            </w:r>
          </w:p>
        </w:tc>
      </w:tr>
    </w:tbl>
    <w:p w14:paraId="3D899A0A" w14:textId="7777777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0D" w14:textId="77777777">
        <w:trPr>
          <w:cantSplit/>
        </w:trPr>
        <w:tc>
          <w:tcPr>
            <w:tcW w:w="1728" w:type="dxa"/>
          </w:tcPr>
          <w:p w14:paraId="3D899A0B" w14:textId="46AA6EBD" w:rsidR="00DC0C65" w:rsidRPr="008E3C0B" w:rsidRDefault="00DC0C65">
            <w:pPr>
              <w:pStyle w:val="Heading5"/>
            </w:pPr>
            <w:bookmarkStart w:id="2" w:name="_b.__Checking"/>
            <w:bookmarkEnd w:id="2"/>
            <w:proofErr w:type="gramStart"/>
            <w:r w:rsidRPr="008E3C0B">
              <w:t>b.  Checking</w:t>
            </w:r>
            <w:proofErr w:type="gramEnd"/>
            <w:r w:rsidRPr="008E3C0B">
              <w:t xml:space="preserve"> the Status of Examination Requests</w:t>
            </w:r>
            <w:r w:rsidR="0041032C" w:rsidRPr="008E3C0B">
              <w:t xml:space="preserve"> Under Special Circumstances</w:t>
            </w:r>
          </w:p>
        </w:tc>
        <w:tc>
          <w:tcPr>
            <w:tcW w:w="7740" w:type="dxa"/>
          </w:tcPr>
          <w:p w14:paraId="3D899A0C" w14:textId="77777777" w:rsidR="00DC0C65" w:rsidRPr="008E3C0B" w:rsidRDefault="00DC0C65">
            <w:pPr>
              <w:pStyle w:val="BlockText"/>
            </w:pPr>
            <w:r w:rsidRPr="008E3C0B">
              <w:t>Use the table below to check the status of expedited or overdue examination requests.</w:t>
            </w:r>
          </w:p>
        </w:tc>
      </w:tr>
    </w:tbl>
    <w:p w14:paraId="3D899A0E" w14:textId="77777777" w:rsidR="00DC0C65" w:rsidRPr="008E3C0B" w:rsidRDefault="00DC0C65"/>
    <w:tbl>
      <w:tblPr>
        <w:tblW w:w="0" w:type="auto"/>
        <w:tblInd w:w="1800" w:type="dxa"/>
        <w:tblLayout w:type="fixed"/>
        <w:tblCellMar>
          <w:left w:w="80" w:type="dxa"/>
          <w:right w:w="80" w:type="dxa"/>
        </w:tblCellMar>
        <w:tblLook w:val="0000" w:firstRow="0" w:lastRow="0" w:firstColumn="0" w:lastColumn="0" w:noHBand="0" w:noVBand="0"/>
      </w:tblPr>
      <w:tblGrid>
        <w:gridCol w:w="3770"/>
        <w:gridCol w:w="3790"/>
      </w:tblGrid>
      <w:tr w:rsidR="00DC0C65" w:rsidRPr="008E3C0B" w14:paraId="3D899A11" w14:textId="77777777">
        <w:trPr>
          <w:cantSplit/>
        </w:trPr>
        <w:tc>
          <w:tcPr>
            <w:tcW w:w="3770" w:type="dxa"/>
            <w:tcBorders>
              <w:top w:val="single" w:sz="6" w:space="0" w:color="auto"/>
              <w:left w:val="single" w:sz="6" w:space="0" w:color="auto"/>
              <w:bottom w:val="single" w:sz="6" w:space="0" w:color="auto"/>
              <w:right w:val="single" w:sz="6" w:space="0" w:color="auto"/>
            </w:tcBorders>
          </w:tcPr>
          <w:p w14:paraId="3D899A0F" w14:textId="77777777" w:rsidR="00DC0C65" w:rsidRPr="008E3C0B" w:rsidRDefault="00DC0C65">
            <w:pPr>
              <w:pStyle w:val="TableHeaderText"/>
              <w:jc w:val="left"/>
            </w:pPr>
            <w:r w:rsidRPr="008E3C0B">
              <w:t>If the issue relates to …</w:t>
            </w:r>
          </w:p>
        </w:tc>
        <w:tc>
          <w:tcPr>
            <w:tcW w:w="3790" w:type="dxa"/>
            <w:tcBorders>
              <w:top w:val="single" w:sz="6" w:space="0" w:color="auto"/>
              <w:left w:val="single" w:sz="6" w:space="0" w:color="auto"/>
              <w:bottom w:val="single" w:sz="6" w:space="0" w:color="auto"/>
              <w:right w:val="single" w:sz="6" w:space="0" w:color="auto"/>
            </w:tcBorders>
          </w:tcPr>
          <w:p w14:paraId="3D899A10" w14:textId="77777777" w:rsidR="00DC0C65" w:rsidRPr="008E3C0B" w:rsidRDefault="00DC0C65">
            <w:pPr>
              <w:pStyle w:val="TableHeaderText"/>
              <w:jc w:val="left"/>
            </w:pPr>
            <w:r w:rsidRPr="008E3C0B">
              <w:t>Then the regional office (RO) personnel can check the status of the examination request by …</w:t>
            </w:r>
          </w:p>
        </w:tc>
      </w:tr>
      <w:tr w:rsidR="00DC0C65" w:rsidRPr="008E3C0B" w14:paraId="3D899A14" w14:textId="77777777">
        <w:trPr>
          <w:cantSplit/>
        </w:trPr>
        <w:tc>
          <w:tcPr>
            <w:tcW w:w="3770" w:type="dxa"/>
            <w:tcBorders>
              <w:top w:val="single" w:sz="6" w:space="0" w:color="auto"/>
              <w:left w:val="single" w:sz="6" w:space="0" w:color="auto"/>
              <w:bottom w:val="single" w:sz="6" w:space="0" w:color="auto"/>
              <w:right w:val="single" w:sz="6" w:space="0" w:color="auto"/>
            </w:tcBorders>
          </w:tcPr>
          <w:p w14:paraId="3D899A12" w14:textId="77777777" w:rsidR="00DC0C65" w:rsidRPr="008E3C0B" w:rsidRDefault="00DC0C65">
            <w:pPr>
              <w:pStyle w:val="TableText"/>
            </w:pPr>
            <w:r w:rsidRPr="008E3C0B">
              <w:t>an expedited follow-up required by special circumstances</w:t>
            </w:r>
          </w:p>
        </w:tc>
        <w:tc>
          <w:tcPr>
            <w:tcW w:w="3790" w:type="dxa"/>
            <w:tcBorders>
              <w:top w:val="single" w:sz="6" w:space="0" w:color="auto"/>
              <w:left w:val="single" w:sz="6" w:space="0" w:color="auto"/>
              <w:bottom w:val="single" w:sz="6" w:space="0" w:color="auto"/>
              <w:right w:val="single" w:sz="6" w:space="0" w:color="auto"/>
            </w:tcBorders>
          </w:tcPr>
          <w:p w14:paraId="3D899A13" w14:textId="77777777" w:rsidR="00DC0C65" w:rsidRPr="008E3C0B" w:rsidRDefault="00DC0C65">
            <w:pPr>
              <w:pStyle w:val="TableText"/>
            </w:pPr>
            <w:proofErr w:type="gramStart"/>
            <w:r w:rsidRPr="008E3C0B">
              <w:t>a</w:t>
            </w:r>
            <w:proofErr w:type="gramEnd"/>
            <w:r w:rsidRPr="008E3C0B">
              <w:t xml:space="preserve"> telephone or personal conference with the clinical director, if needed.</w:t>
            </w:r>
          </w:p>
        </w:tc>
      </w:tr>
      <w:tr w:rsidR="00DC0C65" w:rsidRPr="008E3C0B" w14:paraId="3D899A18" w14:textId="77777777" w:rsidTr="005F4D9C">
        <w:trPr>
          <w:cantSplit/>
          <w:trHeight w:val="1155"/>
        </w:trPr>
        <w:tc>
          <w:tcPr>
            <w:tcW w:w="3770" w:type="dxa"/>
            <w:tcBorders>
              <w:top w:val="single" w:sz="6" w:space="0" w:color="auto"/>
              <w:left w:val="single" w:sz="6" w:space="0" w:color="auto"/>
              <w:bottom w:val="single" w:sz="6" w:space="0" w:color="auto"/>
              <w:right w:val="single" w:sz="6" w:space="0" w:color="auto"/>
            </w:tcBorders>
          </w:tcPr>
          <w:p w14:paraId="3D899A15" w14:textId="77777777" w:rsidR="00DC0C65" w:rsidRPr="008E3C0B" w:rsidRDefault="00DC0C65">
            <w:pPr>
              <w:pStyle w:val="BulletText1"/>
            </w:pPr>
            <w:r w:rsidRPr="008E3C0B">
              <w:t>a request for an expedited examination, or</w:t>
            </w:r>
          </w:p>
          <w:p w14:paraId="3D899A16" w14:textId="77777777" w:rsidR="00DC0C65" w:rsidRPr="008E3C0B" w:rsidRDefault="00DC0C65">
            <w:pPr>
              <w:pStyle w:val="BulletText1"/>
            </w:pPr>
            <w:r w:rsidRPr="008E3C0B">
              <w:t>an inquiry on the status of an overdue examination</w:t>
            </w:r>
          </w:p>
        </w:tc>
        <w:tc>
          <w:tcPr>
            <w:tcW w:w="3790" w:type="dxa"/>
            <w:tcBorders>
              <w:top w:val="single" w:sz="6" w:space="0" w:color="auto"/>
              <w:left w:val="single" w:sz="6" w:space="0" w:color="auto"/>
              <w:bottom w:val="single" w:sz="6" w:space="0" w:color="auto"/>
              <w:right w:val="single" w:sz="6" w:space="0" w:color="auto"/>
            </w:tcBorders>
          </w:tcPr>
          <w:p w14:paraId="3D899A17" w14:textId="77777777" w:rsidR="00DC0C65" w:rsidRPr="008E3C0B" w:rsidRDefault="00DC0C65">
            <w:pPr>
              <w:pStyle w:val="TableText"/>
            </w:pPr>
            <w:proofErr w:type="gramStart"/>
            <w:r w:rsidRPr="008E3C0B">
              <w:t>telephone</w:t>
            </w:r>
            <w:proofErr w:type="gramEnd"/>
            <w:r w:rsidRPr="008E3C0B">
              <w:t xml:space="preserve"> contact.</w:t>
            </w:r>
          </w:p>
        </w:tc>
      </w:tr>
    </w:tbl>
    <w:p w14:paraId="14DFE584" w14:textId="57A883D7" w:rsidR="006D06E8" w:rsidRPr="008E3C0B" w:rsidRDefault="006D06E8" w:rsidP="0022719B">
      <w:bookmarkStart w:id="3" w:name="_c.__Using"/>
      <w:bookmarkEnd w:id="3"/>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22719B" w:rsidRPr="008E3C0B" w14:paraId="79CCE0B1" w14:textId="77777777" w:rsidTr="002B547A">
        <w:tc>
          <w:tcPr>
            <w:tcW w:w="7740" w:type="dxa"/>
            <w:shd w:val="clear" w:color="auto" w:fill="auto"/>
          </w:tcPr>
          <w:p w14:paraId="7AFF4A56" w14:textId="77777777" w:rsidR="0022719B" w:rsidRPr="008E3C0B" w:rsidRDefault="0022719B" w:rsidP="002B547A">
            <w:r w:rsidRPr="008E3C0B">
              <w:rPr>
                <w:b/>
                <w:i/>
              </w:rPr>
              <w:t>Note</w:t>
            </w:r>
            <w:r w:rsidRPr="008E3C0B">
              <w:t>:  Exa</w:t>
            </w:r>
            <w:r w:rsidR="002B547A" w:rsidRPr="008E3C0B">
              <w:t xml:space="preserve">minations that are cancelled </w:t>
            </w:r>
            <w:r w:rsidRPr="008E3C0B">
              <w:t xml:space="preserve">without a </w:t>
            </w:r>
            <w:r w:rsidRPr="008E3C0B">
              <w:rPr>
                <w:i/>
              </w:rPr>
              <w:t>valid</w:t>
            </w:r>
            <w:r w:rsidRPr="008E3C0B">
              <w:t xml:space="preserve"> reason must be </w:t>
            </w:r>
            <w:r w:rsidRPr="008E3C0B">
              <w:lastRenderedPageBreak/>
              <w:t xml:space="preserve">returned to </w:t>
            </w:r>
            <w:r w:rsidR="002B547A" w:rsidRPr="008E3C0B">
              <w:t>the examining facility as insufficient for rating purposes, if the rating activity determines that the examination is warranted.</w:t>
            </w:r>
          </w:p>
          <w:p w14:paraId="5304D72A" w14:textId="77777777" w:rsidR="002B547A" w:rsidRPr="008E3C0B" w:rsidRDefault="002B547A" w:rsidP="002B547A"/>
          <w:p w14:paraId="757A8F00" w14:textId="2FC5E840" w:rsidR="002B547A" w:rsidRPr="008E3C0B" w:rsidRDefault="002B547A" w:rsidP="002B547A">
            <w:r w:rsidRPr="008E3C0B">
              <w:rPr>
                <w:b/>
                <w:i/>
              </w:rPr>
              <w:t>Reference</w:t>
            </w:r>
            <w:r w:rsidRPr="008E3C0B">
              <w:t>:  For more information on actions to take when an examination is determined as insufficient, see M21-1, Part III, Subpart iv, 3.D.3</w:t>
            </w:r>
          </w:p>
        </w:tc>
      </w:tr>
    </w:tbl>
    <w:p w14:paraId="76D6A62B" w14:textId="701765E6" w:rsidR="0022719B" w:rsidRPr="008E3C0B" w:rsidRDefault="0022719B" w:rsidP="0022719B">
      <w:pPr>
        <w:tabs>
          <w:tab w:val="left" w:pos="9360"/>
        </w:tabs>
        <w:ind w:left="1714"/>
      </w:pPr>
      <w:r w:rsidRPr="008E3C0B">
        <w:rPr>
          <w:u w:val="single"/>
        </w:rPr>
        <w:lastRenderedPageBreak/>
        <w:tab/>
      </w:r>
    </w:p>
    <w:p w14:paraId="61139792" w14:textId="77777777" w:rsidR="0022719B" w:rsidRPr="008E3C0B" w:rsidRDefault="0022719B" w:rsidP="002B547A"/>
    <w:p w14:paraId="16C0FF91" w14:textId="7D10A8F5" w:rsidR="00AB2699" w:rsidRPr="008E3C0B" w:rsidRDefault="00AB2699">
      <w:r w:rsidRPr="008E3C0B">
        <w:br w:type="page"/>
      </w:r>
    </w:p>
    <w:p w14:paraId="032EB64B" w14:textId="77777777" w:rsidR="00975851" w:rsidRPr="008E3C0B" w:rsidRDefault="00975851" w:rsidP="00975851"/>
    <w:p w14:paraId="3D899A22" w14:textId="7472867E" w:rsidR="00DC0C65" w:rsidRPr="008E3C0B" w:rsidRDefault="00AC73F8">
      <w:pPr>
        <w:pStyle w:val="Heading4"/>
      </w:pPr>
      <w:r w:rsidRPr="008E3C0B">
        <w:t>2</w:t>
      </w:r>
      <w:r w:rsidR="00DC0C65" w:rsidRPr="008E3C0B">
        <w:t xml:space="preserve">.  </w:t>
      </w:r>
      <w:bookmarkStart w:id="4" w:name="Topic17"/>
      <w:bookmarkEnd w:id="4"/>
      <w:r w:rsidR="00DC0C65" w:rsidRPr="008E3C0B">
        <w:t>Control of Future Examinations</w:t>
      </w:r>
    </w:p>
    <w:p w14:paraId="3D899A23" w14:textId="72EBCDC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2C" w14:textId="77777777">
        <w:trPr>
          <w:cantSplit/>
        </w:trPr>
        <w:tc>
          <w:tcPr>
            <w:tcW w:w="1728" w:type="dxa"/>
          </w:tcPr>
          <w:p w14:paraId="3D899A24" w14:textId="77777777" w:rsidR="00DC0C65" w:rsidRPr="008E3C0B" w:rsidRDefault="00DC0C65">
            <w:pPr>
              <w:pStyle w:val="Heading5"/>
            </w:pPr>
            <w:r w:rsidRPr="008E3C0B">
              <w:t>Introduction</w:t>
            </w:r>
          </w:p>
        </w:tc>
        <w:tc>
          <w:tcPr>
            <w:tcW w:w="7740" w:type="dxa"/>
          </w:tcPr>
          <w:p w14:paraId="3D899A25" w14:textId="77777777" w:rsidR="00DC0C65" w:rsidRPr="008E3C0B" w:rsidRDefault="00DC0C65">
            <w:pPr>
              <w:pStyle w:val="BlockText"/>
            </w:pPr>
            <w:r w:rsidRPr="008E3C0B">
              <w:t>This topic contains information about controlling future examinations, including</w:t>
            </w:r>
          </w:p>
          <w:p w14:paraId="3D899A26" w14:textId="77777777" w:rsidR="00DC0C65" w:rsidRPr="008E3C0B" w:rsidRDefault="00DC0C65">
            <w:pPr>
              <w:pStyle w:val="BlockText"/>
            </w:pPr>
          </w:p>
          <w:p w14:paraId="3D899A27" w14:textId="689E7A2B" w:rsidR="00DC0C65" w:rsidRPr="008E3C0B" w:rsidRDefault="00DC0C65">
            <w:pPr>
              <w:pStyle w:val="BulletText1"/>
            </w:pPr>
            <w:r w:rsidRPr="008E3C0B">
              <w:t xml:space="preserve">types of </w:t>
            </w:r>
            <w:r w:rsidR="00F9223B" w:rsidRPr="008E3C0B">
              <w:t xml:space="preserve">future examination </w:t>
            </w:r>
            <w:r w:rsidRPr="008E3C0B">
              <w:t>controls</w:t>
            </w:r>
          </w:p>
          <w:p w14:paraId="3D899A28" w14:textId="7E1ACBFA" w:rsidR="00DC0C65" w:rsidRPr="008E3C0B" w:rsidRDefault="00DC0C65">
            <w:pPr>
              <w:pStyle w:val="BulletText1"/>
            </w:pPr>
            <w:r w:rsidRPr="008E3C0B">
              <w:t>establish</w:t>
            </w:r>
            <w:r w:rsidR="00F9223B" w:rsidRPr="008E3C0B">
              <w:t>ing</w:t>
            </w:r>
            <w:r w:rsidRPr="008E3C0B">
              <w:t xml:space="preserve"> </w:t>
            </w:r>
            <w:r w:rsidR="00F9223B" w:rsidRPr="008E3C0B">
              <w:t xml:space="preserve">future examination </w:t>
            </w:r>
            <w:r w:rsidRPr="008E3C0B">
              <w:t xml:space="preserve">control in </w:t>
            </w:r>
            <w:r w:rsidR="00F9223B" w:rsidRPr="008E3C0B">
              <w:t>a</w:t>
            </w:r>
            <w:r w:rsidR="00F9223B" w:rsidRPr="008E3C0B">
              <w:rPr>
                <w:rStyle w:val="Hyperlink"/>
                <w:color w:val="auto"/>
                <w:u w:val="none"/>
              </w:rPr>
              <w:t xml:space="preserve"> rating decision</w:t>
            </w:r>
          </w:p>
          <w:p w14:paraId="3D899A29" w14:textId="52BCDCB1" w:rsidR="00DC0C65" w:rsidRPr="008E3C0B" w:rsidRDefault="00F9223B">
            <w:pPr>
              <w:pStyle w:val="BulletText1"/>
            </w:pPr>
            <w:r w:rsidRPr="008E3C0B">
              <w:t>establishing future examination control without a rating decision</w:t>
            </w:r>
          </w:p>
          <w:p w14:paraId="18337A95" w14:textId="77777777" w:rsidR="008B13C2" w:rsidRPr="008E3C0B" w:rsidRDefault="00DC0C65" w:rsidP="00A64B7D">
            <w:pPr>
              <w:pStyle w:val="BulletText1"/>
            </w:pPr>
            <w:r w:rsidRPr="008E3C0B">
              <w:t>action when the control period for the future examination matures</w:t>
            </w:r>
            <w:r w:rsidR="008B13C2" w:rsidRPr="008E3C0B">
              <w:t>, and</w:t>
            </w:r>
          </w:p>
          <w:p w14:paraId="3D899A2B" w14:textId="7DCAE711" w:rsidR="00DC0C65" w:rsidRPr="008E3C0B" w:rsidRDefault="008B13C2" w:rsidP="00265AA2">
            <w:pPr>
              <w:pStyle w:val="BulletText1"/>
            </w:pPr>
            <w:proofErr w:type="gramStart"/>
            <w:r w:rsidRPr="008E3C0B">
              <w:t>reviewing</w:t>
            </w:r>
            <w:proofErr w:type="gramEnd"/>
            <w:r w:rsidRPr="008E3C0B">
              <w:t xml:space="preserve"> 100 percent service connected</w:t>
            </w:r>
            <w:r w:rsidR="00D77D1A" w:rsidRPr="008E3C0B">
              <w:t xml:space="preserve"> (SC)</w:t>
            </w:r>
            <w:r w:rsidRPr="008E3C0B">
              <w:t xml:space="preserve"> disability cases </w:t>
            </w:r>
            <w:r w:rsidR="00265AA2" w:rsidRPr="008E3C0B">
              <w:t xml:space="preserve">with no Chapter 35 eligibility, and </w:t>
            </w:r>
            <w:r w:rsidRPr="008E3C0B">
              <w:t xml:space="preserve">with no </w:t>
            </w:r>
            <w:r w:rsidR="00887892" w:rsidRPr="008E3C0B">
              <w:t xml:space="preserve">future exam </w:t>
            </w:r>
            <w:r w:rsidRPr="008E3C0B">
              <w:t>diary.</w:t>
            </w:r>
          </w:p>
        </w:tc>
      </w:tr>
    </w:tbl>
    <w:p w14:paraId="3D899A2D" w14:textId="09F2544A"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30" w14:textId="77777777">
        <w:trPr>
          <w:cantSplit/>
        </w:trPr>
        <w:tc>
          <w:tcPr>
            <w:tcW w:w="1728" w:type="dxa"/>
          </w:tcPr>
          <w:p w14:paraId="3D899A2E" w14:textId="77777777" w:rsidR="00DC0C65" w:rsidRPr="008E3C0B" w:rsidRDefault="00DC0C65">
            <w:pPr>
              <w:pStyle w:val="Heading5"/>
            </w:pPr>
            <w:r w:rsidRPr="008E3C0B">
              <w:t>Change Date</w:t>
            </w:r>
          </w:p>
        </w:tc>
        <w:tc>
          <w:tcPr>
            <w:tcW w:w="7740" w:type="dxa"/>
          </w:tcPr>
          <w:p w14:paraId="3D899A2F" w14:textId="326B50A3" w:rsidR="00DC0C65" w:rsidRPr="008E3C0B" w:rsidRDefault="002659A0">
            <w:pPr>
              <w:pStyle w:val="BlockText"/>
            </w:pPr>
            <w:r w:rsidRPr="008E3C0B">
              <w:t>July 31, 2015</w:t>
            </w:r>
          </w:p>
        </w:tc>
      </w:tr>
    </w:tbl>
    <w:p w14:paraId="3D899A31" w14:textId="7777777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37" w14:textId="77777777">
        <w:trPr>
          <w:cantSplit/>
        </w:trPr>
        <w:tc>
          <w:tcPr>
            <w:tcW w:w="1728" w:type="dxa"/>
          </w:tcPr>
          <w:p w14:paraId="3D899A32" w14:textId="71168F0D" w:rsidR="00DC0C65" w:rsidRPr="008E3C0B" w:rsidRDefault="00DC0C65">
            <w:pPr>
              <w:pStyle w:val="Heading5"/>
            </w:pPr>
            <w:bookmarkStart w:id="5" w:name="_a.__Types"/>
            <w:bookmarkEnd w:id="5"/>
            <w:proofErr w:type="gramStart"/>
            <w:r w:rsidRPr="008E3C0B">
              <w:t>a.  Types</w:t>
            </w:r>
            <w:proofErr w:type="gramEnd"/>
            <w:r w:rsidRPr="008E3C0B">
              <w:t xml:space="preserve"> of </w:t>
            </w:r>
            <w:r w:rsidR="00B128EF" w:rsidRPr="008E3C0B">
              <w:t xml:space="preserve">Future Examination </w:t>
            </w:r>
            <w:r w:rsidRPr="008E3C0B">
              <w:t>Controls</w:t>
            </w:r>
          </w:p>
        </w:tc>
        <w:tc>
          <w:tcPr>
            <w:tcW w:w="7740" w:type="dxa"/>
          </w:tcPr>
          <w:p w14:paraId="3D899A33" w14:textId="43D1E64F" w:rsidR="00DC0C65" w:rsidRPr="008E3C0B" w:rsidRDefault="00DC0C65">
            <w:pPr>
              <w:pStyle w:val="BlockText"/>
            </w:pPr>
            <w:r w:rsidRPr="008E3C0B">
              <w:t>The different types of</w:t>
            </w:r>
            <w:r w:rsidR="002B71E6" w:rsidRPr="008E3C0B">
              <w:t xml:space="preserve"> future examination</w:t>
            </w:r>
            <w:r w:rsidRPr="008E3C0B">
              <w:t xml:space="preserve"> controls are</w:t>
            </w:r>
          </w:p>
          <w:p w14:paraId="3D899A34" w14:textId="77777777" w:rsidR="00DC0C65" w:rsidRPr="008E3C0B" w:rsidRDefault="00DC0C65">
            <w:pPr>
              <w:pStyle w:val="BlockText"/>
            </w:pPr>
          </w:p>
          <w:p w14:paraId="3D899A35" w14:textId="0EB2103A" w:rsidR="00DC0C65" w:rsidRPr="008E3C0B" w:rsidRDefault="00DC0C65">
            <w:pPr>
              <w:pStyle w:val="BulletText1"/>
            </w:pPr>
            <w:r w:rsidRPr="008E3C0B">
              <w:t xml:space="preserve">control </w:t>
            </w:r>
            <w:r w:rsidR="002B71E6" w:rsidRPr="008E3C0B">
              <w:t xml:space="preserve">established </w:t>
            </w:r>
            <w:r w:rsidR="00BF3475" w:rsidRPr="008E3C0B">
              <w:t xml:space="preserve">through </w:t>
            </w:r>
            <w:r w:rsidR="002B71E6" w:rsidRPr="008E3C0B">
              <w:t xml:space="preserve">completion of </w:t>
            </w:r>
            <w:r w:rsidR="00BF3475" w:rsidRPr="008E3C0B">
              <w:t>a rating decision</w:t>
            </w:r>
            <w:r w:rsidRPr="008E3C0B">
              <w:t>, and</w:t>
            </w:r>
          </w:p>
          <w:p w14:paraId="3D899A36" w14:textId="0ECAEB9F" w:rsidR="00DC0C65" w:rsidRPr="008E3C0B" w:rsidRDefault="00DC0C65" w:rsidP="00864F17">
            <w:pPr>
              <w:pStyle w:val="BulletText1"/>
            </w:pPr>
            <w:proofErr w:type="gramStart"/>
            <w:r w:rsidRPr="008E3C0B">
              <w:t>control</w:t>
            </w:r>
            <w:proofErr w:type="gramEnd"/>
            <w:r w:rsidR="00BF3475" w:rsidRPr="008E3C0B">
              <w:t xml:space="preserve"> </w:t>
            </w:r>
            <w:r w:rsidR="002B71E6" w:rsidRPr="008E3C0B">
              <w:t xml:space="preserve">established </w:t>
            </w:r>
            <w:r w:rsidR="00864F17" w:rsidRPr="008E3C0B">
              <w:t>without</w:t>
            </w:r>
            <w:r w:rsidR="00BF3475" w:rsidRPr="008E3C0B">
              <w:t xml:space="preserve"> a rating decision</w:t>
            </w:r>
            <w:r w:rsidRPr="008E3C0B">
              <w:t>.</w:t>
            </w:r>
          </w:p>
        </w:tc>
      </w:tr>
    </w:tbl>
    <w:p w14:paraId="3D899A38" w14:textId="77777777" w:rsidR="00DC0C65" w:rsidRPr="008E3C0B" w:rsidRDefault="00DC0C65">
      <w:pPr>
        <w:pStyle w:val="BlockLine"/>
      </w:pPr>
    </w:p>
    <w:tbl>
      <w:tblPr>
        <w:tblW w:w="0" w:type="auto"/>
        <w:tblLayout w:type="fixed"/>
        <w:tblLook w:val="0000" w:firstRow="0" w:lastRow="0" w:firstColumn="0" w:lastColumn="0" w:noHBand="0" w:noVBand="0"/>
      </w:tblPr>
      <w:tblGrid>
        <w:gridCol w:w="1728"/>
        <w:gridCol w:w="7740"/>
      </w:tblGrid>
      <w:tr w:rsidR="00DC0C65" w:rsidRPr="008E3C0B" w14:paraId="3D899A3B" w14:textId="77777777">
        <w:trPr>
          <w:cantSplit/>
        </w:trPr>
        <w:tc>
          <w:tcPr>
            <w:tcW w:w="1728" w:type="dxa"/>
          </w:tcPr>
          <w:p w14:paraId="3D899A39" w14:textId="24AC8A0B" w:rsidR="00DC0C65" w:rsidRPr="008E3C0B" w:rsidRDefault="00DC0C65" w:rsidP="003D626F">
            <w:pPr>
              <w:pStyle w:val="Heading5"/>
            </w:pPr>
            <w:bookmarkStart w:id="6" w:name="_b.__How"/>
            <w:bookmarkEnd w:id="6"/>
            <w:proofErr w:type="gramStart"/>
            <w:r w:rsidRPr="008E3C0B">
              <w:t>b.  Establish</w:t>
            </w:r>
            <w:r w:rsidR="003D626F" w:rsidRPr="008E3C0B">
              <w:t>ing</w:t>
            </w:r>
            <w:proofErr w:type="gramEnd"/>
            <w:r w:rsidR="003D626F" w:rsidRPr="008E3C0B">
              <w:t xml:space="preserve"> Future Examination</w:t>
            </w:r>
            <w:r w:rsidRPr="008E3C0B">
              <w:t xml:space="preserve"> Control in</w:t>
            </w:r>
            <w:r w:rsidR="003D626F" w:rsidRPr="008E3C0B">
              <w:t xml:space="preserve"> a Rating Decision</w:t>
            </w:r>
          </w:p>
        </w:tc>
        <w:tc>
          <w:tcPr>
            <w:tcW w:w="7740" w:type="dxa"/>
          </w:tcPr>
          <w:p w14:paraId="3D899A3A" w14:textId="6BF76FC9" w:rsidR="00DC0C65" w:rsidRPr="008E3C0B" w:rsidRDefault="00DC0C65" w:rsidP="008D09B2">
            <w:pPr>
              <w:pStyle w:val="BlockText"/>
            </w:pPr>
            <w:r w:rsidRPr="008E3C0B">
              <w:t>Use the table below for information on establish</w:t>
            </w:r>
            <w:r w:rsidR="003D626F" w:rsidRPr="008E3C0B">
              <w:t>ing future examination</w:t>
            </w:r>
            <w:r w:rsidRPr="008E3C0B">
              <w:t xml:space="preserve"> control in</w:t>
            </w:r>
            <w:r w:rsidR="003D626F" w:rsidRPr="008E3C0B">
              <w:t xml:space="preserve"> a rating decision </w:t>
            </w:r>
            <w:r w:rsidR="00986097" w:rsidRPr="008E3C0B">
              <w:t>completed using</w:t>
            </w:r>
            <w:r w:rsidR="003D626F" w:rsidRPr="008E3C0B">
              <w:t xml:space="preserve"> </w:t>
            </w:r>
            <w:r w:rsidR="008D09B2" w:rsidRPr="008E3C0B">
              <w:t xml:space="preserve">VBMS </w:t>
            </w:r>
            <w:r w:rsidR="003D626F" w:rsidRPr="008E3C0B">
              <w:t xml:space="preserve">for Rating (VBMS-R) or </w:t>
            </w:r>
            <w:r w:rsidR="00986097" w:rsidRPr="008E3C0B">
              <w:t>Rating Board Automation (</w:t>
            </w:r>
            <w:r w:rsidR="003D626F" w:rsidRPr="008E3C0B">
              <w:t>RBA</w:t>
            </w:r>
            <w:r w:rsidR="00986097" w:rsidRPr="008E3C0B">
              <w:t xml:space="preserve">) </w:t>
            </w:r>
            <w:r w:rsidR="003D626F" w:rsidRPr="008E3C0B">
              <w:t>2000</w:t>
            </w:r>
            <w:r w:rsidRPr="008E3C0B">
              <w:t>.</w:t>
            </w:r>
          </w:p>
        </w:tc>
      </w:tr>
    </w:tbl>
    <w:p w14:paraId="3D899A3C" w14:textId="77777777" w:rsidR="00DC0C65" w:rsidRPr="008E3C0B" w:rsidRDefault="00DC0C65"/>
    <w:tbl>
      <w:tblPr>
        <w:tblW w:w="0" w:type="auto"/>
        <w:tblInd w:w="1800" w:type="dxa"/>
        <w:tblLayout w:type="fixed"/>
        <w:tblCellMar>
          <w:left w:w="80" w:type="dxa"/>
          <w:right w:w="80" w:type="dxa"/>
        </w:tblCellMar>
        <w:tblLook w:val="0000" w:firstRow="0" w:lastRow="0" w:firstColumn="0" w:lastColumn="0" w:noHBand="0" w:noVBand="0"/>
      </w:tblPr>
      <w:tblGrid>
        <w:gridCol w:w="3874"/>
        <w:gridCol w:w="3787"/>
      </w:tblGrid>
      <w:tr w:rsidR="00DC0C65" w:rsidRPr="008E3C0B" w14:paraId="3D899A3F" w14:textId="77777777" w:rsidTr="00564DC8">
        <w:trPr>
          <w:cantSplit/>
        </w:trPr>
        <w:tc>
          <w:tcPr>
            <w:tcW w:w="3874" w:type="dxa"/>
            <w:tcBorders>
              <w:top w:val="single" w:sz="6" w:space="0" w:color="auto"/>
              <w:left w:val="single" w:sz="6" w:space="0" w:color="auto"/>
              <w:bottom w:val="single" w:sz="6" w:space="0" w:color="auto"/>
              <w:right w:val="single" w:sz="6" w:space="0" w:color="auto"/>
            </w:tcBorders>
          </w:tcPr>
          <w:p w14:paraId="3D899A3D" w14:textId="34E8BD67" w:rsidR="00DC0C65" w:rsidRPr="008E3C0B" w:rsidRDefault="00DC0C65" w:rsidP="001D4B15">
            <w:pPr>
              <w:pStyle w:val="TableHeaderText"/>
              <w:jc w:val="left"/>
            </w:pPr>
            <w:r w:rsidRPr="008E3C0B">
              <w:t xml:space="preserve">If </w:t>
            </w:r>
            <w:r w:rsidR="00986097" w:rsidRPr="008E3C0B">
              <w:t>a future examination</w:t>
            </w:r>
            <w:r w:rsidR="003D626F" w:rsidRPr="008E3C0B">
              <w:t xml:space="preserve"> </w:t>
            </w:r>
            <w:r w:rsidRPr="008E3C0B">
              <w:t>…</w:t>
            </w:r>
          </w:p>
        </w:tc>
        <w:tc>
          <w:tcPr>
            <w:tcW w:w="3787" w:type="dxa"/>
            <w:tcBorders>
              <w:top w:val="single" w:sz="6" w:space="0" w:color="auto"/>
              <w:left w:val="single" w:sz="6" w:space="0" w:color="auto"/>
              <w:bottom w:val="single" w:sz="6" w:space="0" w:color="auto"/>
              <w:right w:val="single" w:sz="6" w:space="0" w:color="auto"/>
            </w:tcBorders>
          </w:tcPr>
          <w:p w14:paraId="3D899A3E" w14:textId="5FB6F1E1" w:rsidR="00DC0C65" w:rsidRPr="008E3C0B" w:rsidRDefault="00DC0C65">
            <w:pPr>
              <w:pStyle w:val="TableHeaderText"/>
              <w:jc w:val="left"/>
            </w:pPr>
            <w:r w:rsidRPr="008E3C0B">
              <w:t xml:space="preserve">Then </w:t>
            </w:r>
            <w:r w:rsidR="003D626F" w:rsidRPr="008E3C0B">
              <w:t>in the EXAMINATION section of the ISSUE MANAGEMENT</w:t>
            </w:r>
            <w:r w:rsidR="00117525" w:rsidRPr="008E3C0B">
              <w:t xml:space="preserve"> – DECISION ENTRY</w:t>
            </w:r>
            <w:r w:rsidR="003D626F" w:rsidRPr="008E3C0B">
              <w:t xml:space="preserve"> screen</w:t>
            </w:r>
            <w:r w:rsidR="001D4B15" w:rsidRPr="008E3C0B">
              <w:t xml:space="preserve"> </w:t>
            </w:r>
            <w:r w:rsidRPr="008E3C0B">
              <w:t>…</w:t>
            </w:r>
          </w:p>
        </w:tc>
      </w:tr>
      <w:tr w:rsidR="00E56D28" w:rsidRPr="008E3C0B" w14:paraId="07BDB9A3" w14:textId="77777777" w:rsidTr="00564DC8">
        <w:trPr>
          <w:cantSplit/>
        </w:trPr>
        <w:tc>
          <w:tcPr>
            <w:tcW w:w="3874" w:type="dxa"/>
            <w:tcBorders>
              <w:top w:val="single" w:sz="6" w:space="0" w:color="auto"/>
              <w:left w:val="single" w:sz="6" w:space="0" w:color="auto"/>
              <w:bottom w:val="single" w:sz="6" w:space="0" w:color="auto"/>
              <w:right w:val="single" w:sz="6" w:space="0" w:color="auto"/>
            </w:tcBorders>
          </w:tcPr>
          <w:p w14:paraId="29F3D630" w14:textId="0E885BF9" w:rsidR="00E56D28" w:rsidRPr="008E3C0B" w:rsidRDefault="001A4C3A" w:rsidP="003632AA">
            <w:r w:rsidRPr="008E3C0B">
              <w:t xml:space="preserve">should be scheduled </w:t>
            </w:r>
            <w:r w:rsidR="003D626F" w:rsidRPr="008E3C0B">
              <w:t>immediately</w:t>
            </w:r>
            <w:r w:rsidR="003632AA" w:rsidRPr="008E3C0B">
              <w:t>, or during the current month</w:t>
            </w:r>
          </w:p>
        </w:tc>
        <w:tc>
          <w:tcPr>
            <w:tcW w:w="3787" w:type="dxa"/>
            <w:tcBorders>
              <w:top w:val="single" w:sz="6" w:space="0" w:color="auto"/>
              <w:left w:val="single" w:sz="6" w:space="0" w:color="auto"/>
              <w:bottom w:val="single" w:sz="6" w:space="0" w:color="auto"/>
              <w:right w:val="single" w:sz="6" w:space="0" w:color="auto"/>
            </w:tcBorders>
          </w:tcPr>
          <w:p w14:paraId="0A6CB739" w14:textId="692A053B" w:rsidR="001A4C3A" w:rsidRPr="008E3C0B" w:rsidRDefault="003D626F" w:rsidP="003D626F">
            <w:proofErr w:type="gramStart"/>
            <w:r w:rsidRPr="008E3C0B">
              <w:t>select</w:t>
            </w:r>
            <w:proofErr w:type="gramEnd"/>
            <w:r w:rsidRPr="008E3C0B">
              <w:t xml:space="preserve"> AT ONCE.</w:t>
            </w:r>
          </w:p>
        </w:tc>
      </w:tr>
      <w:tr w:rsidR="003D626F" w:rsidRPr="008E3C0B" w14:paraId="4ECB23BE" w14:textId="77777777" w:rsidTr="00564DC8">
        <w:trPr>
          <w:cantSplit/>
        </w:trPr>
        <w:tc>
          <w:tcPr>
            <w:tcW w:w="3874" w:type="dxa"/>
            <w:tcBorders>
              <w:top w:val="single" w:sz="6" w:space="0" w:color="auto"/>
              <w:left w:val="single" w:sz="6" w:space="0" w:color="auto"/>
              <w:bottom w:val="single" w:sz="6" w:space="0" w:color="auto"/>
              <w:right w:val="single" w:sz="6" w:space="0" w:color="auto"/>
            </w:tcBorders>
          </w:tcPr>
          <w:p w14:paraId="4711025E" w14:textId="1DDA35EC" w:rsidR="003D626F" w:rsidRPr="008E3C0B" w:rsidRDefault="001A4C3A" w:rsidP="00AC2372">
            <w:r w:rsidRPr="008E3C0B">
              <w:t>should be scheduled at</w:t>
            </w:r>
            <w:r w:rsidR="003D626F" w:rsidRPr="008E3C0B">
              <w:t xml:space="preserve"> a later date</w:t>
            </w:r>
          </w:p>
        </w:tc>
        <w:tc>
          <w:tcPr>
            <w:tcW w:w="3787" w:type="dxa"/>
            <w:tcBorders>
              <w:top w:val="single" w:sz="6" w:space="0" w:color="auto"/>
              <w:left w:val="single" w:sz="6" w:space="0" w:color="auto"/>
              <w:bottom w:val="single" w:sz="6" w:space="0" w:color="auto"/>
              <w:right w:val="single" w:sz="6" w:space="0" w:color="auto"/>
            </w:tcBorders>
          </w:tcPr>
          <w:p w14:paraId="3C2ED51D" w14:textId="77777777" w:rsidR="001A4C3A" w:rsidRPr="008E3C0B" w:rsidRDefault="003D626F" w:rsidP="003D626F">
            <w:proofErr w:type="gramStart"/>
            <w:r w:rsidRPr="008E3C0B">
              <w:t>enter</w:t>
            </w:r>
            <w:proofErr w:type="gramEnd"/>
            <w:r w:rsidRPr="008E3C0B">
              <w:t xml:space="preserve"> the future examination date in the DATE field.</w:t>
            </w:r>
          </w:p>
          <w:p w14:paraId="6BB28FDA" w14:textId="77777777" w:rsidR="00606A8D" w:rsidRPr="008E3C0B" w:rsidRDefault="00606A8D" w:rsidP="003D626F"/>
          <w:p w14:paraId="7294BAB2" w14:textId="018C6FCA" w:rsidR="00606A8D" w:rsidRPr="008E3C0B" w:rsidRDefault="00606A8D" w:rsidP="00606A8D">
            <w:r w:rsidRPr="008E3C0B">
              <w:rPr>
                <w:b/>
                <w:i/>
              </w:rPr>
              <w:t>Note:</w:t>
            </w:r>
            <w:r w:rsidRPr="008E3C0B">
              <w:t xml:space="preserve">  The earliest date allowed is the fi</w:t>
            </w:r>
            <w:r w:rsidR="003632AA" w:rsidRPr="008E3C0B">
              <w:t>rst day of the following month.  If an earlier examination is required, select AT ONCE.</w:t>
            </w:r>
            <w:r w:rsidRPr="008E3C0B">
              <w:t xml:space="preserve"> </w:t>
            </w:r>
          </w:p>
        </w:tc>
      </w:tr>
      <w:tr w:rsidR="001A4C3A" w:rsidRPr="008E3C0B" w14:paraId="0ED47B5E" w14:textId="77777777" w:rsidTr="00564DC8">
        <w:trPr>
          <w:cantSplit/>
        </w:trPr>
        <w:tc>
          <w:tcPr>
            <w:tcW w:w="3874" w:type="dxa"/>
            <w:tcBorders>
              <w:top w:val="single" w:sz="6" w:space="0" w:color="auto"/>
              <w:left w:val="single" w:sz="6" w:space="0" w:color="auto"/>
              <w:bottom w:val="single" w:sz="6" w:space="0" w:color="auto"/>
              <w:right w:val="single" w:sz="6" w:space="0" w:color="auto"/>
            </w:tcBorders>
          </w:tcPr>
          <w:p w14:paraId="743D349A" w14:textId="1B754F30" w:rsidR="001A4C3A" w:rsidRPr="008E3C0B" w:rsidRDefault="001A4C3A" w:rsidP="001A4C3A">
            <w:r w:rsidRPr="008E3C0B">
              <w:t>is not warranted</w:t>
            </w:r>
          </w:p>
        </w:tc>
        <w:tc>
          <w:tcPr>
            <w:tcW w:w="3787" w:type="dxa"/>
            <w:tcBorders>
              <w:top w:val="single" w:sz="6" w:space="0" w:color="auto"/>
              <w:left w:val="single" w:sz="6" w:space="0" w:color="auto"/>
              <w:bottom w:val="single" w:sz="6" w:space="0" w:color="auto"/>
              <w:right w:val="single" w:sz="6" w:space="0" w:color="auto"/>
            </w:tcBorders>
          </w:tcPr>
          <w:p w14:paraId="6B17E5B7" w14:textId="03BD6B89" w:rsidR="001A4C3A" w:rsidRPr="008E3C0B" w:rsidRDefault="001A4C3A" w:rsidP="005D70E1">
            <w:pPr>
              <w:pStyle w:val="TableText"/>
            </w:pPr>
            <w:proofErr w:type="gramStart"/>
            <w:r w:rsidRPr="008E3C0B">
              <w:t>select</w:t>
            </w:r>
            <w:proofErr w:type="gramEnd"/>
            <w:r w:rsidRPr="008E3C0B">
              <w:t xml:space="preserve"> STATIC DISABILITY (NO EXAM).</w:t>
            </w:r>
          </w:p>
        </w:tc>
      </w:tr>
    </w:tbl>
    <w:p w14:paraId="3D899A56" w14:textId="2C2CE31D" w:rsidR="00DC0C65" w:rsidRPr="008E3C0B" w:rsidRDefault="00DC0C65" w:rsidP="00BF347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F3475" w:rsidRPr="008E3C0B" w14:paraId="12395F79" w14:textId="77777777" w:rsidTr="00476488">
        <w:tc>
          <w:tcPr>
            <w:tcW w:w="7740" w:type="dxa"/>
            <w:shd w:val="clear" w:color="auto" w:fill="auto"/>
          </w:tcPr>
          <w:p w14:paraId="7D97A61B" w14:textId="4CBDEB9E" w:rsidR="00F306B6" w:rsidRPr="008E3C0B" w:rsidRDefault="00BF3475" w:rsidP="00BF3475">
            <w:r w:rsidRPr="008E3C0B">
              <w:rPr>
                <w:b/>
                <w:i/>
              </w:rPr>
              <w:lastRenderedPageBreak/>
              <w:t>Reference</w:t>
            </w:r>
            <w:r w:rsidR="00F306B6" w:rsidRPr="008E3C0B">
              <w:rPr>
                <w:b/>
                <w:i/>
              </w:rPr>
              <w:t>s</w:t>
            </w:r>
            <w:r w:rsidRPr="008E3C0B">
              <w:t xml:space="preserve">:  </w:t>
            </w:r>
            <w:r w:rsidR="00476488" w:rsidRPr="008E3C0B">
              <w:t>For more information</w:t>
            </w:r>
            <w:r w:rsidR="00F306B6" w:rsidRPr="008E3C0B">
              <w:t xml:space="preserve"> on</w:t>
            </w:r>
          </w:p>
          <w:p w14:paraId="148BEFE7" w14:textId="511F7D80" w:rsidR="001540E9" w:rsidRPr="008E3C0B" w:rsidRDefault="007717EE" w:rsidP="00F10A5C">
            <w:pPr>
              <w:pStyle w:val="ListParagraph"/>
              <w:numPr>
                <w:ilvl w:val="0"/>
                <w:numId w:val="6"/>
              </w:numPr>
              <w:ind w:left="158" w:hanging="187"/>
            </w:pPr>
            <w:r w:rsidRPr="008E3C0B">
              <w:t>the ISSUE MANAGEMENT screen in</w:t>
            </w:r>
          </w:p>
          <w:p w14:paraId="20052EED" w14:textId="34944BB0" w:rsidR="007717EE" w:rsidRPr="008E3C0B" w:rsidRDefault="007717EE" w:rsidP="00F10A5C">
            <w:pPr>
              <w:pStyle w:val="ListParagraph"/>
              <w:numPr>
                <w:ilvl w:val="0"/>
                <w:numId w:val="7"/>
              </w:numPr>
              <w:ind w:left="346" w:hanging="187"/>
            </w:pPr>
            <w:r w:rsidRPr="008E3C0B">
              <w:t>RBA2000, see the</w:t>
            </w:r>
            <w:r w:rsidR="008F0271" w:rsidRPr="008E3C0B">
              <w:t xml:space="preserve"> </w:t>
            </w:r>
            <w:hyperlink r:id="rId13" w:history="1">
              <w:r w:rsidRPr="008E3C0B">
                <w:rPr>
                  <w:rStyle w:val="Hyperlink"/>
                </w:rPr>
                <w:t>RBA2000 User Guide</w:t>
              </w:r>
            </w:hyperlink>
            <w:r w:rsidRPr="008E3C0B">
              <w:t xml:space="preserve">, or </w:t>
            </w:r>
          </w:p>
          <w:p w14:paraId="1C5D9230" w14:textId="38286D63" w:rsidR="007717EE" w:rsidRPr="008E3C0B" w:rsidRDefault="007717EE" w:rsidP="00F10A5C">
            <w:pPr>
              <w:pStyle w:val="ListParagraph"/>
              <w:numPr>
                <w:ilvl w:val="0"/>
                <w:numId w:val="7"/>
              </w:numPr>
              <w:ind w:left="346" w:hanging="187"/>
            </w:pPr>
            <w:r w:rsidRPr="008E3C0B">
              <w:t>VBMS-R, see the</w:t>
            </w:r>
            <w:r w:rsidR="008F0271" w:rsidRPr="008E3C0B">
              <w:t xml:space="preserve"> </w:t>
            </w:r>
            <w:hyperlink r:id="rId14" w:history="1">
              <w:r w:rsidRPr="008E3C0B">
                <w:rPr>
                  <w:rStyle w:val="Hyperlink"/>
                </w:rPr>
                <w:t>VBMS-Rating User Guide</w:t>
              </w:r>
            </w:hyperlink>
          </w:p>
          <w:p w14:paraId="02F523DB" w14:textId="743C24E0" w:rsidR="00F306B6" w:rsidRPr="008E3C0B" w:rsidRDefault="00F306B6" w:rsidP="00F10A5C">
            <w:pPr>
              <w:pStyle w:val="ListParagraph"/>
              <w:numPr>
                <w:ilvl w:val="0"/>
                <w:numId w:val="6"/>
              </w:numPr>
              <w:ind w:left="158" w:hanging="187"/>
            </w:pPr>
            <w:r w:rsidRPr="008E3C0B">
              <w:t>examination requests, see M21-1, Part III, Subpart iv, 3.A</w:t>
            </w:r>
          </w:p>
          <w:p w14:paraId="798FE32F" w14:textId="69F975F2" w:rsidR="00F306B6" w:rsidRPr="008E3C0B" w:rsidRDefault="00476488" w:rsidP="00F10A5C">
            <w:pPr>
              <w:pStyle w:val="ListParagraph"/>
              <w:numPr>
                <w:ilvl w:val="0"/>
                <w:numId w:val="6"/>
              </w:numPr>
              <w:ind w:left="158" w:hanging="187"/>
            </w:pPr>
            <w:r w:rsidRPr="008E3C0B">
              <w:t>determining the need for review examinations, see M21-1, Part III, Subpart iv, 3.B.2</w:t>
            </w:r>
            <w:r w:rsidR="00F306B6" w:rsidRPr="008E3C0B">
              <w:t>, and</w:t>
            </w:r>
          </w:p>
          <w:p w14:paraId="6B540B10" w14:textId="666EFDD4" w:rsidR="00F306B6" w:rsidRPr="008E3C0B" w:rsidRDefault="00F306B6" w:rsidP="00F10A5C">
            <w:pPr>
              <w:pStyle w:val="ListParagraph"/>
              <w:numPr>
                <w:ilvl w:val="0"/>
                <w:numId w:val="6"/>
              </w:numPr>
              <w:ind w:left="158" w:hanging="187"/>
            </w:pPr>
            <w:proofErr w:type="gramStart"/>
            <w:r w:rsidRPr="008E3C0B">
              <w:t>determining</w:t>
            </w:r>
            <w:proofErr w:type="gramEnd"/>
            <w:r w:rsidRPr="008E3C0B">
              <w:t xml:space="preserve"> basic eligibility to Dependents’ Educational Assistance (DEA), see M21-1, Part IX, Subpart ii, 2.1</w:t>
            </w:r>
            <w:r w:rsidR="001540E9" w:rsidRPr="008E3C0B">
              <w:rPr>
                <w:rStyle w:val="Hyperlink"/>
                <w:color w:val="auto"/>
                <w:u w:val="none"/>
              </w:rPr>
              <w:t>.</w:t>
            </w:r>
          </w:p>
        </w:tc>
      </w:tr>
    </w:tbl>
    <w:p w14:paraId="51119392" w14:textId="342271DD" w:rsidR="00BF3475" w:rsidRPr="008E3C0B" w:rsidRDefault="00BF3475" w:rsidP="00BF3475">
      <w:pPr>
        <w:tabs>
          <w:tab w:val="left" w:pos="9360"/>
        </w:tabs>
        <w:ind w:left="1714"/>
      </w:pPr>
      <w:r w:rsidRPr="008E3C0B">
        <w:rPr>
          <w:u w:val="single"/>
        </w:rPr>
        <w:tab/>
      </w:r>
    </w:p>
    <w:p w14:paraId="7D5E7693" w14:textId="77777777" w:rsidR="00BF3475" w:rsidRPr="008E3C0B" w:rsidRDefault="00BF3475" w:rsidP="00476488"/>
    <w:tbl>
      <w:tblPr>
        <w:tblW w:w="0" w:type="auto"/>
        <w:tblLayout w:type="fixed"/>
        <w:tblLook w:val="0000" w:firstRow="0" w:lastRow="0" w:firstColumn="0" w:lastColumn="0" w:noHBand="0" w:noVBand="0"/>
      </w:tblPr>
      <w:tblGrid>
        <w:gridCol w:w="1728"/>
        <w:gridCol w:w="7740"/>
      </w:tblGrid>
      <w:tr w:rsidR="00DC0C65" w:rsidRPr="008E3C0B" w14:paraId="3D899A5E" w14:textId="77777777">
        <w:trPr>
          <w:cantSplit/>
        </w:trPr>
        <w:tc>
          <w:tcPr>
            <w:tcW w:w="1728" w:type="dxa"/>
          </w:tcPr>
          <w:p w14:paraId="3D899A57" w14:textId="61207719" w:rsidR="00DC0C65" w:rsidRPr="008E3C0B" w:rsidRDefault="00DC0C65" w:rsidP="001D4B15">
            <w:pPr>
              <w:pStyle w:val="Heading5"/>
            </w:pPr>
            <w:bookmarkStart w:id="7" w:name="_c.__How"/>
            <w:bookmarkEnd w:id="7"/>
            <w:proofErr w:type="gramStart"/>
            <w:r w:rsidRPr="008E3C0B">
              <w:t xml:space="preserve">c.  </w:t>
            </w:r>
            <w:r w:rsidR="001D4B15" w:rsidRPr="008E3C0B">
              <w:t>Establishing</w:t>
            </w:r>
            <w:proofErr w:type="gramEnd"/>
            <w:r w:rsidR="001D4B15" w:rsidRPr="008E3C0B">
              <w:t xml:space="preserve"> Future Exam</w:t>
            </w:r>
            <w:r w:rsidR="00A71139" w:rsidRPr="008E3C0B">
              <w:t>ination</w:t>
            </w:r>
            <w:r w:rsidR="001D4B15" w:rsidRPr="008E3C0B">
              <w:t xml:space="preserve"> Control Without a Rating Decision</w:t>
            </w:r>
          </w:p>
        </w:tc>
        <w:tc>
          <w:tcPr>
            <w:tcW w:w="7740" w:type="dxa"/>
          </w:tcPr>
          <w:p w14:paraId="3D899A5D" w14:textId="244E9E86" w:rsidR="00DC0C65" w:rsidRPr="008E3C0B" w:rsidRDefault="001D4B15" w:rsidP="00816459">
            <w:pPr>
              <w:pStyle w:val="TableText"/>
            </w:pPr>
            <w:r w:rsidRPr="008E3C0B">
              <w:t>Use the table below for information on establishing future exam</w:t>
            </w:r>
            <w:r w:rsidR="00A71139" w:rsidRPr="008E3C0B">
              <w:t>ination</w:t>
            </w:r>
            <w:r w:rsidRPr="008E3C0B">
              <w:t xml:space="preserve"> control when</w:t>
            </w:r>
            <w:r w:rsidR="00DC0C65" w:rsidRPr="008E3C0B">
              <w:t xml:space="preserve"> the rating activity determines that a review examination is necessary</w:t>
            </w:r>
            <w:r w:rsidR="002B72D2" w:rsidRPr="008E3C0B">
              <w:t>,</w:t>
            </w:r>
            <w:r w:rsidR="00DC0C65" w:rsidRPr="008E3C0B">
              <w:t xml:space="preserve"> </w:t>
            </w:r>
            <w:r w:rsidRPr="008E3C0B">
              <w:t>but control is not established by a rating decision.</w:t>
            </w:r>
          </w:p>
        </w:tc>
      </w:tr>
    </w:tbl>
    <w:p w14:paraId="3D899A61" w14:textId="6974A807" w:rsidR="00DC0C65" w:rsidRPr="008E3C0B" w:rsidRDefault="00DC0C65" w:rsidP="001D4B15"/>
    <w:tbl>
      <w:tblPr>
        <w:tblStyle w:val="TableGrid"/>
        <w:tblW w:w="7650" w:type="dxa"/>
        <w:tblInd w:w="1818" w:type="dxa"/>
        <w:tblLook w:val="04A0" w:firstRow="1" w:lastRow="0" w:firstColumn="1" w:lastColumn="0" w:noHBand="0" w:noVBand="1"/>
      </w:tblPr>
      <w:tblGrid>
        <w:gridCol w:w="3868"/>
        <w:gridCol w:w="3782"/>
      </w:tblGrid>
      <w:tr w:rsidR="004806AA" w:rsidRPr="008E3C0B" w14:paraId="0BD734A3" w14:textId="77777777" w:rsidTr="004806AA">
        <w:tc>
          <w:tcPr>
            <w:tcW w:w="3874" w:type="dxa"/>
          </w:tcPr>
          <w:p w14:paraId="09C64FE8" w14:textId="02558E4A" w:rsidR="001D4B15" w:rsidRPr="008E3C0B" w:rsidRDefault="001D4B15" w:rsidP="001D4B15">
            <w:pPr>
              <w:rPr>
                <w:b/>
              </w:rPr>
            </w:pPr>
            <w:r w:rsidRPr="008E3C0B">
              <w:rPr>
                <w:b/>
              </w:rPr>
              <w:t>If ...</w:t>
            </w:r>
          </w:p>
        </w:tc>
        <w:tc>
          <w:tcPr>
            <w:tcW w:w="3787" w:type="dxa"/>
          </w:tcPr>
          <w:p w14:paraId="17F4225E" w14:textId="28A70A35" w:rsidR="001D4B15" w:rsidRPr="008E3C0B" w:rsidRDefault="001D4B15" w:rsidP="001D4B15">
            <w:pPr>
              <w:rPr>
                <w:b/>
              </w:rPr>
            </w:pPr>
            <w:r w:rsidRPr="008E3C0B">
              <w:rPr>
                <w:b/>
              </w:rPr>
              <w:t xml:space="preserve">Then </w:t>
            </w:r>
            <w:r w:rsidR="009A5841" w:rsidRPr="008E3C0B">
              <w:rPr>
                <w:b/>
              </w:rPr>
              <w:t xml:space="preserve">establish control by </w:t>
            </w:r>
            <w:r w:rsidR="008F0271" w:rsidRPr="008E3C0B">
              <w:rPr>
                <w:b/>
              </w:rPr>
              <w:t>using</w:t>
            </w:r>
            <w:r w:rsidRPr="008E3C0B">
              <w:rPr>
                <w:b/>
              </w:rPr>
              <w:t>...</w:t>
            </w:r>
          </w:p>
        </w:tc>
      </w:tr>
      <w:tr w:rsidR="004806AA" w:rsidRPr="008E3C0B" w14:paraId="6EC10BC0" w14:textId="77777777" w:rsidTr="004806AA">
        <w:tc>
          <w:tcPr>
            <w:tcW w:w="3874" w:type="dxa"/>
          </w:tcPr>
          <w:p w14:paraId="7A3CF3A7" w14:textId="6319F866" w:rsidR="001D4B15" w:rsidRPr="008E3C0B" w:rsidRDefault="001D4B15" w:rsidP="00564DC8">
            <w:pPr>
              <w:pStyle w:val="BulletText1"/>
            </w:pPr>
            <w:r w:rsidRPr="008E3C0B">
              <w:t xml:space="preserve">there is an active </w:t>
            </w:r>
            <w:r w:rsidR="00A01632" w:rsidRPr="008E3C0B">
              <w:t>corporate</w:t>
            </w:r>
            <w:r w:rsidRPr="008E3C0B">
              <w:t xml:space="preserve"> record</w:t>
            </w:r>
            <w:r w:rsidR="00206A0E" w:rsidRPr="008E3C0B">
              <w:t>, and</w:t>
            </w:r>
          </w:p>
          <w:p w14:paraId="5A0B0570" w14:textId="45B75835" w:rsidR="00206A0E" w:rsidRPr="008E3C0B" w:rsidRDefault="00206A0E" w:rsidP="00206A0E">
            <w:pPr>
              <w:pStyle w:val="BulletText1"/>
            </w:pPr>
            <w:r w:rsidRPr="008E3C0B">
              <w:t>another future examination diary is not currently pending</w:t>
            </w:r>
          </w:p>
        </w:tc>
        <w:tc>
          <w:tcPr>
            <w:tcW w:w="3787" w:type="dxa"/>
          </w:tcPr>
          <w:p w14:paraId="28148F85" w14:textId="77777777" w:rsidR="00206A0E" w:rsidRPr="008E3C0B" w:rsidRDefault="001D4B15" w:rsidP="00A01632">
            <w:pPr>
              <w:pStyle w:val="TableText"/>
            </w:pPr>
            <w:proofErr w:type="gramStart"/>
            <w:r w:rsidRPr="008E3C0B">
              <w:t>the</w:t>
            </w:r>
            <w:proofErr w:type="gramEnd"/>
            <w:r w:rsidRPr="008E3C0B">
              <w:t xml:space="preserve"> </w:t>
            </w:r>
            <w:r w:rsidR="009A5841" w:rsidRPr="008E3C0B">
              <w:t>diary</w:t>
            </w:r>
            <w:r w:rsidRPr="008E3C0B">
              <w:t xml:space="preserve"> command in Share</w:t>
            </w:r>
            <w:r w:rsidR="009A5841" w:rsidRPr="008E3C0B">
              <w:t xml:space="preserve"> with reason code 01</w:t>
            </w:r>
            <w:r w:rsidRPr="008E3C0B">
              <w:t>.</w:t>
            </w:r>
          </w:p>
          <w:p w14:paraId="37D2A713" w14:textId="77777777" w:rsidR="00816118" w:rsidRPr="008E3C0B" w:rsidRDefault="00816118" w:rsidP="00A01632">
            <w:pPr>
              <w:pStyle w:val="TableText"/>
            </w:pPr>
          </w:p>
          <w:p w14:paraId="73DC8AAD" w14:textId="5F8920A2" w:rsidR="00816118" w:rsidRPr="008E3C0B" w:rsidRDefault="00816118" w:rsidP="002E3CED">
            <w:pPr>
              <w:pStyle w:val="TableText"/>
            </w:pPr>
            <w:r w:rsidRPr="008E3C0B">
              <w:rPr>
                <w:b/>
                <w:i/>
              </w:rPr>
              <w:t>Note:</w:t>
            </w:r>
            <w:r w:rsidRPr="008E3C0B">
              <w:t xml:space="preserve">  A future examination diary cannot be added for a date greater than </w:t>
            </w:r>
            <w:r w:rsidR="002E3CED" w:rsidRPr="008E3C0B">
              <w:t>five</w:t>
            </w:r>
            <w:r w:rsidRPr="008E3C0B">
              <w:t xml:space="preserve"> years in the future.</w:t>
            </w:r>
          </w:p>
        </w:tc>
      </w:tr>
      <w:tr w:rsidR="004806AA" w:rsidRPr="008E3C0B" w14:paraId="34972FC5" w14:textId="77777777" w:rsidTr="004806AA">
        <w:tc>
          <w:tcPr>
            <w:tcW w:w="3874" w:type="dxa"/>
          </w:tcPr>
          <w:p w14:paraId="2FCBF07B" w14:textId="7D1243A3" w:rsidR="009A5841" w:rsidRPr="008E3C0B" w:rsidRDefault="001D4B15" w:rsidP="00564DC8">
            <w:pPr>
              <w:pStyle w:val="BulletText1"/>
            </w:pPr>
            <w:r w:rsidRPr="008E3C0B">
              <w:t>there is no</w:t>
            </w:r>
            <w:r w:rsidR="00A01632" w:rsidRPr="008E3C0B">
              <w:t>t an</w:t>
            </w:r>
            <w:r w:rsidRPr="008E3C0B">
              <w:t xml:space="preserve"> active </w:t>
            </w:r>
            <w:r w:rsidR="00A01632" w:rsidRPr="008E3C0B">
              <w:t xml:space="preserve">corporate </w:t>
            </w:r>
            <w:r w:rsidRPr="008E3C0B">
              <w:t>record, and</w:t>
            </w:r>
          </w:p>
          <w:p w14:paraId="5CA99221" w14:textId="77777777" w:rsidR="009A5841" w:rsidRPr="008E3C0B" w:rsidRDefault="001D4B15" w:rsidP="00564DC8">
            <w:pPr>
              <w:pStyle w:val="BulletText1"/>
            </w:pPr>
            <w:r w:rsidRPr="008E3C0B">
              <w:t xml:space="preserve">the </w:t>
            </w:r>
            <w:r w:rsidR="009A5841" w:rsidRPr="008E3C0B">
              <w:t>examination date is neither</w:t>
            </w:r>
          </w:p>
          <w:p w14:paraId="338665C4" w14:textId="4CFBA26D" w:rsidR="009A5841" w:rsidRPr="008E3C0B" w:rsidRDefault="001D4B15" w:rsidP="00F10A5C">
            <w:pPr>
              <w:pStyle w:val="ListParagraph"/>
              <w:numPr>
                <w:ilvl w:val="0"/>
                <w:numId w:val="4"/>
              </w:numPr>
              <w:ind w:left="346" w:hanging="187"/>
            </w:pPr>
            <w:r w:rsidRPr="008E3C0B">
              <w:t xml:space="preserve">less than </w:t>
            </w:r>
            <w:r w:rsidR="009E2564" w:rsidRPr="008E3C0B">
              <w:t>10</w:t>
            </w:r>
            <w:r w:rsidRPr="008E3C0B">
              <w:t xml:space="preserve"> days</w:t>
            </w:r>
            <w:r w:rsidR="009A5841" w:rsidRPr="008E3C0B">
              <w:t xml:space="preserve"> </w:t>
            </w:r>
            <w:r w:rsidR="009E2564" w:rsidRPr="008E3C0B">
              <w:t>in the future</w:t>
            </w:r>
            <w:r w:rsidR="009A5841" w:rsidRPr="008E3C0B">
              <w:t>, nor</w:t>
            </w:r>
          </w:p>
          <w:p w14:paraId="7EECBD28" w14:textId="16F47441" w:rsidR="001D4B15" w:rsidRPr="008E3C0B" w:rsidRDefault="009E56A2" w:rsidP="00F10A5C">
            <w:pPr>
              <w:pStyle w:val="ListParagraph"/>
              <w:numPr>
                <w:ilvl w:val="0"/>
                <w:numId w:val="4"/>
              </w:numPr>
              <w:ind w:left="346" w:hanging="187"/>
            </w:pPr>
            <w:r w:rsidRPr="008E3C0B">
              <w:t>greater</w:t>
            </w:r>
            <w:r w:rsidR="001D4B15" w:rsidRPr="008E3C0B">
              <w:t xml:space="preserve"> than </w:t>
            </w:r>
            <w:r w:rsidR="009E2564" w:rsidRPr="008E3C0B">
              <w:t>one</w:t>
            </w:r>
            <w:r w:rsidR="001D4B15" w:rsidRPr="008E3C0B">
              <w:t xml:space="preserve"> year in the future</w:t>
            </w:r>
          </w:p>
        </w:tc>
        <w:tc>
          <w:tcPr>
            <w:tcW w:w="3787" w:type="dxa"/>
          </w:tcPr>
          <w:p w14:paraId="63E5FC77" w14:textId="22AC2E10" w:rsidR="001D4B15" w:rsidRPr="008E3C0B" w:rsidRDefault="008F0271" w:rsidP="00EB40DD">
            <w:pPr>
              <w:pStyle w:val="TableText"/>
            </w:pPr>
            <w:proofErr w:type="gramStart"/>
            <w:r w:rsidRPr="008E3C0B">
              <w:t>a</w:t>
            </w:r>
            <w:proofErr w:type="gramEnd"/>
            <w:r w:rsidR="001D4B15" w:rsidRPr="008E3C0B">
              <w:t xml:space="preserve"> future pending issue</w:t>
            </w:r>
            <w:r w:rsidRPr="008E3C0B">
              <w:t xml:space="preserve"> </w:t>
            </w:r>
            <w:r w:rsidR="0049342F" w:rsidRPr="008E3C0B">
              <w:t xml:space="preserve">under </w:t>
            </w:r>
            <w:r w:rsidR="003C280A" w:rsidRPr="008E3C0B">
              <w:t>end product (</w:t>
            </w:r>
            <w:r w:rsidR="0049342F" w:rsidRPr="008E3C0B">
              <w:t>EP</w:t>
            </w:r>
            <w:r w:rsidR="003C280A" w:rsidRPr="008E3C0B">
              <w:t>)</w:t>
            </w:r>
            <w:r w:rsidR="0049342F" w:rsidRPr="008E3C0B">
              <w:t xml:space="preserve"> 310 </w:t>
            </w:r>
            <w:r w:rsidRPr="008E3C0B">
              <w:t>established in VBMS or Share</w:t>
            </w:r>
            <w:r w:rsidR="001D4B15" w:rsidRPr="008E3C0B">
              <w:t>.</w:t>
            </w:r>
          </w:p>
          <w:p w14:paraId="5B21A3D6" w14:textId="1A91819E" w:rsidR="001D4B15" w:rsidRPr="008E3C0B" w:rsidRDefault="001D4B15" w:rsidP="001D4B15"/>
        </w:tc>
      </w:tr>
      <w:tr w:rsidR="004806AA" w:rsidRPr="008E3C0B" w14:paraId="316B7433" w14:textId="77777777" w:rsidTr="004806AA">
        <w:tc>
          <w:tcPr>
            <w:tcW w:w="3874" w:type="dxa"/>
          </w:tcPr>
          <w:p w14:paraId="2710690B" w14:textId="033EA1E7" w:rsidR="001D4B15" w:rsidRPr="008E3C0B" w:rsidRDefault="001D4B15" w:rsidP="001D4B15">
            <w:r w:rsidRPr="008E3C0B">
              <w:t>the future examination cannot be controlled under either situation described above</w:t>
            </w:r>
          </w:p>
        </w:tc>
        <w:tc>
          <w:tcPr>
            <w:tcW w:w="3787" w:type="dxa"/>
          </w:tcPr>
          <w:p w14:paraId="14D5C328" w14:textId="25E2CA5C" w:rsidR="001D4B15" w:rsidRPr="008E3C0B" w:rsidRDefault="001D4B15" w:rsidP="00EB40DD">
            <w:pPr>
              <w:pStyle w:val="TableText"/>
            </w:pPr>
            <w:proofErr w:type="gramStart"/>
            <w:r w:rsidRPr="008E3C0B">
              <w:t>a</w:t>
            </w:r>
            <w:proofErr w:type="gramEnd"/>
            <w:r w:rsidRPr="008E3C0B">
              <w:t xml:space="preserve"> local diary.</w:t>
            </w:r>
          </w:p>
          <w:p w14:paraId="67AC9DC3" w14:textId="77777777" w:rsidR="001D4B15" w:rsidRPr="008E3C0B" w:rsidRDefault="001D4B15" w:rsidP="00EB40DD">
            <w:pPr>
              <w:pStyle w:val="TableText"/>
            </w:pPr>
          </w:p>
          <w:p w14:paraId="3B9A819F" w14:textId="40E62F92" w:rsidR="001D4B15" w:rsidRPr="008E3C0B" w:rsidRDefault="001D4B15" w:rsidP="001367E7">
            <w:r w:rsidRPr="008E3C0B">
              <w:rPr>
                <w:b/>
                <w:i/>
              </w:rPr>
              <w:t>Note</w:t>
            </w:r>
            <w:r w:rsidRPr="008E3C0B">
              <w:t xml:space="preserve">:  Individual </w:t>
            </w:r>
            <w:r w:rsidR="001367E7" w:rsidRPr="008E3C0B">
              <w:t>ROs</w:t>
            </w:r>
            <w:r w:rsidRPr="008E3C0B">
              <w:t xml:space="preserve"> may exercise discretion in the manner in which they control these cases.</w:t>
            </w:r>
          </w:p>
        </w:tc>
      </w:tr>
    </w:tbl>
    <w:p w14:paraId="58DF0256" w14:textId="77777777" w:rsidR="005B0E05" w:rsidRPr="008E3C0B" w:rsidRDefault="005B0E05" w:rsidP="005B0E05"/>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5B0E05" w:rsidRPr="008E3C0B" w14:paraId="77B58C36" w14:textId="77777777" w:rsidTr="002B72D2">
        <w:tc>
          <w:tcPr>
            <w:tcW w:w="7740" w:type="dxa"/>
            <w:shd w:val="clear" w:color="auto" w:fill="auto"/>
          </w:tcPr>
          <w:p w14:paraId="2F4E4914" w14:textId="59BBBF6A" w:rsidR="005B0E05" w:rsidRPr="008E3C0B" w:rsidRDefault="005B0E05" w:rsidP="005B0E05">
            <w:r w:rsidRPr="008E3C0B">
              <w:rPr>
                <w:b/>
                <w:i/>
              </w:rPr>
              <w:t>Reference</w:t>
            </w:r>
            <w:r w:rsidRPr="008E3C0B">
              <w:t xml:space="preserve">:  For more information on establishing </w:t>
            </w:r>
            <w:r w:rsidR="0049342F" w:rsidRPr="008E3C0B">
              <w:t>future exam</w:t>
            </w:r>
            <w:r w:rsidR="00A71139" w:rsidRPr="008E3C0B">
              <w:t>ination</w:t>
            </w:r>
            <w:r w:rsidR="0049342F" w:rsidRPr="008E3C0B">
              <w:t xml:space="preserve"> control</w:t>
            </w:r>
            <w:r w:rsidRPr="008E3C0B">
              <w:t xml:space="preserve"> in</w:t>
            </w:r>
          </w:p>
          <w:p w14:paraId="07FA2327" w14:textId="54706CBD" w:rsidR="005B0E05" w:rsidRPr="008E3C0B" w:rsidRDefault="005B0E05" w:rsidP="00F10A5C">
            <w:pPr>
              <w:pStyle w:val="ListParagraph"/>
              <w:numPr>
                <w:ilvl w:val="0"/>
                <w:numId w:val="8"/>
              </w:numPr>
              <w:ind w:left="158" w:hanging="187"/>
            </w:pPr>
            <w:r w:rsidRPr="008E3C0B">
              <w:t>Share, see the</w:t>
            </w:r>
            <w:r w:rsidR="0049342F" w:rsidRPr="008E3C0B">
              <w:t xml:space="preserve"> </w:t>
            </w:r>
            <w:hyperlink r:id="rId15" w:history="1">
              <w:r w:rsidRPr="008E3C0B">
                <w:rPr>
                  <w:rStyle w:val="Hyperlink"/>
                </w:rPr>
                <w:t>Share User Guide</w:t>
              </w:r>
            </w:hyperlink>
            <w:r w:rsidRPr="008E3C0B">
              <w:t>, or</w:t>
            </w:r>
          </w:p>
          <w:p w14:paraId="31D5F21A" w14:textId="780870AA" w:rsidR="005B0E05" w:rsidRPr="008E3C0B" w:rsidRDefault="005B0E05" w:rsidP="000F767C">
            <w:pPr>
              <w:pStyle w:val="ListParagraph"/>
              <w:numPr>
                <w:ilvl w:val="0"/>
                <w:numId w:val="8"/>
              </w:numPr>
              <w:ind w:left="158" w:hanging="187"/>
            </w:pPr>
            <w:r w:rsidRPr="008E3C0B">
              <w:t>VBMS, see the</w:t>
            </w:r>
            <w:r w:rsidR="00A01632" w:rsidRPr="008E3C0B">
              <w:t xml:space="preserve"> </w:t>
            </w:r>
            <w:hyperlink r:id="rId16" w:history="1">
              <w:r w:rsidRPr="008E3C0B">
                <w:rPr>
                  <w:rStyle w:val="Hyperlink"/>
                </w:rPr>
                <w:t>VBMS User Guide</w:t>
              </w:r>
            </w:hyperlink>
            <w:r w:rsidRPr="008E3C0B">
              <w:t>.</w:t>
            </w:r>
          </w:p>
        </w:tc>
      </w:tr>
    </w:tbl>
    <w:p w14:paraId="3B5EF8DF" w14:textId="557B39C3" w:rsidR="001D4B15" w:rsidRPr="008E3C0B" w:rsidRDefault="005B0E05" w:rsidP="005B0E05">
      <w:pPr>
        <w:tabs>
          <w:tab w:val="left" w:pos="9360"/>
        </w:tabs>
        <w:ind w:left="1714"/>
      </w:pPr>
      <w:r w:rsidRPr="008E3C0B">
        <w:rPr>
          <w:u w:val="single"/>
        </w:rPr>
        <w:tab/>
      </w:r>
    </w:p>
    <w:p w14:paraId="7363E13A" w14:textId="77777777" w:rsidR="00D56696" w:rsidRPr="008E3C0B" w:rsidRDefault="00D56696" w:rsidP="00564DC8"/>
    <w:tbl>
      <w:tblPr>
        <w:tblW w:w="0" w:type="auto"/>
        <w:tblLayout w:type="fixed"/>
        <w:tblLook w:val="0000" w:firstRow="0" w:lastRow="0" w:firstColumn="0" w:lastColumn="0" w:noHBand="0" w:noVBand="0"/>
      </w:tblPr>
      <w:tblGrid>
        <w:gridCol w:w="1728"/>
        <w:gridCol w:w="7740"/>
      </w:tblGrid>
      <w:tr w:rsidR="00DC0C65" w:rsidRPr="008E3C0B" w14:paraId="3D899A6F" w14:textId="77777777" w:rsidTr="00D77D1A">
        <w:tc>
          <w:tcPr>
            <w:tcW w:w="1728" w:type="dxa"/>
          </w:tcPr>
          <w:p w14:paraId="3D899A62" w14:textId="4979E2F6" w:rsidR="00DC0C65" w:rsidRPr="008E3C0B" w:rsidRDefault="00DC0C65" w:rsidP="006D7E09">
            <w:pPr>
              <w:pStyle w:val="Heading5"/>
            </w:pPr>
            <w:bookmarkStart w:id="8" w:name="_d.__Action"/>
            <w:bookmarkEnd w:id="8"/>
            <w:proofErr w:type="gramStart"/>
            <w:r w:rsidRPr="008E3C0B">
              <w:t>d.  Action</w:t>
            </w:r>
            <w:proofErr w:type="gramEnd"/>
            <w:r w:rsidRPr="008E3C0B">
              <w:t xml:space="preserve"> When the Control Period for the Future </w:t>
            </w:r>
            <w:r w:rsidRPr="008E3C0B">
              <w:lastRenderedPageBreak/>
              <w:t xml:space="preserve">Examination Matures </w:t>
            </w:r>
          </w:p>
        </w:tc>
        <w:tc>
          <w:tcPr>
            <w:tcW w:w="7740" w:type="dxa"/>
          </w:tcPr>
          <w:p w14:paraId="369E049E" w14:textId="7D96930D" w:rsidR="00EB5F9C" w:rsidRPr="008E3C0B" w:rsidRDefault="00DC0C65">
            <w:pPr>
              <w:pStyle w:val="BlockText"/>
            </w:pPr>
            <w:r w:rsidRPr="008E3C0B">
              <w:lastRenderedPageBreak/>
              <w:t xml:space="preserve">When </w:t>
            </w:r>
            <w:r w:rsidR="004E09E5" w:rsidRPr="008E3C0B">
              <w:rPr>
                <w:iCs/>
              </w:rPr>
              <w:t>an</w:t>
            </w:r>
            <w:r w:rsidR="000860FA" w:rsidRPr="008E3C0B">
              <w:rPr>
                <w:i/>
                <w:iCs/>
              </w:rPr>
              <w:t xml:space="preserve"> </w:t>
            </w:r>
            <w:r w:rsidR="000860FA" w:rsidRPr="008E3C0B">
              <w:rPr>
                <w:iCs/>
              </w:rPr>
              <w:t>810 series work item</w:t>
            </w:r>
            <w:r w:rsidR="000860FA" w:rsidRPr="008E3C0B">
              <w:rPr>
                <w:i/>
                <w:iCs/>
              </w:rPr>
              <w:t xml:space="preserve"> 631A Future Physical Examination</w:t>
            </w:r>
            <w:r w:rsidR="00B371AE" w:rsidRPr="008E3C0B">
              <w:rPr>
                <w:iCs/>
              </w:rPr>
              <w:t xml:space="preserve"> or </w:t>
            </w:r>
            <w:r w:rsidR="00B371AE" w:rsidRPr="008E3C0B">
              <w:rPr>
                <w:i/>
                <w:iCs/>
              </w:rPr>
              <w:t>631R Review Need for Reevaluation</w:t>
            </w:r>
            <w:r w:rsidRPr="008E3C0B">
              <w:t xml:space="preserve"> is generated</w:t>
            </w:r>
            <w:r w:rsidR="0054223A" w:rsidRPr="008E3C0B">
              <w:t>,</w:t>
            </w:r>
            <w:r w:rsidR="00C31170" w:rsidRPr="008E3C0B">
              <w:t xml:space="preserve"> </w:t>
            </w:r>
            <w:r w:rsidR="004E09E5" w:rsidRPr="008E3C0B">
              <w:t xml:space="preserve">a </w:t>
            </w:r>
            <w:r w:rsidRPr="008E3C0B">
              <w:t>future pending issue matures</w:t>
            </w:r>
            <w:r w:rsidR="0054223A" w:rsidRPr="008E3C0B">
              <w:t>,</w:t>
            </w:r>
            <w:r w:rsidRPr="008E3C0B">
              <w:t xml:space="preserve"> or </w:t>
            </w:r>
            <w:r w:rsidR="004E09E5" w:rsidRPr="008E3C0B">
              <w:t xml:space="preserve">a </w:t>
            </w:r>
            <w:r w:rsidRPr="008E3C0B">
              <w:t>local diary matures, the claims folder</w:t>
            </w:r>
            <w:r w:rsidR="00D56696" w:rsidRPr="008E3C0B">
              <w:t xml:space="preserve"> is referred</w:t>
            </w:r>
            <w:r w:rsidRPr="008E3C0B">
              <w:t xml:space="preserve"> to the rating activity for review</w:t>
            </w:r>
            <w:r w:rsidR="00D56696" w:rsidRPr="008E3C0B">
              <w:t xml:space="preserve">. </w:t>
            </w:r>
          </w:p>
          <w:p w14:paraId="66343554" w14:textId="77777777" w:rsidR="00EB5F9C" w:rsidRPr="008E3C0B" w:rsidRDefault="00EB5F9C">
            <w:pPr>
              <w:pStyle w:val="BlockText"/>
            </w:pPr>
          </w:p>
          <w:p w14:paraId="3D899A6E" w14:textId="3515CF00" w:rsidR="00BF0618" w:rsidRPr="008E3C0B" w:rsidRDefault="00D56696" w:rsidP="003C6552">
            <w:r w:rsidRPr="008E3C0B">
              <w:t>U</w:t>
            </w:r>
            <w:r w:rsidR="006D7E09" w:rsidRPr="008E3C0B">
              <w:t xml:space="preserve">se the table below to </w:t>
            </w:r>
            <w:r w:rsidR="006849E9" w:rsidRPr="008E3C0B">
              <w:t xml:space="preserve">determine </w:t>
            </w:r>
            <w:r w:rsidR="005C142D" w:rsidRPr="008E3C0B">
              <w:t xml:space="preserve">the </w:t>
            </w:r>
            <w:r w:rsidRPr="008E3C0B">
              <w:t>subsequent</w:t>
            </w:r>
            <w:r w:rsidR="005C142D" w:rsidRPr="008E3C0B">
              <w:t xml:space="preserve"> action</w:t>
            </w:r>
            <w:r w:rsidR="006849E9" w:rsidRPr="008E3C0B">
              <w:t>.</w:t>
            </w:r>
          </w:p>
        </w:tc>
      </w:tr>
    </w:tbl>
    <w:p w14:paraId="526F3963" w14:textId="77777777" w:rsidR="00E83A05" w:rsidRPr="008E3C0B" w:rsidRDefault="00E83A05" w:rsidP="006849E9"/>
    <w:tbl>
      <w:tblPr>
        <w:tblStyle w:val="TableGrid"/>
        <w:tblW w:w="7650" w:type="dxa"/>
        <w:tblInd w:w="1818" w:type="dxa"/>
        <w:tblLook w:val="04A0" w:firstRow="1" w:lastRow="0" w:firstColumn="1" w:lastColumn="0" w:noHBand="0" w:noVBand="1"/>
      </w:tblPr>
      <w:tblGrid>
        <w:gridCol w:w="2462"/>
        <w:gridCol w:w="2734"/>
        <w:gridCol w:w="2454"/>
      </w:tblGrid>
      <w:tr w:rsidR="00E83A05" w:rsidRPr="008E3C0B" w14:paraId="0EBCAB4D" w14:textId="77777777" w:rsidTr="009B4C74">
        <w:tc>
          <w:tcPr>
            <w:tcW w:w="2462" w:type="dxa"/>
            <w:tcBorders>
              <w:bottom w:val="single" w:sz="4" w:space="0" w:color="auto"/>
            </w:tcBorders>
          </w:tcPr>
          <w:p w14:paraId="33CAB8BF" w14:textId="77777777" w:rsidR="00E83A05" w:rsidRPr="008E3C0B" w:rsidRDefault="00E83A05" w:rsidP="00E83A05">
            <w:pPr>
              <w:rPr>
                <w:b/>
              </w:rPr>
            </w:pPr>
            <w:r w:rsidRPr="008E3C0B">
              <w:rPr>
                <w:b/>
              </w:rPr>
              <w:t>If the rating activity determines that it is necessary to …</w:t>
            </w:r>
          </w:p>
        </w:tc>
        <w:tc>
          <w:tcPr>
            <w:tcW w:w="2734" w:type="dxa"/>
            <w:tcBorders>
              <w:bottom w:val="single" w:sz="4" w:space="0" w:color="auto"/>
            </w:tcBorders>
          </w:tcPr>
          <w:p w14:paraId="031E3E20" w14:textId="77777777" w:rsidR="00E83A05" w:rsidRPr="008E3C0B" w:rsidRDefault="00E83A05" w:rsidP="00E83A05">
            <w:pPr>
              <w:rPr>
                <w:b/>
              </w:rPr>
            </w:pPr>
            <w:r w:rsidRPr="008E3C0B">
              <w:rPr>
                <w:b/>
              </w:rPr>
              <w:t>Then …</w:t>
            </w:r>
          </w:p>
        </w:tc>
        <w:tc>
          <w:tcPr>
            <w:tcW w:w="2454" w:type="dxa"/>
          </w:tcPr>
          <w:p w14:paraId="3A41F0B9" w14:textId="77777777" w:rsidR="00E83A05" w:rsidRPr="008E3C0B" w:rsidRDefault="00E83A05" w:rsidP="00E83A05">
            <w:pPr>
              <w:rPr>
                <w:b/>
              </w:rPr>
            </w:pPr>
            <w:r w:rsidRPr="008E3C0B">
              <w:rPr>
                <w:b/>
              </w:rPr>
              <w:t>And …</w:t>
            </w:r>
          </w:p>
        </w:tc>
      </w:tr>
      <w:tr w:rsidR="00E83A05" w:rsidRPr="008E3C0B" w14:paraId="4C997FB7" w14:textId="77777777" w:rsidTr="009B4C74">
        <w:tc>
          <w:tcPr>
            <w:tcW w:w="2462" w:type="dxa"/>
            <w:tcBorders>
              <w:right w:val="single" w:sz="4" w:space="0" w:color="auto"/>
            </w:tcBorders>
          </w:tcPr>
          <w:p w14:paraId="77045507" w14:textId="3B09E7D5" w:rsidR="00E83A05" w:rsidRPr="008E3C0B" w:rsidRDefault="00E83A05" w:rsidP="0047408B">
            <w:r w:rsidRPr="008E3C0B">
              <w:t>proceed with the examination</w:t>
            </w:r>
          </w:p>
        </w:tc>
        <w:tc>
          <w:tcPr>
            <w:tcW w:w="2734" w:type="dxa"/>
            <w:vMerge w:val="restart"/>
            <w:tcBorders>
              <w:top w:val="single" w:sz="4" w:space="0" w:color="auto"/>
              <w:left w:val="single" w:sz="4" w:space="0" w:color="auto"/>
              <w:bottom w:val="single" w:sz="4" w:space="0" w:color="auto"/>
              <w:right w:val="single" w:sz="4" w:space="0" w:color="auto"/>
            </w:tcBorders>
          </w:tcPr>
          <w:p w14:paraId="14141712" w14:textId="1805ABF3" w:rsidR="00916542" w:rsidRPr="008E3C0B" w:rsidRDefault="00E83A05" w:rsidP="00E83A05">
            <w:r w:rsidRPr="008E3C0B">
              <w:t>establish an EP 310</w:t>
            </w:r>
          </w:p>
          <w:p w14:paraId="2CA24512" w14:textId="77777777" w:rsidR="009B4C74" w:rsidRPr="008E3C0B" w:rsidRDefault="009B4C74" w:rsidP="00E83A05"/>
          <w:p w14:paraId="61C5BDB7" w14:textId="165881A2" w:rsidR="00916542" w:rsidRPr="008E3C0B" w:rsidRDefault="00082D67" w:rsidP="00F10A5C">
            <w:pPr>
              <w:pStyle w:val="ListParagraph"/>
              <w:numPr>
                <w:ilvl w:val="0"/>
                <w:numId w:val="9"/>
              </w:numPr>
              <w:ind w:left="158" w:hanging="187"/>
            </w:pPr>
            <w:r w:rsidRPr="008E3C0B">
              <w:t>use</w:t>
            </w:r>
            <w:r w:rsidR="00A64B7D" w:rsidRPr="008E3C0B">
              <w:t xml:space="preserve"> the date on the 810 series work item, </w:t>
            </w:r>
            <w:r w:rsidR="00A64B7D" w:rsidRPr="008E3C0B">
              <w:rPr>
                <w:i/>
              </w:rPr>
              <w:t>631A Future Physical Examination</w:t>
            </w:r>
            <w:r w:rsidR="00A64B7D" w:rsidRPr="008E3C0B">
              <w:t xml:space="preserve">, or </w:t>
            </w:r>
            <w:r w:rsidR="00A64B7D" w:rsidRPr="008E3C0B">
              <w:rPr>
                <w:i/>
              </w:rPr>
              <w:t>631R Review Need for Reevaluation</w:t>
            </w:r>
            <w:r w:rsidR="00A64B7D" w:rsidRPr="008E3C0B">
              <w:t xml:space="preserve"> as the date of claim, and</w:t>
            </w:r>
          </w:p>
          <w:p w14:paraId="7A0C0DD0" w14:textId="274FE8E0" w:rsidR="00916542" w:rsidRPr="008E3C0B" w:rsidRDefault="00082D67" w:rsidP="00F10A5C">
            <w:pPr>
              <w:pStyle w:val="ListParagraph"/>
              <w:numPr>
                <w:ilvl w:val="0"/>
                <w:numId w:val="10"/>
              </w:numPr>
              <w:ind w:left="158" w:hanging="187"/>
            </w:pPr>
            <w:proofErr w:type="gramStart"/>
            <w:r w:rsidRPr="008E3C0B">
              <w:t>ensure</w:t>
            </w:r>
            <w:proofErr w:type="gramEnd"/>
            <w:r w:rsidR="00A64B7D" w:rsidRPr="008E3C0B">
              <w:t xml:space="preserve"> the </w:t>
            </w:r>
            <w:r w:rsidR="00F9223B" w:rsidRPr="008E3C0B">
              <w:t xml:space="preserve">SUPPRESS ACKNOWLEDGEMENT LETTER </w:t>
            </w:r>
            <w:r w:rsidR="00E83A05" w:rsidRPr="008E3C0B">
              <w:t>check</w:t>
            </w:r>
            <w:r w:rsidR="00A64B7D" w:rsidRPr="008E3C0B">
              <w:t>box is selected.</w:t>
            </w:r>
          </w:p>
          <w:p w14:paraId="3B7AD9D3" w14:textId="77777777" w:rsidR="00E83A05" w:rsidRPr="008E3C0B" w:rsidRDefault="00E83A05" w:rsidP="00E83A05"/>
          <w:p w14:paraId="730357D4" w14:textId="4C12FB94" w:rsidR="00E83A05" w:rsidRPr="008E3C0B" w:rsidRDefault="00E83A05" w:rsidP="00EB5F9C">
            <w:r w:rsidRPr="008E3C0B">
              <w:rPr>
                <w:b/>
                <w:i/>
              </w:rPr>
              <w:t>Note</w:t>
            </w:r>
            <w:r w:rsidRPr="008E3C0B">
              <w:t xml:space="preserve">: Do not establish an EP 310 if another </w:t>
            </w:r>
            <w:r w:rsidR="00EB5F9C" w:rsidRPr="008E3C0B">
              <w:t>EP</w:t>
            </w:r>
            <w:r w:rsidRPr="008E3C0B">
              <w:t xml:space="preserve"> is already pending for the specific disability under review.  Instead, complete all necessary action under the existing </w:t>
            </w:r>
            <w:r w:rsidR="00EB5F9C" w:rsidRPr="008E3C0B">
              <w:t>EP</w:t>
            </w:r>
            <w:r w:rsidRPr="008E3C0B">
              <w:t>.</w:t>
            </w:r>
          </w:p>
        </w:tc>
        <w:tc>
          <w:tcPr>
            <w:tcW w:w="2454" w:type="dxa"/>
            <w:tcBorders>
              <w:left w:val="single" w:sz="4" w:space="0" w:color="auto"/>
            </w:tcBorders>
          </w:tcPr>
          <w:p w14:paraId="624D5A99" w14:textId="12AB3B60" w:rsidR="00E83A05" w:rsidRPr="008E3C0B" w:rsidRDefault="00F9223B" w:rsidP="00E83A05">
            <w:proofErr w:type="gramStart"/>
            <w:r w:rsidRPr="008E3C0B">
              <w:t>request</w:t>
            </w:r>
            <w:proofErr w:type="gramEnd"/>
            <w:r w:rsidRPr="008E3C0B">
              <w:t xml:space="preserve"> an examination</w:t>
            </w:r>
            <w:r w:rsidR="001367E7" w:rsidRPr="008E3C0B">
              <w:t>.</w:t>
            </w:r>
            <w:r w:rsidRPr="008E3C0B">
              <w:t xml:space="preserve"> </w:t>
            </w:r>
          </w:p>
        </w:tc>
      </w:tr>
      <w:tr w:rsidR="00E83A05" w:rsidRPr="008E3C0B" w14:paraId="19C18EDE" w14:textId="77777777" w:rsidTr="009B4C74">
        <w:tc>
          <w:tcPr>
            <w:tcW w:w="2462" w:type="dxa"/>
            <w:tcBorders>
              <w:right w:val="single" w:sz="4" w:space="0" w:color="auto"/>
            </w:tcBorders>
          </w:tcPr>
          <w:p w14:paraId="37C56B0B" w14:textId="77777777" w:rsidR="00E83A05" w:rsidRPr="008E3C0B" w:rsidRDefault="00E83A05" w:rsidP="00E83A05">
            <w:r w:rsidRPr="008E3C0B">
              <w:t>cancel the examination</w:t>
            </w:r>
          </w:p>
        </w:tc>
        <w:tc>
          <w:tcPr>
            <w:tcW w:w="2734" w:type="dxa"/>
            <w:vMerge/>
            <w:tcBorders>
              <w:top w:val="single" w:sz="4" w:space="0" w:color="auto"/>
              <w:left w:val="single" w:sz="4" w:space="0" w:color="auto"/>
              <w:bottom w:val="single" w:sz="4" w:space="0" w:color="auto"/>
              <w:right w:val="single" w:sz="4" w:space="0" w:color="auto"/>
            </w:tcBorders>
          </w:tcPr>
          <w:p w14:paraId="2BA85D7D" w14:textId="77777777" w:rsidR="00E83A05" w:rsidRPr="008E3C0B" w:rsidRDefault="00E83A05" w:rsidP="00E83A05"/>
        </w:tc>
        <w:tc>
          <w:tcPr>
            <w:tcW w:w="2454" w:type="dxa"/>
            <w:tcBorders>
              <w:left w:val="single" w:sz="4" w:space="0" w:color="auto"/>
            </w:tcBorders>
          </w:tcPr>
          <w:p w14:paraId="75174BBD" w14:textId="77777777" w:rsidR="00E83A05" w:rsidRPr="008E3C0B" w:rsidRDefault="00E83A05" w:rsidP="00E83A05">
            <w:proofErr w:type="gramStart"/>
            <w:r w:rsidRPr="008E3C0B">
              <w:t>complete</w:t>
            </w:r>
            <w:proofErr w:type="gramEnd"/>
            <w:r w:rsidRPr="008E3C0B">
              <w:t xml:space="preserve"> a rating decision to establish permanency.</w:t>
            </w:r>
          </w:p>
        </w:tc>
      </w:tr>
      <w:tr w:rsidR="00E83A05" w:rsidRPr="008E3C0B" w14:paraId="46F612C4" w14:textId="77777777" w:rsidTr="009B4C74">
        <w:tc>
          <w:tcPr>
            <w:tcW w:w="2462" w:type="dxa"/>
          </w:tcPr>
          <w:p w14:paraId="3192A235" w14:textId="77777777" w:rsidR="00E83A05" w:rsidRPr="008E3C0B" w:rsidRDefault="00E83A05" w:rsidP="00E83A05">
            <w:r w:rsidRPr="008E3C0B">
              <w:t>advance the date of the examination</w:t>
            </w:r>
          </w:p>
        </w:tc>
        <w:tc>
          <w:tcPr>
            <w:tcW w:w="2734" w:type="dxa"/>
            <w:tcBorders>
              <w:top w:val="single" w:sz="4" w:space="0" w:color="auto"/>
            </w:tcBorders>
          </w:tcPr>
          <w:p w14:paraId="616590A3" w14:textId="77777777" w:rsidR="00E83A05" w:rsidRPr="008E3C0B" w:rsidRDefault="00E83A05" w:rsidP="00E83A05">
            <w:r w:rsidRPr="008E3C0B">
              <w:t>cancel the future examination control</w:t>
            </w:r>
          </w:p>
        </w:tc>
        <w:tc>
          <w:tcPr>
            <w:tcW w:w="2454" w:type="dxa"/>
          </w:tcPr>
          <w:p w14:paraId="3115A89A" w14:textId="77777777" w:rsidR="006D2D8E" w:rsidRPr="008E3C0B" w:rsidRDefault="006D2D8E" w:rsidP="00F10A5C">
            <w:pPr>
              <w:pStyle w:val="ListParagraph"/>
              <w:numPr>
                <w:ilvl w:val="0"/>
                <w:numId w:val="11"/>
              </w:numPr>
              <w:ind w:left="158" w:hanging="187"/>
            </w:pPr>
            <w:r w:rsidRPr="008E3C0B">
              <w:t>establish a new future examination control, and</w:t>
            </w:r>
          </w:p>
          <w:p w14:paraId="106A9EB3" w14:textId="3B5B1A88" w:rsidR="00E83A05" w:rsidRPr="008E3C0B" w:rsidRDefault="00E83A05" w:rsidP="00F10A5C">
            <w:pPr>
              <w:pStyle w:val="ListParagraph"/>
              <w:numPr>
                <w:ilvl w:val="0"/>
                <w:numId w:val="11"/>
              </w:numPr>
              <w:ind w:left="158" w:hanging="187"/>
            </w:pPr>
            <w:r w:rsidRPr="008E3C0B">
              <w:t xml:space="preserve">add a </w:t>
            </w:r>
            <w:r w:rsidR="00D56696" w:rsidRPr="008E3C0B">
              <w:t>system</w:t>
            </w:r>
            <w:r w:rsidRPr="008E3C0B">
              <w:t xml:space="preserve"> note including the</w:t>
            </w:r>
          </w:p>
          <w:p w14:paraId="6556F891" w14:textId="77777777" w:rsidR="00E83A05" w:rsidRPr="008E3C0B" w:rsidRDefault="00E83A05" w:rsidP="00F10A5C">
            <w:pPr>
              <w:pStyle w:val="ListParagraph"/>
              <w:numPr>
                <w:ilvl w:val="0"/>
                <w:numId w:val="12"/>
              </w:numPr>
              <w:ind w:left="346" w:hanging="187"/>
            </w:pPr>
            <w:r w:rsidRPr="008E3C0B">
              <w:t>reason(s) for postponing, and</w:t>
            </w:r>
          </w:p>
          <w:p w14:paraId="6737138E" w14:textId="6E87AFDD" w:rsidR="00916542" w:rsidRPr="008E3C0B" w:rsidRDefault="00E83A05" w:rsidP="00F10A5C">
            <w:pPr>
              <w:pStyle w:val="ListParagraph"/>
              <w:numPr>
                <w:ilvl w:val="0"/>
                <w:numId w:val="13"/>
              </w:numPr>
              <w:ind w:left="346" w:hanging="187"/>
            </w:pPr>
            <w:proofErr w:type="gramStart"/>
            <w:r w:rsidRPr="008E3C0B">
              <w:t>new</w:t>
            </w:r>
            <w:proofErr w:type="gramEnd"/>
            <w:r w:rsidRPr="008E3C0B">
              <w:t xml:space="preserve"> date of</w:t>
            </w:r>
            <w:r w:rsidR="006D2D8E" w:rsidRPr="008E3C0B">
              <w:t xml:space="preserve"> the</w:t>
            </w:r>
            <w:r w:rsidRPr="008E3C0B">
              <w:t xml:space="preserve"> examination</w:t>
            </w:r>
            <w:r w:rsidR="00B72665" w:rsidRPr="008E3C0B">
              <w:t>.</w:t>
            </w:r>
          </w:p>
        </w:tc>
      </w:tr>
    </w:tbl>
    <w:p w14:paraId="3D899A90" w14:textId="6C0F72E1" w:rsidR="00DC0C65" w:rsidRPr="008E3C0B" w:rsidRDefault="00DC0C65" w:rsidP="009E2564">
      <w:pPr>
        <w:pStyle w:val="BlockLine"/>
      </w:pPr>
      <w:bookmarkStart w:id="9" w:name="_e.__How"/>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B13C2" w:rsidRPr="008E3C0B" w14:paraId="3AB967F6" w14:textId="77777777" w:rsidTr="00D77D1A">
        <w:tc>
          <w:tcPr>
            <w:tcW w:w="1728" w:type="dxa"/>
            <w:shd w:val="clear" w:color="auto" w:fill="auto"/>
          </w:tcPr>
          <w:p w14:paraId="372630B6" w14:textId="7EA6BA93" w:rsidR="008B13C2" w:rsidRPr="008E3C0B" w:rsidRDefault="008B13C2" w:rsidP="00265AA2">
            <w:pPr>
              <w:rPr>
                <w:b/>
                <w:sz w:val="22"/>
              </w:rPr>
            </w:pPr>
            <w:r w:rsidRPr="008E3C0B">
              <w:rPr>
                <w:b/>
                <w:sz w:val="22"/>
              </w:rPr>
              <w:t xml:space="preserve">e.  </w:t>
            </w:r>
            <w:r w:rsidRPr="008E3C0B">
              <w:rPr>
                <w:b/>
                <w:sz w:val="22"/>
                <w:szCs w:val="22"/>
              </w:rPr>
              <w:t xml:space="preserve">Reviewing 100 Percent SC Disability Cases </w:t>
            </w:r>
            <w:r w:rsidR="00265AA2" w:rsidRPr="008E3C0B">
              <w:rPr>
                <w:b/>
                <w:sz w:val="22"/>
                <w:szCs w:val="22"/>
              </w:rPr>
              <w:t>w</w:t>
            </w:r>
            <w:r w:rsidRPr="008E3C0B">
              <w:rPr>
                <w:b/>
                <w:sz w:val="22"/>
                <w:szCs w:val="22"/>
              </w:rPr>
              <w:t xml:space="preserve">ith no </w:t>
            </w:r>
            <w:r w:rsidR="00265AA2" w:rsidRPr="008E3C0B">
              <w:rPr>
                <w:b/>
                <w:sz w:val="22"/>
                <w:szCs w:val="22"/>
              </w:rPr>
              <w:t xml:space="preserve">Chapter 35 eligibility, and with no </w:t>
            </w:r>
            <w:r w:rsidR="00887892" w:rsidRPr="008E3C0B">
              <w:rPr>
                <w:b/>
                <w:sz w:val="22"/>
                <w:szCs w:val="22"/>
              </w:rPr>
              <w:t>Future Exam Diary</w:t>
            </w:r>
          </w:p>
        </w:tc>
        <w:tc>
          <w:tcPr>
            <w:tcW w:w="7740" w:type="dxa"/>
            <w:shd w:val="clear" w:color="auto" w:fill="auto"/>
          </w:tcPr>
          <w:p w14:paraId="200D530A" w14:textId="688A9F53" w:rsidR="008B13C2" w:rsidRPr="008E3C0B" w:rsidRDefault="00C23925" w:rsidP="00C23925">
            <w:pPr>
              <w:rPr>
                <w:szCs w:val="24"/>
              </w:rPr>
            </w:pPr>
            <w:r w:rsidRPr="008E3C0B">
              <w:rPr>
                <w:szCs w:val="24"/>
              </w:rPr>
              <w:t xml:space="preserve">A work item 810 </w:t>
            </w:r>
            <w:r w:rsidR="008B13C2" w:rsidRPr="008E3C0B">
              <w:rPr>
                <w:szCs w:val="24"/>
              </w:rPr>
              <w:t>or an E</w:t>
            </w:r>
            <w:r w:rsidR="00887892" w:rsidRPr="008E3C0B">
              <w:rPr>
                <w:szCs w:val="24"/>
              </w:rPr>
              <w:t xml:space="preserve">P 684 will generate </w:t>
            </w:r>
            <w:r w:rsidR="00937559" w:rsidRPr="008E3C0B">
              <w:rPr>
                <w:szCs w:val="24"/>
              </w:rPr>
              <w:t xml:space="preserve">on a recurring basis, </w:t>
            </w:r>
            <w:r w:rsidRPr="008E3C0B">
              <w:rPr>
                <w:szCs w:val="24"/>
              </w:rPr>
              <w:t xml:space="preserve">when the corporate record does not show a future review examination diary for a Veteran who has a </w:t>
            </w:r>
            <w:r w:rsidR="008B13C2" w:rsidRPr="008E3C0B">
              <w:rPr>
                <w:szCs w:val="24"/>
              </w:rPr>
              <w:t xml:space="preserve">100 percent service connected </w:t>
            </w:r>
            <w:r w:rsidRPr="008E3C0B">
              <w:rPr>
                <w:szCs w:val="24"/>
              </w:rPr>
              <w:t>evaluation but has not been rated eligible for Chapter 35 benefits.</w:t>
            </w:r>
          </w:p>
          <w:p w14:paraId="37402617" w14:textId="77777777" w:rsidR="00C23925" w:rsidRPr="008E3C0B" w:rsidRDefault="00C23925" w:rsidP="00C23925">
            <w:pPr>
              <w:rPr>
                <w:szCs w:val="24"/>
              </w:rPr>
            </w:pPr>
          </w:p>
          <w:p w14:paraId="3A376B6B" w14:textId="212E28D4" w:rsidR="008B13C2" w:rsidRPr="008E3C0B" w:rsidRDefault="008B13C2" w:rsidP="008B13C2">
            <w:pPr>
              <w:rPr>
                <w:szCs w:val="24"/>
              </w:rPr>
            </w:pPr>
            <w:r w:rsidRPr="008E3C0B">
              <w:rPr>
                <w:b/>
                <w:i/>
                <w:szCs w:val="24"/>
              </w:rPr>
              <w:t>Exception</w:t>
            </w:r>
            <w:r w:rsidRPr="008E3C0B">
              <w:rPr>
                <w:szCs w:val="24"/>
              </w:rPr>
              <w:t xml:space="preserve">:  Chapter 35 is not applicable </w:t>
            </w:r>
            <w:r w:rsidR="00937559" w:rsidRPr="008E3C0B">
              <w:rPr>
                <w:szCs w:val="24"/>
              </w:rPr>
              <w:t xml:space="preserve">in the above situation </w:t>
            </w:r>
            <w:r w:rsidRPr="008E3C0B">
              <w:rPr>
                <w:szCs w:val="24"/>
              </w:rPr>
              <w:t xml:space="preserve">by reason of a qualifying disability under </w:t>
            </w:r>
            <w:hyperlink r:id="rId17" w:history="1">
              <w:r w:rsidRPr="008E3C0B">
                <w:rPr>
                  <w:rStyle w:val="Hyperlink"/>
                  <w:szCs w:val="24"/>
                </w:rPr>
                <w:t>38 U.S.C. 1151</w:t>
              </w:r>
            </w:hyperlink>
            <w:r w:rsidRPr="008E3C0B">
              <w:rPr>
                <w:szCs w:val="24"/>
              </w:rPr>
              <w:t xml:space="preserve">.  Ensure the </w:t>
            </w:r>
            <w:r w:rsidRPr="008E3C0B">
              <w:rPr>
                <w:i/>
                <w:szCs w:val="24"/>
              </w:rPr>
              <w:t xml:space="preserve">1151 P&amp;T </w:t>
            </w:r>
            <w:r w:rsidRPr="008E3C0B">
              <w:rPr>
                <w:szCs w:val="24"/>
              </w:rPr>
              <w:t xml:space="preserve">flash is </w:t>
            </w:r>
            <w:r w:rsidRPr="008E3C0B">
              <w:rPr>
                <w:szCs w:val="24"/>
              </w:rPr>
              <w:lastRenderedPageBreak/>
              <w:t xml:space="preserve">added in these cases, following instructions for “Accessing Corporate Flashes” in the </w:t>
            </w:r>
            <w:hyperlink r:id="rId18" w:history="1">
              <w:r w:rsidRPr="008E3C0B">
                <w:rPr>
                  <w:rStyle w:val="Hyperlink"/>
                  <w:szCs w:val="24"/>
                </w:rPr>
                <w:t>Share User Guide</w:t>
              </w:r>
            </w:hyperlink>
            <w:r w:rsidRPr="008E3C0B">
              <w:rPr>
                <w:szCs w:val="24"/>
              </w:rPr>
              <w:t xml:space="preserve">, to </w:t>
            </w:r>
            <w:r w:rsidR="00937559" w:rsidRPr="008E3C0B">
              <w:rPr>
                <w:szCs w:val="24"/>
              </w:rPr>
              <w:t>prevent</w:t>
            </w:r>
            <w:r w:rsidRPr="008E3C0B">
              <w:rPr>
                <w:szCs w:val="24"/>
              </w:rPr>
              <w:t xml:space="preserve"> unnecessary work items or EP 684s.</w:t>
            </w:r>
          </w:p>
          <w:p w14:paraId="7B20B7F7" w14:textId="77777777" w:rsidR="008B13C2" w:rsidRPr="008E3C0B" w:rsidRDefault="008B13C2" w:rsidP="008B13C2">
            <w:pPr>
              <w:rPr>
                <w:szCs w:val="24"/>
              </w:rPr>
            </w:pPr>
          </w:p>
          <w:p w14:paraId="313E859A" w14:textId="77777777" w:rsidR="008B13C2" w:rsidRPr="008E3C0B" w:rsidRDefault="008B13C2" w:rsidP="008B13C2">
            <w:pPr>
              <w:rPr>
                <w:szCs w:val="24"/>
              </w:rPr>
            </w:pPr>
            <w:r w:rsidRPr="008E3C0B">
              <w:rPr>
                <w:szCs w:val="24"/>
              </w:rPr>
              <w:t>EP 684s will continue to be generated for cases that have no controls in place (i.e., work item, EP 310, or EP 600), with bimonthly reports.  EP 684 should not be established locally at the Regional Offices (ROs).</w:t>
            </w:r>
          </w:p>
          <w:p w14:paraId="46983CFC" w14:textId="77777777" w:rsidR="008B13C2" w:rsidRPr="008E3C0B" w:rsidRDefault="008B13C2" w:rsidP="008B13C2">
            <w:pPr>
              <w:rPr>
                <w:szCs w:val="24"/>
              </w:rPr>
            </w:pPr>
          </w:p>
          <w:p w14:paraId="596879CB" w14:textId="156F0213" w:rsidR="008B13C2" w:rsidRPr="008E3C0B" w:rsidRDefault="008B13C2" w:rsidP="008B13C2">
            <w:pPr>
              <w:rPr>
                <w:szCs w:val="24"/>
              </w:rPr>
            </w:pPr>
            <w:r w:rsidRPr="008E3C0B">
              <w:rPr>
                <w:szCs w:val="24"/>
              </w:rPr>
              <w:t>If an EP 684 or 8</w:t>
            </w:r>
            <w:r w:rsidR="00937559" w:rsidRPr="008E3C0B">
              <w:rPr>
                <w:szCs w:val="24"/>
              </w:rPr>
              <w:t>1</w:t>
            </w:r>
            <w:r w:rsidRPr="008E3C0B">
              <w:rPr>
                <w:szCs w:val="24"/>
              </w:rPr>
              <w:t xml:space="preserve">0 </w:t>
            </w:r>
            <w:r w:rsidR="00937559" w:rsidRPr="008E3C0B">
              <w:rPr>
                <w:szCs w:val="24"/>
              </w:rPr>
              <w:t>work item is pending for this</w:t>
            </w:r>
            <w:r w:rsidRPr="008E3C0B">
              <w:rPr>
                <w:szCs w:val="24"/>
              </w:rPr>
              <w:t xml:space="preserve"> situation, the claims folder must be reviewed to determine if action is necessary</w:t>
            </w:r>
            <w:r w:rsidR="00937559" w:rsidRPr="008E3C0B">
              <w:rPr>
                <w:szCs w:val="24"/>
              </w:rPr>
              <w:t>, such as</w:t>
            </w:r>
          </w:p>
          <w:p w14:paraId="18155051" w14:textId="16FCF280" w:rsidR="008B13C2" w:rsidRPr="008E3C0B" w:rsidRDefault="00937559" w:rsidP="008B13C2">
            <w:pPr>
              <w:pStyle w:val="ListParagraph"/>
              <w:numPr>
                <w:ilvl w:val="0"/>
                <w:numId w:val="20"/>
              </w:numPr>
              <w:spacing w:after="200" w:line="276" w:lineRule="auto"/>
              <w:ind w:left="158" w:hanging="187"/>
              <w:rPr>
                <w:szCs w:val="24"/>
              </w:rPr>
            </w:pPr>
            <w:r w:rsidRPr="008E3C0B">
              <w:rPr>
                <w:szCs w:val="24"/>
              </w:rPr>
              <w:t xml:space="preserve">is </w:t>
            </w:r>
            <w:r w:rsidR="008B13C2" w:rsidRPr="008E3C0B">
              <w:rPr>
                <w:szCs w:val="24"/>
              </w:rPr>
              <w:t>a</w:t>
            </w:r>
            <w:r w:rsidRPr="008E3C0B">
              <w:rPr>
                <w:szCs w:val="24"/>
              </w:rPr>
              <w:t xml:space="preserve"> review</w:t>
            </w:r>
            <w:r w:rsidR="008B13C2" w:rsidRPr="008E3C0B">
              <w:rPr>
                <w:szCs w:val="24"/>
              </w:rPr>
              <w:t xml:space="preserve"> examination needed, or</w:t>
            </w:r>
          </w:p>
          <w:p w14:paraId="4F2788D6" w14:textId="00EFCC0E" w:rsidR="008B13C2" w:rsidRPr="008E3C0B" w:rsidRDefault="008B13C2" w:rsidP="00937559">
            <w:pPr>
              <w:pStyle w:val="ListParagraph"/>
              <w:numPr>
                <w:ilvl w:val="0"/>
                <w:numId w:val="20"/>
              </w:numPr>
              <w:spacing w:after="200" w:line="276" w:lineRule="auto"/>
              <w:ind w:left="158" w:hanging="187"/>
            </w:pPr>
            <w:proofErr w:type="gramStart"/>
            <w:r w:rsidRPr="008E3C0B">
              <w:rPr>
                <w:szCs w:val="24"/>
              </w:rPr>
              <w:t>can</w:t>
            </w:r>
            <w:proofErr w:type="gramEnd"/>
            <w:r w:rsidRPr="008E3C0B">
              <w:rPr>
                <w:szCs w:val="24"/>
              </w:rPr>
              <w:t xml:space="preserve"> the specific disability be identified as  “</w:t>
            </w:r>
            <w:r w:rsidRPr="008E3C0B">
              <w:rPr>
                <w:i/>
                <w:szCs w:val="24"/>
              </w:rPr>
              <w:t>permanent and total</w:t>
            </w:r>
            <w:r w:rsidRPr="008E3C0B">
              <w:rPr>
                <w:szCs w:val="24"/>
              </w:rPr>
              <w:t>”</w:t>
            </w:r>
            <w:r w:rsidR="00937559" w:rsidRPr="008E3C0B">
              <w:rPr>
                <w:szCs w:val="24"/>
              </w:rPr>
              <w:t>, and Chapter 35 eligibility addressed in a rating decision</w:t>
            </w:r>
            <w:r w:rsidRPr="008E3C0B">
              <w:rPr>
                <w:szCs w:val="24"/>
              </w:rPr>
              <w:t>.</w:t>
            </w:r>
          </w:p>
        </w:tc>
      </w:tr>
    </w:tbl>
    <w:p w14:paraId="56314170" w14:textId="7A6E3EF0" w:rsidR="008B13C2" w:rsidRPr="008E3C0B" w:rsidRDefault="008B13C2" w:rsidP="008B13C2"/>
    <w:tbl>
      <w:tblPr>
        <w:tblStyle w:val="TableGrid"/>
        <w:tblW w:w="7650" w:type="dxa"/>
        <w:tblInd w:w="1818" w:type="dxa"/>
        <w:tblLook w:val="04A0" w:firstRow="1" w:lastRow="0" w:firstColumn="1" w:lastColumn="0" w:noHBand="0" w:noVBand="1"/>
      </w:tblPr>
      <w:tblGrid>
        <w:gridCol w:w="3870"/>
        <w:gridCol w:w="3780"/>
      </w:tblGrid>
      <w:tr w:rsidR="008B13C2" w:rsidRPr="008E3C0B" w14:paraId="2181CE56" w14:textId="77777777" w:rsidTr="008B13C2">
        <w:tc>
          <w:tcPr>
            <w:tcW w:w="3870" w:type="dxa"/>
          </w:tcPr>
          <w:p w14:paraId="2AF22D8F" w14:textId="4954C777" w:rsidR="008B13C2" w:rsidRPr="008E3C0B" w:rsidRDefault="008B13C2" w:rsidP="00937559">
            <w:pPr>
              <w:rPr>
                <w:b/>
              </w:rPr>
            </w:pPr>
            <w:r w:rsidRPr="008E3C0B">
              <w:rPr>
                <w:b/>
              </w:rPr>
              <w:t>If the issue is ...</w:t>
            </w:r>
          </w:p>
        </w:tc>
        <w:tc>
          <w:tcPr>
            <w:tcW w:w="3780" w:type="dxa"/>
          </w:tcPr>
          <w:p w14:paraId="27CA934E" w14:textId="4DEB4153" w:rsidR="008B13C2" w:rsidRPr="008E3C0B" w:rsidRDefault="008B13C2" w:rsidP="008B13C2">
            <w:pPr>
              <w:rPr>
                <w:b/>
              </w:rPr>
            </w:pPr>
            <w:r w:rsidRPr="008E3C0B">
              <w:rPr>
                <w:b/>
              </w:rPr>
              <w:t>Then ...</w:t>
            </w:r>
          </w:p>
        </w:tc>
      </w:tr>
    </w:tbl>
    <w:tbl>
      <w:tblPr>
        <w:tblStyle w:val="TableGrid1"/>
        <w:tblW w:w="7650" w:type="dxa"/>
        <w:tblInd w:w="1818" w:type="dxa"/>
        <w:tblLook w:val="04A0" w:firstRow="1" w:lastRow="0" w:firstColumn="1" w:lastColumn="0" w:noHBand="0" w:noVBand="1"/>
      </w:tblPr>
      <w:tblGrid>
        <w:gridCol w:w="3870"/>
        <w:gridCol w:w="3780"/>
      </w:tblGrid>
      <w:tr w:rsidR="008B13C2" w:rsidRPr="008E3C0B" w14:paraId="2AB7B514" w14:textId="77777777" w:rsidTr="008B13C2">
        <w:tc>
          <w:tcPr>
            <w:tcW w:w="3870" w:type="dxa"/>
            <w:tcBorders>
              <w:top w:val="single" w:sz="4" w:space="0" w:color="auto"/>
              <w:left w:val="single" w:sz="4" w:space="0" w:color="auto"/>
              <w:bottom w:val="single" w:sz="4" w:space="0" w:color="auto"/>
              <w:right w:val="single" w:sz="4" w:space="0" w:color="auto"/>
            </w:tcBorders>
            <w:hideMark/>
          </w:tcPr>
          <w:p w14:paraId="692ED35E" w14:textId="5EE79A1D" w:rsidR="008B13C2" w:rsidRPr="008E3C0B" w:rsidRDefault="00265AA2" w:rsidP="00C209CD">
            <w:pPr>
              <w:rPr>
                <w:rFonts w:ascii="Times New Roman" w:hAnsi="Times New Roman" w:cs="Times New Roman"/>
                <w:szCs w:val="24"/>
              </w:rPr>
            </w:pPr>
            <w:r w:rsidRPr="008E3C0B">
              <w:rPr>
                <w:rFonts w:ascii="Times New Roman" w:hAnsi="Times New Roman" w:cs="Times New Roman"/>
                <w:szCs w:val="24"/>
              </w:rPr>
              <w:t>resolved (i.e., most current rating decision is accurate, corporate record was corrected, and the Veteran was notified, if applicable)</w:t>
            </w:r>
          </w:p>
        </w:tc>
        <w:tc>
          <w:tcPr>
            <w:tcW w:w="3780" w:type="dxa"/>
            <w:tcBorders>
              <w:top w:val="single" w:sz="4" w:space="0" w:color="auto"/>
              <w:left w:val="single" w:sz="4" w:space="0" w:color="auto"/>
              <w:bottom w:val="single" w:sz="4" w:space="0" w:color="auto"/>
              <w:right w:val="single" w:sz="4" w:space="0" w:color="auto"/>
            </w:tcBorders>
            <w:hideMark/>
          </w:tcPr>
          <w:p w14:paraId="6F09DBA3" w14:textId="77777777" w:rsidR="006A34DB" w:rsidRPr="008E3C0B" w:rsidRDefault="00937559" w:rsidP="008B13C2">
            <w:pPr>
              <w:pStyle w:val="ListParagraph"/>
              <w:numPr>
                <w:ilvl w:val="0"/>
                <w:numId w:val="21"/>
              </w:numPr>
              <w:ind w:left="158" w:hanging="187"/>
              <w:rPr>
                <w:rFonts w:ascii="Times New Roman" w:hAnsi="Times New Roman" w:cs="Times New Roman"/>
                <w:szCs w:val="24"/>
              </w:rPr>
            </w:pPr>
            <w:r w:rsidRPr="008E3C0B">
              <w:rPr>
                <w:rFonts w:ascii="Times New Roman" w:hAnsi="Times New Roman" w:cs="Times New Roman"/>
                <w:szCs w:val="24"/>
              </w:rPr>
              <w:t>c</w:t>
            </w:r>
            <w:r w:rsidR="008B13C2" w:rsidRPr="008E3C0B">
              <w:rPr>
                <w:rFonts w:ascii="Times New Roman" w:hAnsi="Times New Roman" w:cs="Times New Roman"/>
                <w:szCs w:val="24"/>
              </w:rPr>
              <w:t>ancel the work item or EP 684</w:t>
            </w:r>
          </w:p>
          <w:p w14:paraId="446FA9CB" w14:textId="5F3E52D4" w:rsidR="008B13C2" w:rsidRPr="008E3C0B" w:rsidRDefault="006A34DB" w:rsidP="008B13C2">
            <w:pPr>
              <w:pStyle w:val="ListParagraph"/>
              <w:numPr>
                <w:ilvl w:val="0"/>
                <w:numId w:val="21"/>
              </w:numPr>
              <w:ind w:left="158" w:hanging="187"/>
              <w:rPr>
                <w:rFonts w:ascii="Times New Roman" w:hAnsi="Times New Roman" w:cs="Times New Roman"/>
                <w:szCs w:val="24"/>
              </w:rPr>
            </w:pPr>
            <w:r w:rsidRPr="008E3C0B">
              <w:rPr>
                <w:rFonts w:ascii="Times New Roman" w:hAnsi="Times New Roman" w:cs="Times New Roman"/>
                <w:szCs w:val="24"/>
              </w:rPr>
              <w:t>add a note in VBMS explaining why no action was necessary</w:t>
            </w:r>
            <w:r w:rsidR="008B13C2" w:rsidRPr="008E3C0B">
              <w:rPr>
                <w:rFonts w:ascii="Times New Roman" w:hAnsi="Times New Roman" w:cs="Times New Roman"/>
                <w:szCs w:val="24"/>
              </w:rPr>
              <w:t>, and</w:t>
            </w:r>
          </w:p>
          <w:p w14:paraId="0AD1B920" w14:textId="5DBA25EF" w:rsidR="008B13C2" w:rsidRPr="008E3C0B" w:rsidRDefault="00937559" w:rsidP="00937559">
            <w:pPr>
              <w:pStyle w:val="ListParagraph"/>
              <w:numPr>
                <w:ilvl w:val="0"/>
                <w:numId w:val="21"/>
              </w:numPr>
              <w:ind w:left="158" w:hanging="187"/>
              <w:rPr>
                <w:rFonts w:ascii="Times New Roman" w:hAnsi="Times New Roman" w:cs="Times New Roman"/>
                <w:szCs w:val="24"/>
              </w:rPr>
            </w:pPr>
            <w:proofErr w:type="gramStart"/>
            <w:r w:rsidRPr="008E3C0B">
              <w:rPr>
                <w:rFonts w:ascii="Times New Roman" w:hAnsi="Times New Roman" w:cs="Times New Roman"/>
                <w:szCs w:val="24"/>
              </w:rPr>
              <w:t>take</w:t>
            </w:r>
            <w:proofErr w:type="gramEnd"/>
            <w:r w:rsidRPr="008E3C0B">
              <w:rPr>
                <w:rFonts w:ascii="Times New Roman" w:hAnsi="Times New Roman" w:cs="Times New Roman"/>
                <w:szCs w:val="24"/>
              </w:rPr>
              <w:t xml:space="preserve"> </w:t>
            </w:r>
            <w:r w:rsidR="008B13C2" w:rsidRPr="008E3C0B">
              <w:rPr>
                <w:rFonts w:ascii="Times New Roman" w:hAnsi="Times New Roman" w:cs="Times New Roman"/>
                <w:szCs w:val="24"/>
              </w:rPr>
              <w:t>no further action.</w:t>
            </w:r>
          </w:p>
        </w:tc>
      </w:tr>
      <w:tr w:rsidR="008B13C2" w:rsidRPr="008E3C0B" w14:paraId="02910EBC" w14:textId="77777777" w:rsidTr="008B13C2">
        <w:tc>
          <w:tcPr>
            <w:tcW w:w="3870" w:type="dxa"/>
            <w:tcBorders>
              <w:top w:val="single" w:sz="4" w:space="0" w:color="auto"/>
              <w:left w:val="single" w:sz="4" w:space="0" w:color="auto"/>
              <w:bottom w:val="single" w:sz="4" w:space="0" w:color="auto"/>
              <w:right w:val="single" w:sz="4" w:space="0" w:color="auto"/>
            </w:tcBorders>
            <w:hideMark/>
          </w:tcPr>
          <w:p w14:paraId="64AA796F" w14:textId="77777777" w:rsidR="008B13C2" w:rsidRPr="008E3C0B" w:rsidRDefault="008B13C2">
            <w:pPr>
              <w:rPr>
                <w:rFonts w:ascii="Times New Roman" w:hAnsi="Times New Roman" w:cs="Times New Roman"/>
                <w:szCs w:val="24"/>
              </w:rPr>
            </w:pPr>
            <w:r w:rsidRPr="008E3C0B">
              <w:rPr>
                <w:rFonts w:ascii="Times New Roman" w:hAnsi="Times New Roman" w:cs="Times New Roman"/>
                <w:szCs w:val="24"/>
              </w:rPr>
              <w:t>not resolved and there is a work item</w:t>
            </w:r>
          </w:p>
        </w:tc>
        <w:tc>
          <w:tcPr>
            <w:tcW w:w="3780" w:type="dxa"/>
            <w:tcBorders>
              <w:top w:val="single" w:sz="4" w:space="0" w:color="auto"/>
              <w:left w:val="single" w:sz="4" w:space="0" w:color="auto"/>
              <w:bottom w:val="single" w:sz="4" w:space="0" w:color="auto"/>
              <w:right w:val="single" w:sz="4" w:space="0" w:color="auto"/>
            </w:tcBorders>
            <w:hideMark/>
          </w:tcPr>
          <w:p w14:paraId="42C64429" w14:textId="66F225A5" w:rsidR="001966AC" w:rsidRPr="008E3C0B" w:rsidRDefault="001966AC" w:rsidP="008B13C2">
            <w:pPr>
              <w:pStyle w:val="ListParagraph"/>
              <w:numPr>
                <w:ilvl w:val="0"/>
                <w:numId w:val="22"/>
              </w:numPr>
              <w:ind w:left="158" w:hanging="187"/>
              <w:rPr>
                <w:rFonts w:ascii="Times New Roman" w:hAnsi="Times New Roman" w:cs="Times New Roman"/>
                <w:szCs w:val="24"/>
              </w:rPr>
            </w:pPr>
            <w:r w:rsidRPr="008E3C0B">
              <w:rPr>
                <w:rFonts w:ascii="Times New Roman" w:hAnsi="Times New Roman" w:cs="Times New Roman"/>
                <w:szCs w:val="24"/>
              </w:rPr>
              <w:t>if an examination is needed</w:t>
            </w:r>
          </w:p>
          <w:p w14:paraId="15DA3991" w14:textId="77777777" w:rsidR="001966AC" w:rsidRPr="008E3C0B" w:rsidRDefault="001966AC" w:rsidP="001966AC">
            <w:pPr>
              <w:pStyle w:val="ListParagraph"/>
              <w:numPr>
                <w:ilvl w:val="0"/>
                <w:numId w:val="25"/>
              </w:numPr>
              <w:ind w:left="346" w:hanging="187"/>
              <w:rPr>
                <w:rFonts w:ascii="Times New Roman" w:hAnsi="Times New Roman" w:cs="Times New Roman"/>
              </w:rPr>
            </w:pPr>
            <w:r w:rsidRPr="008E3C0B">
              <w:rPr>
                <w:rFonts w:ascii="Times New Roman" w:hAnsi="Times New Roman" w:cs="Times New Roman"/>
              </w:rPr>
              <w:t>clear the work item</w:t>
            </w:r>
          </w:p>
          <w:p w14:paraId="19B751D6" w14:textId="77777777" w:rsidR="001966AC" w:rsidRPr="008E3C0B" w:rsidRDefault="008B13C2" w:rsidP="001966AC">
            <w:pPr>
              <w:pStyle w:val="ListParagraph"/>
              <w:numPr>
                <w:ilvl w:val="0"/>
                <w:numId w:val="25"/>
              </w:numPr>
              <w:ind w:left="346" w:hanging="187"/>
              <w:rPr>
                <w:rFonts w:ascii="Times New Roman" w:hAnsi="Times New Roman" w:cs="Times New Roman"/>
              </w:rPr>
            </w:pPr>
            <w:r w:rsidRPr="008E3C0B">
              <w:rPr>
                <w:rFonts w:ascii="Times New Roman" w:hAnsi="Times New Roman" w:cs="Times New Roman"/>
              </w:rPr>
              <w:t>establish an EP 310 (with date of claim matching the date of the work item)</w:t>
            </w:r>
          </w:p>
          <w:p w14:paraId="04C622BF" w14:textId="192F5F0A" w:rsidR="008B13C2" w:rsidRPr="008E3C0B" w:rsidRDefault="001966AC" w:rsidP="001966AC">
            <w:pPr>
              <w:pStyle w:val="ListParagraph"/>
              <w:numPr>
                <w:ilvl w:val="0"/>
                <w:numId w:val="25"/>
              </w:numPr>
              <w:ind w:left="346" w:hanging="187"/>
              <w:rPr>
                <w:rFonts w:ascii="Times New Roman" w:hAnsi="Times New Roman" w:cs="Times New Roman"/>
              </w:rPr>
            </w:pPr>
            <w:r w:rsidRPr="008E3C0B">
              <w:rPr>
                <w:rFonts w:ascii="Times New Roman" w:hAnsi="Times New Roman" w:cs="Times New Roman"/>
              </w:rPr>
              <w:t>request the examination</w:t>
            </w:r>
            <w:r w:rsidR="008B13C2" w:rsidRPr="008E3C0B">
              <w:rPr>
                <w:rFonts w:ascii="Times New Roman" w:hAnsi="Times New Roman" w:cs="Times New Roman"/>
              </w:rPr>
              <w:t>, and</w:t>
            </w:r>
          </w:p>
          <w:p w14:paraId="0AA8D7EE" w14:textId="0A708E12" w:rsidR="001966AC" w:rsidRPr="008E3C0B" w:rsidRDefault="001966AC" w:rsidP="001966AC">
            <w:pPr>
              <w:pStyle w:val="ListParagraph"/>
              <w:numPr>
                <w:ilvl w:val="0"/>
                <w:numId w:val="25"/>
              </w:numPr>
              <w:ind w:left="346" w:hanging="187"/>
              <w:rPr>
                <w:rFonts w:ascii="Times New Roman" w:hAnsi="Times New Roman" w:cs="Times New Roman"/>
              </w:rPr>
            </w:pPr>
            <w:proofErr w:type="gramStart"/>
            <w:r w:rsidRPr="008E3C0B">
              <w:rPr>
                <w:rFonts w:ascii="Times New Roman" w:hAnsi="Times New Roman" w:cs="Times New Roman"/>
              </w:rPr>
              <w:t>complete</w:t>
            </w:r>
            <w:proofErr w:type="gramEnd"/>
            <w:r w:rsidRPr="008E3C0B">
              <w:rPr>
                <w:rFonts w:ascii="Times New Roman" w:hAnsi="Times New Roman" w:cs="Times New Roman"/>
              </w:rPr>
              <w:t xml:space="preserve"> the rating decision under the EP 310.</w:t>
            </w:r>
          </w:p>
          <w:p w14:paraId="3D0703EA" w14:textId="6BB684A3" w:rsidR="001966AC" w:rsidRPr="008E3C0B" w:rsidRDefault="00C209CD" w:rsidP="001966AC">
            <w:pPr>
              <w:pStyle w:val="ListParagraph"/>
              <w:numPr>
                <w:ilvl w:val="0"/>
                <w:numId w:val="22"/>
              </w:numPr>
              <w:ind w:left="158" w:hanging="187"/>
              <w:rPr>
                <w:rFonts w:ascii="Times New Roman" w:hAnsi="Times New Roman" w:cs="Times New Roman"/>
                <w:szCs w:val="24"/>
              </w:rPr>
            </w:pPr>
            <w:r w:rsidRPr="008E3C0B">
              <w:rPr>
                <w:rFonts w:ascii="Times New Roman" w:hAnsi="Times New Roman" w:cs="Times New Roman"/>
                <w:szCs w:val="24"/>
              </w:rPr>
              <w:t>i</w:t>
            </w:r>
            <w:r w:rsidR="001966AC" w:rsidRPr="008E3C0B">
              <w:rPr>
                <w:rFonts w:ascii="Times New Roman" w:hAnsi="Times New Roman" w:cs="Times New Roman"/>
                <w:szCs w:val="24"/>
              </w:rPr>
              <w:t xml:space="preserve">f an examination is </w:t>
            </w:r>
            <w:r w:rsidR="001966AC" w:rsidRPr="008E3C0B">
              <w:rPr>
                <w:rFonts w:ascii="Times New Roman" w:hAnsi="Times New Roman" w:cs="Times New Roman"/>
                <w:i/>
                <w:szCs w:val="24"/>
              </w:rPr>
              <w:t>not</w:t>
            </w:r>
            <w:r w:rsidR="001966AC" w:rsidRPr="008E3C0B">
              <w:rPr>
                <w:rFonts w:ascii="Times New Roman" w:hAnsi="Times New Roman" w:cs="Times New Roman"/>
                <w:szCs w:val="24"/>
              </w:rPr>
              <w:t xml:space="preserve"> needed</w:t>
            </w:r>
          </w:p>
          <w:p w14:paraId="2713832A" w14:textId="4EE80E31" w:rsidR="001966AC" w:rsidRPr="008E3C0B" w:rsidRDefault="00C209CD" w:rsidP="001966AC">
            <w:pPr>
              <w:pStyle w:val="ListParagraph"/>
              <w:numPr>
                <w:ilvl w:val="0"/>
                <w:numId w:val="26"/>
              </w:numPr>
              <w:ind w:left="346" w:hanging="187"/>
              <w:rPr>
                <w:rFonts w:ascii="Times New Roman" w:hAnsi="Times New Roman" w:cs="Times New Roman"/>
              </w:rPr>
            </w:pPr>
            <w:r w:rsidRPr="008E3C0B">
              <w:rPr>
                <w:rFonts w:ascii="Times New Roman" w:hAnsi="Times New Roman" w:cs="Times New Roman"/>
              </w:rPr>
              <w:t>c</w:t>
            </w:r>
            <w:r w:rsidR="001966AC" w:rsidRPr="008E3C0B">
              <w:rPr>
                <w:rFonts w:ascii="Times New Roman" w:hAnsi="Times New Roman" w:cs="Times New Roman"/>
              </w:rPr>
              <w:t>lear the work item</w:t>
            </w:r>
          </w:p>
          <w:p w14:paraId="495DCCF6" w14:textId="2C2CEF04" w:rsidR="001966AC" w:rsidRPr="008E3C0B" w:rsidRDefault="00C209CD" w:rsidP="001966AC">
            <w:pPr>
              <w:pStyle w:val="ListParagraph"/>
              <w:numPr>
                <w:ilvl w:val="0"/>
                <w:numId w:val="26"/>
              </w:numPr>
              <w:ind w:left="346" w:hanging="187"/>
              <w:rPr>
                <w:rFonts w:ascii="Times New Roman" w:hAnsi="Times New Roman" w:cs="Times New Roman"/>
              </w:rPr>
            </w:pPr>
            <w:r w:rsidRPr="008E3C0B">
              <w:rPr>
                <w:rFonts w:ascii="Times New Roman" w:hAnsi="Times New Roman" w:cs="Times New Roman"/>
              </w:rPr>
              <w:t>e</w:t>
            </w:r>
            <w:r w:rsidR="001966AC" w:rsidRPr="008E3C0B">
              <w:rPr>
                <w:rFonts w:ascii="Times New Roman" w:hAnsi="Times New Roman" w:cs="Times New Roman"/>
              </w:rPr>
              <w:t>stablish an EP 310</w:t>
            </w:r>
          </w:p>
          <w:p w14:paraId="598D567C" w14:textId="173845EB" w:rsidR="001966AC" w:rsidRPr="008E3C0B" w:rsidRDefault="00C209CD" w:rsidP="001966AC">
            <w:pPr>
              <w:pStyle w:val="ListParagraph"/>
              <w:numPr>
                <w:ilvl w:val="0"/>
                <w:numId w:val="26"/>
              </w:numPr>
              <w:ind w:left="346" w:hanging="187"/>
              <w:rPr>
                <w:rFonts w:ascii="Times New Roman" w:hAnsi="Times New Roman" w:cs="Times New Roman"/>
              </w:rPr>
            </w:pPr>
            <w:proofErr w:type="gramStart"/>
            <w:r w:rsidRPr="008E3C0B">
              <w:rPr>
                <w:rFonts w:ascii="Times New Roman" w:hAnsi="Times New Roman" w:cs="Times New Roman"/>
              </w:rPr>
              <w:t>c</w:t>
            </w:r>
            <w:r w:rsidR="001966AC" w:rsidRPr="008E3C0B">
              <w:rPr>
                <w:rFonts w:ascii="Times New Roman" w:hAnsi="Times New Roman" w:cs="Times New Roman"/>
              </w:rPr>
              <w:t>omplete</w:t>
            </w:r>
            <w:proofErr w:type="gramEnd"/>
            <w:r w:rsidR="001966AC" w:rsidRPr="008E3C0B">
              <w:rPr>
                <w:rFonts w:ascii="Times New Roman" w:hAnsi="Times New Roman" w:cs="Times New Roman"/>
              </w:rPr>
              <w:t xml:space="preserve"> a rating decision addressing eligibility to Chapter 35 benefits.</w:t>
            </w:r>
          </w:p>
          <w:p w14:paraId="402FBDCC" w14:textId="77777777" w:rsidR="001966AC" w:rsidRPr="008E3C0B" w:rsidRDefault="001966AC" w:rsidP="001966AC">
            <w:pPr>
              <w:pStyle w:val="ListParagraph"/>
              <w:ind w:left="158"/>
              <w:rPr>
                <w:rFonts w:ascii="Times New Roman" w:hAnsi="Times New Roman" w:cs="Times New Roman"/>
                <w:szCs w:val="24"/>
              </w:rPr>
            </w:pPr>
          </w:p>
        </w:tc>
      </w:tr>
      <w:tr w:rsidR="008B13C2" w:rsidRPr="008E3C0B" w14:paraId="5560D2C1" w14:textId="77777777" w:rsidTr="008B13C2">
        <w:tc>
          <w:tcPr>
            <w:tcW w:w="3870" w:type="dxa"/>
            <w:tcBorders>
              <w:top w:val="single" w:sz="4" w:space="0" w:color="auto"/>
              <w:left w:val="single" w:sz="4" w:space="0" w:color="auto"/>
              <w:bottom w:val="single" w:sz="4" w:space="0" w:color="auto"/>
              <w:right w:val="single" w:sz="4" w:space="0" w:color="auto"/>
            </w:tcBorders>
            <w:hideMark/>
          </w:tcPr>
          <w:p w14:paraId="11EEEAB0" w14:textId="329BAFE2" w:rsidR="008B13C2" w:rsidRPr="008E3C0B" w:rsidRDefault="008B13C2">
            <w:pPr>
              <w:rPr>
                <w:rFonts w:ascii="Times New Roman" w:hAnsi="Times New Roman" w:cs="Times New Roman"/>
                <w:szCs w:val="24"/>
              </w:rPr>
            </w:pPr>
            <w:r w:rsidRPr="008E3C0B">
              <w:rPr>
                <w:rFonts w:ascii="Times New Roman" w:hAnsi="Times New Roman" w:cs="Times New Roman"/>
                <w:szCs w:val="24"/>
              </w:rPr>
              <w:t>not resolved and there is an EP 684 pending</w:t>
            </w:r>
          </w:p>
        </w:tc>
        <w:tc>
          <w:tcPr>
            <w:tcW w:w="3780" w:type="dxa"/>
            <w:tcBorders>
              <w:top w:val="single" w:sz="4" w:space="0" w:color="auto"/>
              <w:left w:val="single" w:sz="4" w:space="0" w:color="auto"/>
              <w:bottom w:val="single" w:sz="4" w:space="0" w:color="auto"/>
              <w:right w:val="single" w:sz="4" w:space="0" w:color="auto"/>
            </w:tcBorders>
            <w:hideMark/>
          </w:tcPr>
          <w:p w14:paraId="2303376A" w14:textId="77777777" w:rsidR="00C209CD" w:rsidRPr="008E3C0B" w:rsidRDefault="00C209CD" w:rsidP="00C209CD">
            <w:pPr>
              <w:pStyle w:val="ListParagraph"/>
              <w:numPr>
                <w:ilvl w:val="0"/>
                <w:numId w:val="22"/>
              </w:numPr>
              <w:ind w:left="158" w:hanging="187"/>
              <w:rPr>
                <w:rFonts w:ascii="Times New Roman" w:hAnsi="Times New Roman" w:cs="Times New Roman"/>
                <w:szCs w:val="24"/>
              </w:rPr>
            </w:pPr>
            <w:r w:rsidRPr="008E3C0B">
              <w:rPr>
                <w:rFonts w:ascii="Times New Roman" w:hAnsi="Times New Roman" w:cs="Times New Roman"/>
                <w:szCs w:val="24"/>
              </w:rPr>
              <w:t>if an examination is needed</w:t>
            </w:r>
          </w:p>
          <w:p w14:paraId="429AC857" w14:textId="77777777" w:rsidR="006F43D7" w:rsidRPr="008E3C0B" w:rsidRDefault="00C209CD" w:rsidP="00C209CD">
            <w:pPr>
              <w:pStyle w:val="ListParagraph"/>
              <w:numPr>
                <w:ilvl w:val="0"/>
                <w:numId w:val="25"/>
              </w:numPr>
              <w:ind w:left="346" w:hanging="187"/>
              <w:rPr>
                <w:rFonts w:ascii="Times New Roman" w:hAnsi="Times New Roman" w:cs="Times New Roman"/>
                <w:szCs w:val="24"/>
              </w:rPr>
            </w:pPr>
            <w:r w:rsidRPr="008E3C0B">
              <w:rPr>
                <w:rFonts w:ascii="Times New Roman" w:hAnsi="Times New Roman" w:cs="Times New Roman"/>
                <w:szCs w:val="24"/>
              </w:rPr>
              <w:t>request the examination,</w:t>
            </w:r>
          </w:p>
          <w:p w14:paraId="26D41D29" w14:textId="120DA11E" w:rsidR="00C209CD" w:rsidRPr="008E3C0B" w:rsidRDefault="006F43D7" w:rsidP="00C209CD">
            <w:pPr>
              <w:pStyle w:val="ListParagraph"/>
              <w:numPr>
                <w:ilvl w:val="0"/>
                <w:numId w:val="25"/>
              </w:numPr>
              <w:ind w:left="346" w:hanging="187"/>
              <w:rPr>
                <w:rFonts w:ascii="Times New Roman" w:hAnsi="Times New Roman" w:cs="Times New Roman"/>
                <w:szCs w:val="24"/>
              </w:rPr>
            </w:pPr>
            <w:r w:rsidRPr="008E3C0B">
              <w:rPr>
                <w:rFonts w:ascii="Times New Roman" w:hAnsi="Times New Roman" w:cs="Times New Roman"/>
                <w:szCs w:val="24"/>
              </w:rPr>
              <w:t>keep the EP 684 pending,</w:t>
            </w:r>
            <w:r w:rsidR="00C209CD" w:rsidRPr="008E3C0B">
              <w:rPr>
                <w:rFonts w:ascii="Times New Roman" w:hAnsi="Times New Roman" w:cs="Times New Roman"/>
                <w:szCs w:val="24"/>
              </w:rPr>
              <w:t xml:space="preserve"> and</w:t>
            </w:r>
          </w:p>
          <w:p w14:paraId="326F73E1" w14:textId="10F8261A" w:rsidR="00C209CD" w:rsidRPr="008E3C0B" w:rsidRDefault="00C209CD" w:rsidP="00C209CD">
            <w:pPr>
              <w:pStyle w:val="ListParagraph"/>
              <w:numPr>
                <w:ilvl w:val="0"/>
                <w:numId w:val="25"/>
              </w:numPr>
              <w:ind w:left="346" w:hanging="187"/>
              <w:rPr>
                <w:rFonts w:ascii="Times New Roman" w:hAnsi="Times New Roman" w:cs="Times New Roman"/>
                <w:szCs w:val="24"/>
              </w:rPr>
            </w:pPr>
            <w:proofErr w:type="gramStart"/>
            <w:r w:rsidRPr="008E3C0B">
              <w:rPr>
                <w:rFonts w:ascii="Times New Roman" w:hAnsi="Times New Roman" w:cs="Times New Roman"/>
                <w:szCs w:val="24"/>
              </w:rPr>
              <w:t>complete</w:t>
            </w:r>
            <w:proofErr w:type="gramEnd"/>
            <w:r w:rsidRPr="008E3C0B">
              <w:rPr>
                <w:rFonts w:ascii="Times New Roman" w:hAnsi="Times New Roman" w:cs="Times New Roman"/>
                <w:szCs w:val="24"/>
              </w:rPr>
              <w:t xml:space="preserve"> the rating decision under the EP </w:t>
            </w:r>
            <w:r w:rsidR="006F43D7" w:rsidRPr="008E3C0B">
              <w:rPr>
                <w:rFonts w:ascii="Times New Roman" w:hAnsi="Times New Roman" w:cs="Times New Roman"/>
                <w:szCs w:val="24"/>
              </w:rPr>
              <w:t>684</w:t>
            </w:r>
            <w:r w:rsidRPr="008E3C0B">
              <w:rPr>
                <w:rFonts w:ascii="Times New Roman" w:hAnsi="Times New Roman" w:cs="Times New Roman"/>
                <w:szCs w:val="24"/>
              </w:rPr>
              <w:t>.</w:t>
            </w:r>
          </w:p>
          <w:p w14:paraId="15AE11BF" w14:textId="6F07F53C" w:rsidR="008B13C2" w:rsidRPr="008E3C0B" w:rsidRDefault="006F43D7" w:rsidP="006F43D7">
            <w:pPr>
              <w:pStyle w:val="ListParagraph"/>
              <w:numPr>
                <w:ilvl w:val="0"/>
                <w:numId w:val="23"/>
              </w:numPr>
              <w:ind w:left="158" w:hanging="187"/>
              <w:rPr>
                <w:rFonts w:ascii="Times New Roman" w:hAnsi="Times New Roman" w:cs="Times New Roman"/>
                <w:szCs w:val="24"/>
              </w:rPr>
            </w:pPr>
            <w:r w:rsidRPr="008E3C0B">
              <w:rPr>
                <w:rFonts w:ascii="Times New Roman" w:hAnsi="Times New Roman" w:cs="Times New Roman"/>
                <w:szCs w:val="24"/>
              </w:rPr>
              <w:t xml:space="preserve">If an examination is </w:t>
            </w:r>
            <w:r w:rsidRPr="008E3C0B">
              <w:rPr>
                <w:rFonts w:ascii="Times New Roman" w:hAnsi="Times New Roman" w:cs="Times New Roman"/>
                <w:i/>
                <w:szCs w:val="24"/>
              </w:rPr>
              <w:t>not</w:t>
            </w:r>
            <w:r w:rsidRPr="008E3C0B">
              <w:rPr>
                <w:rFonts w:ascii="Times New Roman" w:hAnsi="Times New Roman" w:cs="Times New Roman"/>
                <w:szCs w:val="24"/>
              </w:rPr>
              <w:t xml:space="preserve"> needed</w:t>
            </w:r>
          </w:p>
          <w:p w14:paraId="51EB9285" w14:textId="3B5FA6E0" w:rsidR="008B13C2" w:rsidRPr="008E3C0B" w:rsidRDefault="008B13C2" w:rsidP="006F43D7">
            <w:pPr>
              <w:pStyle w:val="ListParagraph"/>
              <w:numPr>
                <w:ilvl w:val="0"/>
                <w:numId w:val="29"/>
              </w:numPr>
              <w:ind w:left="346" w:hanging="187"/>
              <w:rPr>
                <w:rFonts w:ascii="Times New Roman" w:hAnsi="Times New Roman" w:cs="Times New Roman"/>
                <w:szCs w:val="24"/>
              </w:rPr>
            </w:pPr>
            <w:proofErr w:type="gramStart"/>
            <w:r w:rsidRPr="008E3C0B">
              <w:rPr>
                <w:rFonts w:ascii="Times New Roman" w:hAnsi="Times New Roman" w:cs="Times New Roman"/>
                <w:szCs w:val="24"/>
              </w:rPr>
              <w:t>complete</w:t>
            </w:r>
            <w:proofErr w:type="gramEnd"/>
            <w:r w:rsidRPr="008E3C0B">
              <w:rPr>
                <w:rFonts w:ascii="Times New Roman" w:hAnsi="Times New Roman" w:cs="Times New Roman"/>
                <w:szCs w:val="24"/>
              </w:rPr>
              <w:t xml:space="preserve"> </w:t>
            </w:r>
            <w:r w:rsidR="006F43D7" w:rsidRPr="008E3C0B">
              <w:rPr>
                <w:rFonts w:ascii="Times New Roman" w:hAnsi="Times New Roman" w:cs="Times New Roman"/>
                <w:szCs w:val="24"/>
              </w:rPr>
              <w:t>a</w:t>
            </w:r>
            <w:r w:rsidRPr="008E3C0B">
              <w:rPr>
                <w:rFonts w:ascii="Times New Roman" w:hAnsi="Times New Roman" w:cs="Times New Roman"/>
                <w:szCs w:val="24"/>
              </w:rPr>
              <w:t xml:space="preserve"> rating decision </w:t>
            </w:r>
            <w:r w:rsidR="006F43D7" w:rsidRPr="008E3C0B">
              <w:rPr>
                <w:rFonts w:ascii="Times New Roman" w:hAnsi="Times New Roman" w:cs="Times New Roman"/>
                <w:szCs w:val="24"/>
              </w:rPr>
              <w:t>addressing eligibility to Chapter 35 benefits under the EP 684</w:t>
            </w:r>
            <w:r w:rsidRPr="008E3C0B">
              <w:rPr>
                <w:rFonts w:ascii="Times New Roman" w:hAnsi="Times New Roman" w:cs="Times New Roman"/>
                <w:szCs w:val="24"/>
              </w:rPr>
              <w:t>.</w:t>
            </w:r>
          </w:p>
        </w:tc>
      </w:tr>
    </w:tbl>
    <w:p w14:paraId="72716B54" w14:textId="16A20850" w:rsidR="008B13C2" w:rsidRPr="008E3C0B" w:rsidRDefault="008B13C2" w:rsidP="008B13C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8B13C2" w:rsidRPr="001966AC" w14:paraId="16DA0172" w14:textId="77777777" w:rsidTr="008B13C2">
        <w:tc>
          <w:tcPr>
            <w:tcW w:w="7740" w:type="dxa"/>
            <w:shd w:val="clear" w:color="auto" w:fill="auto"/>
          </w:tcPr>
          <w:p w14:paraId="5E1C93D0" w14:textId="327A2C94" w:rsidR="008B13C2" w:rsidRPr="008E3C0B" w:rsidRDefault="008B13C2" w:rsidP="008B13C2">
            <w:r w:rsidRPr="008E3C0B">
              <w:rPr>
                <w:b/>
                <w:i/>
              </w:rPr>
              <w:lastRenderedPageBreak/>
              <w:t>Note</w:t>
            </w:r>
            <w:r w:rsidR="00887892" w:rsidRPr="008E3C0B">
              <w:rPr>
                <w:b/>
                <w:i/>
              </w:rPr>
              <w:t>s</w:t>
            </w:r>
            <w:r w:rsidRPr="008E3C0B">
              <w:t xml:space="preserve">:  </w:t>
            </w:r>
          </w:p>
          <w:p w14:paraId="390DE23A" w14:textId="0DC14406" w:rsidR="00887892" w:rsidRPr="008E3C0B" w:rsidRDefault="00887892" w:rsidP="00B24F39">
            <w:pPr>
              <w:numPr>
                <w:ilvl w:val="0"/>
                <w:numId w:val="24"/>
              </w:numPr>
              <w:spacing w:line="276" w:lineRule="auto"/>
              <w:ind w:left="158" w:hanging="187"/>
              <w:contextualSpacing/>
              <w:rPr>
                <w:rFonts w:eastAsia="Calibri"/>
                <w:szCs w:val="24"/>
              </w:rPr>
            </w:pPr>
            <w:r w:rsidRPr="008E3C0B">
              <w:rPr>
                <w:rFonts w:eastAsia="Calibri"/>
                <w:szCs w:val="24"/>
              </w:rPr>
              <w:t>Clearing both an EP 684 and an EP 310 is not allowed to address the review exam issue for the same condition within the same timeframe.</w:t>
            </w:r>
            <w:r w:rsidR="006A34DB" w:rsidRPr="008E3C0B">
              <w:rPr>
                <w:rFonts w:eastAsia="Calibri"/>
                <w:szCs w:val="24"/>
              </w:rPr>
              <w:t xml:space="preserve">  In situations where both a work item and an EP 684 are pending for the same exam review, due to a lag in batch processing</w:t>
            </w:r>
            <w:r w:rsidR="00B24F39" w:rsidRPr="008E3C0B">
              <w:rPr>
                <w:rFonts w:eastAsia="Calibri"/>
                <w:szCs w:val="24"/>
              </w:rPr>
              <w:t>, follow the guidance below</w:t>
            </w:r>
          </w:p>
          <w:p w14:paraId="773A0CE4" w14:textId="01D0B42D" w:rsidR="006A34DB" w:rsidRPr="008E3C0B" w:rsidRDefault="006A34DB" w:rsidP="00B24F39">
            <w:pPr>
              <w:pStyle w:val="ListParagraph"/>
              <w:numPr>
                <w:ilvl w:val="0"/>
                <w:numId w:val="31"/>
              </w:numPr>
              <w:ind w:left="346" w:hanging="187"/>
              <w:rPr>
                <w:rFonts w:eastAsia="Calibri"/>
              </w:rPr>
            </w:pPr>
            <w:r w:rsidRPr="008E3C0B">
              <w:rPr>
                <w:rFonts w:eastAsia="Calibri"/>
              </w:rPr>
              <w:t xml:space="preserve">If the work item </w:t>
            </w:r>
            <w:r w:rsidR="00B24F39" w:rsidRPr="008E3C0B">
              <w:rPr>
                <w:rFonts w:eastAsia="Calibri"/>
              </w:rPr>
              <w:t>was pending first, cancel the EP 684, clear the work item, and establish the EP 310 (if not already established)</w:t>
            </w:r>
          </w:p>
          <w:p w14:paraId="19FDA39B" w14:textId="20EB3806" w:rsidR="00B24F39" w:rsidRPr="008E3C0B" w:rsidRDefault="00B24F39" w:rsidP="006A34DB">
            <w:pPr>
              <w:pStyle w:val="ListParagraph"/>
              <w:numPr>
                <w:ilvl w:val="0"/>
                <w:numId w:val="31"/>
              </w:numPr>
              <w:ind w:left="346" w:hanging="187"/>
              <w:rPr>
                <w:rFonts w:eastAsia="Calibri"/>
              </w:rPr>
            </w:pPr>
            <w:r w:rsidRPr="008E3C0B">
              <w:rPr>
                <w:rFonts w:eastAsia="Calibri"/>
              </w:rPr>
              <w:t>If the EP 684 was pending first, cancel the work item and any related EP 310 that might have been established, and control completion of the review under the EP 684.</w:t>
            </w:r>
          </w:p>
          <w:p w14:paraId="64AC8F67" w14:textId="77777777" w:rsidR="00887892" w:rsidRPr="008E3C0B" w:rsidRDefault="00887892" w:rsidP="00887892">
            <w:pPr>
              <w:numPr>
                <w:ilvl w:val="0"/>
                <w:numId w:val="24"/>
              </w:numPr>
              <w:spacing w:after="200" w:line="276" w:lineRule="auto"/>
              <w:ind w:left="158" w:hanging="187"/>
              <w:contextualSpacing/>
              <w:rPr>
                <w:rFonts w:eastAsia="Calibri"/>
                <w:szCs w:val="24"/>
              </w:rPr>
            </w:pPr>
            <w:r w:rsidRPr="008E3C0B">
              <w:rPr>
                <w:rFonts w:eastAsia="Calibri"/>
                <w:szCs w:val="24"/>
              </w:rPr>
              <w:t>A rating decision is needed whenever permanency is established, whether the permanency is based on new evidence and/or cancellation of a future examination.</w:t>
            </w:r>
          </w:p>
          <w:p w14:paraId="4D085632" w14:textId="56B370E7" w:rsidR="00887892" w:rsidRPr="008E3C0B" w:rsidRDefault="00887892" w:rsidP="00293EB2">
            <w:pPr>
              <w:spacing w:after="200" w:line="276" w:lineRule="auto"/>
              <w:ind w:left="158"/>
              <w:contextualSpacing/>
              <w:rPr>
                <w:rFonts w:eastAsia="Calibri"/>
                <w:szCs w:val="24"/>
              </w:rPr>
            </w:pPr>
            <w:r w:rsidRPr="008E3C0B">
              <w:rPr>
                <w:rFonts w:eastAsia="Calibri"/>
                <w:szCs w:val="24"/>
              </w:rPr>
              <w:t>Notification to the Veteran should be accomplished whenever Chapter 35 is granted for the first time.</w:t>
            </w:r>
          </w:p>
          <w:p w14:paraId="3CFF35FE" w14:textId="77777777" w:rsidR="00293EB2" w:rsidRPr="008E3C0B" w:rsidRDefault="00293EB2" w:rsidP="00293EB2">
            <w:pPr>
              <w:spacing w:after="200" w:line="276" w:lineRule="auto"/>
              <w:ind w:left="158"/>
              <w:contextualSpacing/>
              <w:rPr>
                <w:rFonts w:eastAsia="Calibri"/>
                <w:szCs w:val="24"/>
              </w:rPr>
            </w:pPr>
          </w:p>
          <w:p w14:paraId="17C25F98" w14:textId="6685956B" w:rsidR="00887892" w:rsidRPr="001966AC" w:rsidRDefault="00887892" w:rsidP="00293EB2">
            <w:r w:rsidRPr="008E3C0B">
              <w:rPr>
                <w:rFonts w:eastAsia="Calibri"/>
                <w:b/>
                <w:i/>
                <w:szCs w:val="24"/>
              </w:rPr>
              <w:t>Reference</w:t>
            </w:r>
            <w:r w:rsidRPr="008E3C0B">
              <w:rPr>
                <w:rFonts w:eastAsia="Calibri"/>
                <w:szCs w:val="24"/>
              </w:rPr>
              <w:t>:  For more information on rating considerations under Chapter 35, see M21-1, Part IX, Subpart ii, 2.1.</w:t>
            </w:r>
            <w:bookmarkStart w:id="10" w:name="_GoBack"/>
            <w:bookmarkEnd w:id="10"/>
          </w:p>
        </w:tc>
      </w:tr>
    </w:tbl>
    <w:p w14:paraId="16F7942E" w14:textId="08091B79" w:rsidR="008B13C2" w:rsidRPr="001966AC" w:rsidRDefault="008B13C2" w:rsidP="008B13C2">
      <w:pPr>
        <w:tabs>
          <w:tab w:val="left" w:pos="9360"/>
        </w:tabs>
        <w:ind w:left="1714"/>
      </w:pPr>
      <w:r w:rsidRPr="001966AC">
        <w:rPr>
          <w:u w:val="single"/>
        </w:rPr>
        <w:tab/>
      </w:r>
    </w:p>
    <w:p w14:paraId="419CAD99" w14:textId="77777777" w:rsidR="008B13C2" w:rsidRPr="001966AC" w:rsidRDefault="008B13C2" w:rsidP="008B13C2"/>
    <w:sectPr w:rsidR="008B13C2" w:rsidRPr="001966AC" w:rsidSect="009B4C74">
      <w:headerReference w:type="even" r:id="rId19"/>
      <w:headerReference w:type="default" r:id="rId20"/>
      <w:footerReference w:type="even"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863A7" w14:textId="77777777" w:rsidR="003F71B8" w:rsidRDefault="003F71B8">
      <w:r>
        <w:separator/>
      </w:r>
    </w:p>
  </w:endnote>
  <w:endnote w:type="continuationSeparator" w:id="0">
    <w:p w14:paraId="6810B7AD" w14:textId="77777777" w:rsidR="003F71B8" w:rsidRDefault="003F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9A9A" w14:textId="751C5114" w:rsidR="00F9265F" w:rsidRDefault="00F9265F">
    <w:pPr>
      <w:pStyle w:val="Footer"/>
      <w:tabs>
        <w:tab w:val="clear" w:pos="8640"/>
        <w:tab w:val="left" w:pos="0"/>
        <w:tab w:val="right" w:pos="9274"/>
      </w:tabs>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9A9B" w14:textId="1D700F38" w:rsidR="00F9265F" w:rsidRDefault="00F9265F">
    <w:pPr>
      <w:pStyle w:val="Footer"/>
      <w:tabs>
        <w:tab w:val="clear" w:pos="8640"/>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0444" w14:textId="77777777" w:rsidR="003F71B8" w:rsidRDefault="003F71B8">
      <w:r>
        <w:separator/>
      </w:r>
    </w:p>
  </w:footnote>
  <w:footnote w:type="continuationSeparator" w:id="0">
    <w:p w14:paraId="4E2B344C" w14:textId="77777777" w:rsidR="003F71B8" w:rsidRDefault="003F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9A98" w14:textId="69B231A4" w:rsidR="00F9265F" w:rsidRDefault="00F9265F">
    <w:pPr>
      <w:pStyle w:val="Header"/>
      <w:tabs>
        <w:tab w:val="clear" w:pos="4320"/>
        <w:tab w:val="clear" w:pos="8640"/>
        <w:tab w:val="center" w:pos="4680"/>
        <w:tab w:val="right" w:pos="9360"/>
      </w:tabs>
    </w:pPr>
    <w:r>
      <w:rPr>
        <w:b/>
        <w:sz w:val="20"/>
      </w:rPr>
      <w:t>M21-1, Part III, Subpart iv, Chapter 3, Section C</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9A99" w14:textId="6AB62B90" w:rsidR="00F9265F" w:rsidRDefault="00F9265F">
    <w:pPr>
      <w:pStyle w:val="Header"/>
      <w:tabs>
        <w:tab w:val="clear" w:pos="4320"/>
        <w:tab w:val="clear" w:pos="8640"/>
        <w:tab w:val="center" w:pos="4680"/>
        <w:tab w:val="right" w:pos="9360"/>
      </w:tabs>
    </w:pPr>
    <w:r>
      <w:rPr>
        <w:b/>
        <w:sz w:val="20"/>
      </w:rPr>
      <w:tab/>
    </w:r>
    <w:r>
      <w:rPr>
        <w:b/>
        <w:sz w:val="20"/>
      </w:rPr>
      <w:tab/>
      <w:t>M21-1, Part III, Subpart iv, Chapter 3, Section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7CB"/>
    <w:multiLevelType w:val="hybridMultilevel"/>
    <w:tmpl w:val="D6A06A70"/>
    <w:lvl w:ilvl="0" w:tplc="DF6CF3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319AD"/>
    <w:multiLevelType w:val="hybridMultilevel"/>
    <w:tmpl w:val="86CA69F0"/>
    <w:lvl w:ilvl="0" w:tplc="3160A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3E6F3F"/>
    <w:multiLevelType w:val="hybridMultilevel"/>
    <w:tmpl w:val="1B76FB26"/>
    <w:lvl w:ilvl="0" w:tplc="B7C69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B0592"/>
    <w:multiLevelType w:val="hybridMultilevel"/>
    <w:tmpl w:val="ADFC0F58"/>
    <w:lvl w:ilvl="0" w:tplc="B178F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C3508"/>
    <w:multiLevelType w:val="hybridMultilevel"/>
    <w:tmpl w:val="5FBC4D2E"/>
    <w:lvl w:ilvl="0" w:tplc="3160A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41BB7"/>
    <w:multiLevelType w:val="hybridMultilevel"/>
    <w:tmpl w:val="472E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C28D0"/>
    <w:multiLevelType w:val="hybridMultilevel"/>
    <w:tmpl w:val="E6B2D186"/>
    <w:lvl w:ilvl="0" w:tplc="3160A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35256B"/>
    <w:multiLevelType w:val="hybridMultilevel"/>
    <w:tmpl w:val="7A2C55CC"/>
    <w:lvl w:ilvl="0" w:tplc="C2B062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E52C2"/>
    <w:multiLevelType w:val="hybridMultilevel"/>
    <w:tmpl w:val="6CE2B0C4"/>
    <w:lvl w:ilvl="0" w:tplc="C8B20CAA">
      <w:start w:val="1"/>
      <w:numFmt w:val="bullet"/>
      <w:lvlRestart w:val="0"/>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2252008"/>
    <w:multiLevelType w:val="hybridMultilevel"/>
    <w:tmpl w:val="341C6E3A"/>
    <w:lvl w:ilvl="0" w:tplc="60ECCB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F28B2"/>
    <w:multiLevelType w:val="hybridMultilevel"/>
    <w:tmpl w:val="C8AAB4BC"/>
    <w:lvl w:ilvl="0" w:tplc="60ECCB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F4C5B"/>
    <w:multiLevelType w:val="hybridMultilevel"/>
    <w:tmpl w:val="FFCC026E"/>
    <w:lvl w:ilvl="0" w:tplc="3160A92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0892865"/>
    <w:multiLevelType w:val="hybridMultilevel"/>
    <w:tmpl w:val="A8822F4C"/>
    <w:lvl w:ilvl="0" w:tplc="3160A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EF6B80"/>
    <w:multiLevelType w:val="hybridMultilevel"/>
    <w:tmpl w:val="C56C3A04"/>
    <w:lvl w:ilvl="0" w:tplc="B2F4B6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D4C80"/>
    <w:multiLevelType w:val="hybridMultilevel"/>
    <w:tmpl w:val="240E9344"/>
    <w:lvl w:ilvl="0" w:tplc="B7C69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F165D"/>
    <w:multiLevelType w:val="hybridMultilevel"/>
    <w:tmpl w:val="4A7AB9DA"/>
    <w:lvl w:ilvl="0" w:tplc="B178F7A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6B97CA8"/>
    <w:multiLevelType w:val="hybridMultilevel"/>
    <w:tmpl w:val="FF0C3232"/>
    <w:lvl w:ilvl="0" w:tplc="914200D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B0D44"/>
    <w:multiLevelType w:val="hybridMultilevel"/>
    <w:tmpl w:val="EAAC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17BF3"/>
    <w:multiLevelType w:val="hybridMultilevel"/>
    <w:tmpl w:val="DFD0CA64"/>
    <w:lvl w:ilvl="0" w:tplc="AA7CE4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606E0"/>
    <w:multiLevelType w:val="hybridMultilevel"/>
    <w:tmpl w:val="DE24C7B4"/>
    <w:lvl w:ilvl="0" w:tplc="19D44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D518B"/>
    <w:multiLevelType w:val="hybridMultilevel"/>
    <w:tmpl w:val="2AFC4934"/>
    <w:lvl w:ilvl="0" w:tplc="F88006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7356C"/>
    <w:multiLevelType w:val="hybridMultilevel"/>
    <w:tmpl w:val="74488586"/>
    <w:lvl w:ilvl="0" w:tplc="B178F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568D5"/>
    <w:multiLevelType w:val="hybridMultilevel"/>
    <w:tmpl w:val="2B60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E6BA0"/>
    <w:multiLevelType w:val="hybridMultilevel"/>
    <w:tmpl w:val="3D46FBC2"/>
    <w:lvl w:ilvl="0" w:tplc="94D2DB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94AAD"/>
    <w:multiLevelType w:val="hybridMultilevel"/>
    <w:tmpl w:val="38D46E42"/>
    <w:lvl w:ilvl="0" w:tplc="C2B062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47D7D"/>
    <w:multiLevelType w:val="hybridMultilevel"/>
    <w:tmpl w:val="F7E0D092"/>
    <w:lvl w:ilvl="0" w:tplc="B178F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C1EBE"/>
    <w:multiLevelType w:val="hybridMultilevel"/>
    <w:tmpl w:val="18D89294"/>
    <w:lvl w:ilvl="0" w:tplc="3160A9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A9B1CCE"/>
    <w:multiLevelType w:val="hybridMultilevel"/>
    <w:tmpl w:val="8DF6A316"/>
    <w:lvl w:ilvl="0" w:tplc="B178F7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B02AF"/>
    <w:multiLevelType w:val="singleLevel"/>
    <w:tmpl w:val="824646B6"/>
    <w:lvl w:ilvl="0">
      <w:start w:val="1"/>
      <w:numFmt w:val="bullet"/>
      <w:pStyle w:val="BulletText2"/>
      <w:lvlText w:val=""/>
      <w:lvlJc w:val="left"/>
      <w:pPr>
        <w:tabs>
          <w:tab w:val="num" w:pos="547"/>
        </w:tabs>
        <w:ind w:left="547" w:hanging="360"/>
      </w:pPr>
      <w:rPr>
        <w:rFonts w:ascii="Symbol" w:hAnsi="Symbol" w:hint="default"/>
        <w:color w:val="auto"/>
      </w:rPr>
    </w:lvl>
  </w:abstractNum>
  <w:abstractNum w:abstractNumId="29">
    <w:nsid w:val="78407290"/>
    <w:multiLevelType w:val="singleLevel"/>
    <w:tmpl w:val="67E094DC"/>
    <w:lvl w:ilvl="0">
      <w:start w:val="1"/>
      <w:numFmt w:val="bullet"/>
      <w:pStyle w:val="BulletText1"/>
      <w:lvlText w:val=""/>
      <w:lvlJc w:val="left"/>
      <w:pPr>
        <w:tabs>
          <w:tab w:val="num" w:pos="360"/>
        </w:tabs>
        <w:ind w:left="360" w:hanging="360"/>
      </w:pPr>
      <w:rPr>
        <w:rFonts w:ascii="Symbol" w:hAnsi="Symbol" w:hint="default"/>
      </w:rPr>
    </w:lvl>
  </w:abstractNum>
  <w:abstractNum w:abstractNumId="30">
    <w:nsid w:val="7BA66ED1"/>
    <w:multiLevelType w:val="hybridMultilevel"/>
    <w:tmpl w:val="0F7ED10E"/>
    <w:lvl w:ilvl="0" w:tplc="C2B062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6"/>
  </w:num>
  <w:num w:numId="4">
    <w:abstractNumId w:val="20"/>
  </w:num>
  <w:num w:numId="5">
    <w:abstractNumId w:val="17"/>
  </w:num>
  <w:num w:numId="6">
    <w:abstractNumId w:val="23"/>
  </w:num>
  <w:num w:numId="7">
    <w:abstractNumId w:val="0"/>
  </w:num>
  <w:num w:numId="8">
    <w:abstractNumId w:val="8"/>
  </w:num>
  <w:num w:numId="9">
    <w:abstractNumId w:val="24"/>
  </w:num>
  <w:num w:numId="10">
    <w:abstractNumId w:val="30"/>
  </w:num>
  <w:num w:numId="11">
    <w:abstractNumId w:val="7"/>
  </w:num>
  <w:num w:numId="12">
    <w:abstractNumId w:val="9"/>
  </w:num>
  <w:num w:numId="13">
    <w:abstractNumId w:val="10"/>
  </w:num>
  <w:num w:numId="14">
    <w:abstractNumId w:val="13"/>
  </w:num>
  <w:num w:numId="15">
    <w:abstractNumId w:val="2"/>
  </w:num>
  <w:num w:numId="16">
    <w:abstractNumId w:val="14"/>
  </w:num>
  <w:num w:numId="17">
    <w:abstractNumId w:val="18"/>
  </w:num>
  <w:num w:numId="18">
    <w:abstractNumId w:val="22"/>
  </w:num>
  <w:num w:numId="19">
    <w:abstractNumId w:val="11"/>
  </w:num>
  <w:num w:numId="20">
    <w:abstractNumId w:val="26"/>
  </w:num>
  <w:num w:numId="21">
    <w:abstractNumId w:val="12"/>
  </w:num>
  <w:num w:numId="22">
    <w:abstractNumId w:val="6"/>
  </w:num>
  <w:num w:numId="23">
    <w:abstractNumId w:val="4"/>
  </w:num>
  <w:num w:numId="24">
    <w:abstractNumId w:val="1"/>
  </w:num>
  <w:num w:numId="25">
    <w:abstractNumId w:val="15"/>
  </w:num>
  <w:num w:numId="26">
    <w:abstractNumId w:val="27"/>
  </w:num>
  <w:num w:numId="27">
    <w:abstractNumId w:val="25"/>
  </w:num>
  <w:num w:numId="28">
    <w:abstractNumId w:val="3"/>
  </w:num>
  <w:num w:numId="29">
    <w:abstractNumId w:val="21"/>
  </w:num>
  <w:num w:numId="30">
    <w:abstractNumId w:val="5"/>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stylesheet" w:val="http://vbaw.vba.va.gov/bl/21/m21-1mr/stylesheets/m21.xsl"/>
  </w:docVars>
  <w:rsids>
    <w:rsidRoot w:val="00B42FF5"/>
    <w:rsid w:val="0001101E"/>
    <w:rsid w:val="000123A8"/>
    <w:rsid w:val="00016B38"/>
    <w:rsid w:val="000316A6"/>
    <w:rsid w:val="00031B6C"/>
    <w:rsid w:val="000418AE"/>
    <w:rsid w:val="000579EA"/>
    <w:rsid w:val="00066032"/>
    <w:rsid w:val="00082D67"/>
    <w:rsid w:val="000860FA"/>
    <w:rsid w:val="000874BF"/>
    <w:rsid w:val="000A4576"/>
    <w:rsid w:val="000C4EAD"/>
    <w:rsid w:val="000C5BC6"/>
    <w:rsid w:val="000C7A3B"/>
    <w:rsid w:val="000F767C"/>
    <w:rsid w:val="00117525"/>
    <w:rsid w:val="001367E7"/>
    <w:rsid w:val="00140E4C"/>
    <w:rsid w:val="00150281"/>
    <w:rsid w:val="001540E9"/>
    <w:rsid w:val="001546F8"/>
    <w:rsid w:val="001966AC"/>
    <w:rsid w:val="001A025E"/>
    <w:rsid w:val="001A4C3A"/>
    <w:rsid w:val="001A7E33"/>
    <w:rsid w:val="001B7605"/>
    <w:rsid w:val="001C18B8"/>
    <w:rsid w:val="001C70BF"/>
    <w:rsid w:val="001D15C6"/>
    <w:rsid w:val="001D4B15"/>
    <w:rsid w:val="00206A0E"/>
    <w:rsid w:val="0022719B"/>
    <w:rsid w:val="00247480"/>
    <w:rsid w:val="00247551"/>
    <w:rsid w:val="002659A0"/>
    <w:rsid w:val="00265AA2"/>
    <w:rsid w:val="00275D25"/>
    <w:rsid w:val="00290857"/>
    <w:rsid w:val="00293EB2"/>
    <w:rsid w:val="002A0075"/>
    <w:rsid w:val="002A31E3"/>
    <w:rsid w:val="002A53BD"/>
    <w:rsid w:val="002B547A"/>
    <w:rsid w:val="002B71E6"/>
    <w:rsid w:val="002B72D2"/>
    <w:rsid w:val="002C172E"/>
    <w:rsid w:val="002E2FD2"/>
    <w:rsid w:val="002E3CED"/>
    <w:rsid w:val="002E7EE3"/>
    <w:rsid w:val="00307642"/>
    <w:rsid w:val="003342A7"/>
    <w:rsid w:val="003436A6"/>
    <w:rsid w:val="003448F9"/>
    <w:rsid w:val="00353935"/>
    <w:rsid w:val="003632AA"/>
    <w:rsid w:val="0036440F"/>
    <w:rsid w:val="00382103"/>
    <w:rsid w:val="00392F07"/>
    <w:rsid w:val="003C263C"/>
    <w:rsid w:val="003C280A"/>
    <w:rsid w:val="003C6552"/>
    <w:rsid w:val="003D6242"/>
    <w:rsid w:val="003D626F"/>
    <w:rsid w:val="003F71B8"/>
    <w:rsid w:val="00400BCB"/>
    <w:rsid w:val="00406D83"/>
    <w:rsid w:val="0041032C"/>
    <w:rsid w:val="0044040A"/>
    <w:rsid w:val="0045157D"/>
    <w:rsid w:val="00467243"/>
    <w:rsid w:val="00472064"/>
    <w:rsid w:val="0047408B"/>
    <w:rsid w:val="00476488"/>
    <w:rsid w:val="004806AA"/>
    <w:rsid w:val="0049342F"/>
    <w:rsid w:val="004941AF"/>
    <w:rsid w:val="004A0CB1"/>
    <w:rsid w:val="004B7C00"/>
    <w:rsid w:val="004D019D"/>
    <w:rsid w:val="004D3E80"/>
    <w:rsid w:val="004E026A"/>
    <w:rsid w:val="004E09E5"/>
    <w:rsid w:val="004E1BA6"/>
    <w:rsid w:val="004E380A"/>
    <w:rsid w:val="004E3E6C"/>
    <w:rsid w:val="004E3F68"/>
    <w:rsid w:val="004E7058"/>
    <w:rsid w:val="004E77F7"/>
    <w:rsid w:val="004F6B44"/>
    <w:rsid w:val="00507F4D"/>
    <w:rsid w:val="0054223A"/>
    <w:rsid w:val="00553EC4"/>
    <w:rsid w:val="00554097"/>
    <w:rsid w:val="00554D6C"/>
    <w:rsid w:val="00564DC8"/>
    <w:rsid w:val="0059322B"/>
    <w:rsid w:val="005B0E05"/>
    <w:rsid w:val="005C142D"/>
    <w:rsid w:val="005D3D7D"/>
    <w:rsid w:val="005D70E1"/>
    <w:rsid w:val="005F4D9C"/>
    <w:rsid w:val="005F5336"/>
    <w:rsid w:val="00606A8D"/>
    <w:rsid w:val="006123A4"/>
    <w:rsid w:val="00657D42"/>
    <w:rsid w:val="006617A2"/>
    <w:rsid w:val="00671856"/>
    <w:rsid w:val="006849E9"/>
    <w:rsid w:val="006923E5"/>
    <w:rsid w:val="006A34DB"/>
    <w:rsid w:val="006A6885"/>
    <w:rsid w:val="006C1263"/>
    <w:rsid w:val="006D06E8"/>
    <w:rsid w:val="006D2D8E"/>
    <w:rsid w:val="006D7E09"/>
    <w:rsid w:val="006F43D7"/>
    <w:rsid w:val="00713341"/>
    <w:rsid w:val="00727B1B"/>
    <w:rsid w:val="00761C8B"/>
    <w:rsid w:val="007717EE"/>
    <w:rsid w:val="007729AA"/>
    <w:rsid w:val="00782CA1"/>
    <w:rsid w:val="007B1BD5"/>
    <w:rsid w:val="007C16B6"/>
    <w:rsid w:val="007E440B"/>
    <w:rsid w:val="007F0B0A"/>
    <w:rsid w:val="00800451"/>
    <w:rsid w:val="00816118"/>
    <w:rsid w:val="00816459"/>
    <w:rsid w:val="008536BD"/>
    <w:rsid w:val="00855D82"/>
    <w:rsid w:val="00864F17"/>
    <w:rsid w:val="00883BCD"/>
    <w:rsid w:val="00887892"/>
    <w:rsid w:val="008B13C2"/>
    <w:rsid w:val="008C5E83"/>
    <w:rsid w:val="008C63D7"/>
    <w:rsid w:val="008D09B2"/>
    <w:rsid w:val="008D27AC"/>
    <w:rsid w:val="008E3C0B"/>
    <w:rsid w:val="008F0271"/>
    <w:rsid w:val="008F5DAF"/>
    <w:rsid w:val="00900670"/>
    <w:rsid w:val="00937559"/>
    <w:rsid w:val="00960E41"/>
    <w:rsid w:val="00975851"/>
    <w:rsid w:val="00982168"/>
    <w:rsid w:val="00986097"/>
    <w:rsid w:val="009A0BED"/>
    <w:rsid w:val="009A211B"/>
    <w:rsid w:val="009A5841"/>
    <w:rsid w:val="009B2959"/>
    <w:rsid w:val="009B4C74"/>
    <w:rsid w:val="009E2564"/>
    <w:rsid w:val="009E56A2"/>
    <w:rsid w:val="00A01632"/>
    <w:rsid w:val="00A1298E"/>
    <w:rsid w:val="00A13250"/>
    <w:rsid w:val="00A16050"/>
    <w:rsid w:val="00A4637E"/>
    <w:rsid w:val="00A6128F"/>
    <w:rsid w:val="00A64B7D"/>
    <w:rsid w:val="00A67921"/>
    <w:rsid w:val="00A71139"/>
    <w:rsid w:val="00AB2699"/>
    <w:rsid w:val="00AC2372"/>
    <w:rsid w:val="00AC73F8"/>
    <w:rsid w:val="00B00DC4"/>
    <w:rsid w:val="00B07482"/>
    <w:rsid w:val="00B10618"/>
    <w:rsid w:val="00B128EF"/>
    <w:rsid w:val="00B24F39"/>
    <w:rsid w:val="00B32FBF"/>
    <w:rsid w:val="00B33E26"/>
    <w:rsid w:val="00B371AE"/>
    <w:rsid w:val="00B42FF5"/>
    <w:rsid w:val="00B4558E"/>
    <w:rsid w:val="00B6592F"/>
    <w:rsid w:val="00B72665"/>
    <w:rsid w:val="00B94B15"/>
    <w:rsid w:val="00BA61F3"/>
    <w:rsid w:val="00BD41A9"/>
    <w:rsid w:val="00BD5485"/>
    <w:rsid w:val="00BE2AA3"/>
    <w:rsid w:val="00BF0618"/>
    <w:rsid w:val="00BF3475"/>
    <w:rsid w:val="00C005DB"/>
    <w:rsid w:val="00C209CD"/>
    <w:rsid w:val="00C23925"/>
    <w:rsid w:val="00C31170"/>
    <w:rsid w:val="00C435A0"/>
    <w:rsid w:val="00C81B3F"/>
    <w:rsid w:val="00CA7122"/>
    <w:rsid w:val="00D16E88"/>
    <w:rsid w:val="00D24AF4"/>
    <w:rsid w:val="00D35C47"/>
    <w:rsid w:val="00D42BF8"/>
    <w:rsid w:val="00D56696"/>
    <w:rsid w:val="00D77D1A"/>
    <w:rsid w:val="00D8517B"/>
    <w:rsid w:val="00D85263"/>
    <w:rsid w:val="00D8529D"/>
    <w:rsid w:val="00D97085"/>
    <w:rsid w:val="00DC0C65"/>
    <w:rsid w:val="00DC5563"/>
    <w:rsid w:val="00DD179F"/>
    <w:rsid w:val="00DD37DA"/>
    <w:rsid w:val="00DE7250"/>
    <w:rsid w:val="00DE73FF"/>
    <w:rsid w:val="00DF29D0"/>
    <w:rsid w:val="00E00358"/>
    <w:rsid w:val="00E31A1C"/>
    <w:rsid w:val="00E36F4E"/>
    <w:rsid w:val="00E465BE"/>
    <w:rsid w:val="00E56D28"/>
    <w:rsid w:val="00E615BF"/>
    <w:rsid w:val="00E83A05"/>
    <w:rsid w:val="00E8563A"/>
    <w:rsid w:val="00EA434B"/>
    <w:rsid w:val="00EB5F9C"/>
    <w:rsid w:val="00ED4912"/>
    <w:rsid w:val="00ED5B57"/>
    <w:rsid w:val="00EF1598"/>
    <w:rsid w:val="00F003D1"/>
    <w:rsid w:val="00F107F0"/>
    <w:rsid w:val="00F10A5C"/>
    <w:rsid w:val="00F12C11"/>
    <w:rsid w:val="00F17324"/>
    <w:rsid w:val="00F223F3"/>
    <w:rsid w:val="00F306B6"/>
    <w:rsid w:val="00F30BDE"/>
    <w:rsid w:val="00F56872"/>
    <w:rsid w:val="00F67B4A"/>
    <w:rsid w:val="00F77DA0"/>
    <w:rsid w:val="00F84F06"/>
    <w:rsid w:val="00F91138"/>
    <w:rsid w:val="00F9223B"/>
    <w:rsid w:val="00F9265F"/>
    <w:rsid w:val="00F958FE"/>
    <w:rsid w:val="00FA1AE4"/>
    <w:rsid w:val="00FA68FD"/>
    <w:rsid w:val="00FE02FB"/>
    <w:rsid w:val="00FE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D89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900670"/>
    <w:rPr>
      <w:sz w:val="16"/>
      <w:szCs w:val="16"/>
    </w:rPr>
  </w:style>
  <w:style w:type="paragraph" w:styleId="CommentText">
    <w:name w:val="annotation text"/>
    <w:basedOn w:val="Normal"/>
    <w:link w:val="CommentTextChar"/>
    <w:rsid w:val="00900670"/>
    <w:rPr>
      <w:sz w:val="20"/>
    </w:rPr>
  </w:style>
  <w:style w:type="character" w:customStyle="1" w:styleId="CommentTextChar">
    <w:name w:val="Comment Text Char"/>
    <w:basedOn w:val="DefaultParagraphFont"/>
    <w:link w:val="CommentText"/>
    <w:rsid w:val="00900670"/>
  </w:style>
  <w:style w:type="paragraph" w:styleId="CommentSubject">
    <w:name w:val="annotation subject"/>
    <w:basedOn w:val="CommentText"/>
    <w:next w:val="CommentText"/>
    <w:link w:val="CommentSubjectChar"/>
    <w:rsid w:val="00900670"/>
    <w:rPr>
      <w:b/>
      <w:bCs/>
    </w:rPr>
  </w:style>
  <w:style w:type="character" w:customStyle="1" w:styleId="CommentSubjectChar">
    <w:name w:val="Comment Subject Char"/>
    <w:basedOn w:val="CommentTextChar"/>
    <w:link w:val="CommentSubject"/>
    <w:rsid w:val="00900670"/>
    <w:rPr>
      <w:b/>
      <w:bCs/>
    </w:rPr>
  </w:style>
  <w:style w:type="paragraph" w:styleId="BalloonText">
    <w:name w:val="Balloon Text"/>
    <w:basedOn w:val="Normal"/>
    <w:link w:val="BalloonTextChar"/>
    <w:rsid w:val="00900670"/>
    <w:rPr>
      <w:rFonts w:ascii="Tahoma" w:hAnsi="Tahoma" w:cs="Tahoma"/>
      <w:sz w:val="16"/>
      <w:szCs w:val="16"/>
    </w:rPr>
  </w:style>
  <w:style w:type="character" w:customStyle="1" w:styleId="BalloonTextChar">
    <w:name w:val="Balloon Text Char"/>
    <w:basedOn w:val="DefaultParagraphFont"/>
    <w:link w:val="BalloonText"/>
    <w:rsid w:val="00900670"/>
    <w:rPr>
      <w:rFonts w:ascii="Tahoma" w:hAnsi="Tahoma" w:cs="Tahoma"/>
      <w:sz w:val="16"/>
      <w:szCs w:val="16"/>
    </w:rPr>
  </w:style>
  <w:style w:type="paragraph" w:styleId="Revision">
    <w:name w:val="Revision"/>
    <w:hidden/>
    <w:uiPriority w:val="99"/>
    <w:semiHidden/>
    <w:rsid w:val="000579EA"/>
    <w:rPr>
      <w:sz w:val="24"/>
    </w:rPr>
  </w:style>
  <w:style w:type="paragraph" w:styleId="ListParagraph">
    <w:name w:val="List Paragraph"/>
    <w:basedOn w:val="Normal"/>
    <w:uiPriority w:val="34"/>
    <w:qFormat/>
    <w:rsid w:val="00554D6C"/>
    <w:pPr>
      <w:ind w:left="720"/>
      <w:contextualSpacing/>
    </w:pPr>
  </w:style>
  <w:style w:type="table" w:styleId="TableGrid">
    <w:name w:val="Table Grid"/>
    <w:basedOn w:val="TableNormal"/>
    <w:rsid w:val="001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13C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28"/>
    </w:pPr>
  </w:style>
  <w:style w:type="paragraph" w:styleId="BlockText">
    <w:name w:val="Block Text"/>
    <w:basedOn w:val="Normal"/>
  </w:style>
  <w:style w:type="paragraph" w:customStyle="1" w:styleId="BulletText1">
    <w:name w:val="Bullet Text 1"/>
    <w:basedOn w:val="Normal"/>
    <w:pPr>
      <w:numPr>
        <w:numId w:val="1"/>
      </w:numPr>
      <w:tabs>
        <w:tab w:val="left" w:pos="187"/>
      </w:tabs>
      <w:ind w:left="187" w:hanging="187"/>
    </w:pPr>
  </w:style>
  <w:style w:type="paragraph" w:customStyle="1" w:styleId="BulletText2">
    <w:name w:val="Bullet Text 2"/>
    <w:basedOn w:val="BulletText1"/>
    <w:autoRedefine/>
    <w:pPr>
      <w:numPr>
        <w:numId w:val="2"/>
      </w:numPr>
      <w:tabs>
        <w:tab w:val="clear" w:pos="187"/>
        <w:tab w:val="clear" w:pos="547"/>
      </w:tabs>
      <w:ind w:left="360" w:hanging="187"/>
    </w:p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rFonts w:ascii="Times" w:hAnsi="Times"/>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character" w:customStyle="1" w:styleId="Jump">
    <w:name w:val="Jump"/>
    <w:basedOn w:val="DefaultParagraphFont"/>
    <w:rPr>
      <w:color w:val="FF0000"/>
    </w:rPr>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sid w:val="00900670"/>
    <w:rPr>
      <w:sz w:val="16"/>
      <w:szCs w:val="16"/>
    </w:rPr>
  </w:style>
  <w:style w:type="paragraph" w:styleId="CommentText">
    <w:name w:val="annotation text"/>
    <w:basedOn w:val="Normal"/>
    <w:link w:val="CommentTextChar"/>
    <w:rsid w:val="00900670"/>
    <w:rPr>
      <w:sz w:val="20"/>
    </w:rPr>
  </w:style>
  <w:style w:type="character" w:customStyle="1" w:styleId="CommentTextChar">
    <w:name w:val="Comment Text Char"/>
    <w:basedOn w:val="DefaultParagraphFont"/>
    <w:link w:val="CommentText"/>
    <w:rsid w:val="00900670"/>
  </w:style>
  <w:style w:type="paragraph" w:styleId="CommentSubject">
    <w:name w:val="annotation subject"/>
    <w:basedOn w:val="CommentText"/>
    <w:next w:val="CommentText"/>
    <w:link w:val="CommentSubjectChar"/>
    <w:rsid w:val="00900670"/>
    <w:rPr>
      <w:b/>
      <w:bCs/>
    </w:rPr>
  </w:style>
  <w:style w:type="character" w:customStyle="1" w:styleId="CommentSubjectChar">
    <w:name w:val="Comment Subject Char"/>
    <w:basedOn w:val="CommentTextChar"/>
    <w:link w:val="CommentSubject"/>
    <w:rsid w:val="00900670"/>
    <w:rPr>
      <w:b/>
      <w:bCs/>
    </w:rPr>
  </w:style>
  <w:style w:type="paragraph" w:styleId="BalloonText">
    <w:name w:val="Balloon Text"/>
    <w:basedOn w:val="Normal"/>
    <w:link w:val="BalloonTextChar"/>
    <w:rsid w:val="00900670"/>
    <w:rPr>
      <w:rFonts w:ascii="Tahoma" w:hAnsi="Tahoma" w:cs="Tahoma"/>
      <w:sz w:val="16"/>
      <w:szCs w:val="16"/>
    </w:rPr>
  </w:style>
  <w:style w:type="character" w:customStyle="1" w:styleId="BalloonTextChar">
    <w:name w:val="Balloon Text Char"/>
    <w:basedOn w:val="DefaultParagraphFont"/>
    <w:link w:val="BalloonText"/>
    <w:rsid w:val="00900670"/>
    <w:rPr>
      <w:rFonts w:ascii="Tahoma" w:hAnsi="Tahoma" w:cs="Tahoma"/>
      <w:sz w:val="16"/>
      <w:szCs w:val="16"/>
    </w:rPr>
  </w:style>
  <w:style w:type="paragraph" w:styleId="Revision">
    <w:name w:val="Revision"/>
    <w:hidden/>
    <w:uiPriority w:val="99"/>
    <w:semiHidden/>
    <w:rsid w:val="000579EA"/>
    <w:rPr>
      <w:sz w:val="24"/>
    </w:rPr>
  </w:style>
  <w:style w:type="paragraph" w:styleId="ListParagraph">
    <w:name w:val="List Paragraph"/>
    <w:basedOn w:val="Normal"/>
    <w:uiPriority w:val="34"/>
    <w:qFormat/>
    <w:rsid w:val="00554D6C"/>
    <w:pPr>
      <w:ind w:left="720"/>
      <w:contextualSpacing/>
    </w:pPr>
  </w:style>
  <w:style w:type="table" w:styleId="TableGrid">
    <w:name w:val="Table Grid"/>
    <w:basedOn w:val="TableNormal"/>
    <w:rsid w:val="001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13C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579">
      <w:bodyDiv w:val="1"/>
      <w:marLeft w:val="0"/>
      <w:marRight w:val="0"/>
      <w:marTop w:val="0"/>
      <w:marBottom w:val="0"/>
      <w:divBdr>
        <w:top w:val="none" w:sz="0" w:space="0" w:color="auto"/>
        <w:left w:val="none" w:sz="0" w:space="0" w:color="auto"/>
        <w:bottom w:val="none" w:sz="0" w:space="0" w:color="auto"/>
        <w:right w:val="none" w:sz="0" w:space="0" w:color="auto"/>
      </w:divBdr>
    </w:div>
    <w:div w:id="443380618">
      <w:bodyDiv w:val="1"/>
      <w:marLeft w:val="0"/>
      <w:marRight w:val="0"/>
      <w:marTop w:val="0"/>
      <w:marBottom w:val="0"/>
      <w:divBdr>
        <w:top w:val="none" w:sz="0" w:space="0" w:color="auto"/>
        <w:left w:val="none" w:sz="0" w:space="0" w:color="auto"/>
        <w:bottom w:val="none" w:sz="0" w:space="0" w:color="auto"/>
        <w:right w:val="none" w:sz="0" w:space="0" w:color="auto"/>
      </w:divBdr>
      <w:divsChild>
        <w:div w:id="1637906891">
          <w:marLeft w:val="0"/>
          <w:marRight w:val="0"/>
          <w:marTop w:val="0"/>
          <w:marBottom w:val="0"/>
          <w:divBdr>
            <w:top w:val="none" w:sz="0" w:space="0" w:color="auto"/>
            <w:left w:val="none" w:sz="0" w:space="0" w:color="auto"/>
            <w:bottom w:val="none" w:sz="0" w:space="0" w:color="auto"/>
            <w:right w:val="none" w:sz="0" w:space="0" w:color="auto"/>
          </w:divBdr>
        </w:div>
      </w:divsChild>
    </w:div>
    <w:div w:id="873887343">
      <w:bodyDiv w:val="1"/>
      <w:marLeft w:val="0"/>
      <w:marRight w:val="0"/>
      <w:marTop w:val="0"/>
      <w:marBottom w:val="0"/>
      <w:divBdr>
        <w:top w:val="none" w:sz="0" w:space="0" w:color="auto"/>
        <w:left w:val="none" w:sz="0" w:space="0" w:color="auto"/>
        <w:bottom w:val="none" w:sz="0" w:space="0" w:color="auto"/>
        <w:right w:val="none" w:sz="0" w:space="0" w:color="auto"/>
      </w:divBdr>
    </w:div>
    <w:div w:id="941765793">
      <w:bodyDiv w:val="1"/>
      <w:marLeft w:val="0"/>
      <w:marRight w:val="0"/>
      <w:marTop w:val="0"/>
      <w:marBottom w:val="0"/>
      <w:divBdr>
        <w:top w:val="none" w:sz="0" w:space="0" w:color="auto"/>
        <w:left w:val="none" w:sz="0" w:space="0" w:color="auto"/>
        <w:bottom w:val="none" w:sz="0" w:space="0" w:color="auto"/>
        <w:right w:val="none" w:sz="0" w:space="0" w:color="auto"/>
      </w:divBdr>
      <w:divsChild>
        <w:div w:id="210046575">
          <w:marLeft w:val="0"/>
          <w:marRight w:val="0"/>
          <w:marTop w:val="0"/>
          <w:marBottom w:val="0"/>
          <w:divBdr>
            <w:top w:val="none" w:sz="0" w:space="0" w:color="auto"/>
            <w:left w:val="none" w:sz="0" w:space="0" w:color="auto"/>
            <w:bottom w:val="none" w:sz="0" w:space="0" w:color="auto"/>
            <w:right w:val="none" w:sz="0" w:space="0" w:color="auto"/>
          </w:divBdr>
        </w:div>
      </w:divsChild>
    </w:div>
    <w:div w:id="1202740250">
      <w:bodyDiv w:val="1"/>
      <w:marLeft w:val="0"/>
      <w:marRight w:val="0"/>
      <w:marTop w:val="0"/>
      <w:marBottom w:val="0"/>
      <w:divBdr>
        <w:top w:val="none" w:sz="0" w:space="0" w:color="auto"/>
        <w:left w:val="none" w:sz="0" w:space="0" w:color="auto"/>
        <w:bottom w:val="none" w:sz="0" w:space="0" w:color="auto"/>
        <w:right w:val="none" w:sz="0" w:space="0" w:color="auto"/>
      </w:divBdr>
    </w:div>
    <w:div w:id="134748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baw.vba.va.gov/VetsNet/RBA2000_Docs/webhelp/RBA2000_Help.htm" TargetMode="External"/><Relationship Id="rId18" Type="http://schemas.openxmlformats.org/officeDocument/2006/relationships/hyperlink" Target="http://vbaw.vba.va.gov/bl/21/Systems/shar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vbaw.vba.va.gov/bl/21/DEMO/docs/CAPRI/CAPRIupdateemail.doc" TargetMode="External"/><Relationship Id="rId17" Type="http://schemas.openxmlformats.org/officeDocument/2006/relationships/hyperlink" Target="https://www.law.cornell.edu/uscode/text/38/1151" TargetMode="External"/><Relationship Id="rId2" Type="http://schemas.openxmlformats.org/officeDocument/2006/relationships/customXml" Target="../customXml/item2.xml"/><Relationship Id="rId16" Type="http://schemas.openxmlformats.org/officeDocument/2006/relationships/hyperlink" Target="http://vbaw.vba.va.gov/VBMS/docs/VBMS_Release_8_0_UserGuide_UsersEdit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ss.vba.va.gov/SHA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w.vba.va.gov/VBMS/docs/VBMS_Rating_UserGuide.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CAD0-6169-45AC-A4B1-C0F9A3AC4741}">
  <ds:schemaRefs>
    <ds:schemaRef ds:uri="http://schemas.microsoft.com/office/2006/documentManagement/types"/>
    <ds:schemaRef ds:uri="http://purl.org/dc/dcmitype/"/>
    <ds:schemaRef ds:uri="b438dcf7-3998-4283-b7fc-0ec6fa8e430f"/>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A9DA6CC-80FA-4BD9-A640-96BFA6CF62A9}">
  <ds:schemaRefs>
    <ds:schemaRef ds:uri="http://schemas.microsoft.com/sharepoint/v3/contenttype/forms"/>
  </ds:schemaRefs>
</ds:datastoreItem>
</file>

<file path=customXml/itemProps3.xml><?xml version="1.0" encoding="utf-8"?>
<ds:datastoreItem xmlns:ds="http://schemas.openxmlformats.org/officeDocument/2006/customXml" ds:itemID="{6588A832-CBB4-4C17-81C8-C007B7438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35A76-AB09-486E-8952-57472882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175</TotalTime>
  <Pages>8</Pages>
  <Words>1515</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Control of Examinations (U.S. Department of Veterans Affairs)</vt:lpstr>
    </vt:vector>
  </TitlesOfParts>
  <Company>Department of Veterans Affairs (VA)</Company>
  <LinksUpToDate>false</LinksUpToDate>
  <CharactersWithSpaces>10041</CharactersWithSpaces>
  <SharedDoc>false</SharedDoc>
  <HLinks>
    <vt:vector size="24" baseType="variant">
      <vt:variant>
        <vt:i4>262147</vt:i4>
      </vt:variant>
      <vt:variant>
        <vt:i4>21</vt:i4>
      </vt:variant>
      <vt:variant>
        <vt:i4>0</vt:i4>
      </vt:variant>
      <vt:variant>
        <vt:i4>5</vt:i4>
      </vt:variant>
      <vt:variant>
        <vt:lpwstr>http://vbaw.vba.va.gov/bl/21/systems/docs/SHARE85.pdf</vt:lpwstr>
      </vt:variant>
      <vt:variant>
        <vt:lpwstr/>
      </vt:variant>
      <vt:variant>
        <vt:i4>3604502</vt:i4>
      </vt:variant>
      <vt:variant>
        <vt:i4>15</vt:i4>
      </vt:variant>
      <vt:variant>
        <vt:i4>0</vt:i4>
      </vt:variant>
      <vt:variant>
        <vt:i4>5</vt:i4>
      </vt:variant>
      <vt:variant>
        <vt:lpwstr>http://vbaw.vba.va.gov/bl/21/M21-1MR/pt03/sp04/ch03/pt03_sp04_ch03_secC.xml</vt:lpwstr>
      </vt:variant>
      <vt:variant>
        <vt:lpwstr>III.iv.3.C.17.e</vt:lpwstr>
      </vt:variant>
      <vt:variant>
        <vt:i4>3145815</vt:i4>
      </vt:variant>
      <vt:variant>
        <vt:i4>12</vt:i4>
      </vt:variant>
      <vt:variant>
        <vt:i4>0</vt:i4>
      </vt:variant>
      <vt:variant>
        <vt:i4>5</vt:i4>
      </vt:variant>
      <vt:variant>
        <vt:lpwstr>http://www.warms.vba.va.gov/admin22/m22_4/part07/ch03.doc</vt:lpwstr>
      </vt:variant>
      <vt:variant>
        <vt:lpwstr/>
      </vt:variant>
      <vt:variant>
        <vt:i4>3145813</vt:i4>
      </vt:variant>
      <vt:variant>
        <vt:i4>9</vt:i4>
      </vt:variant>
      <vt:variant>
        <vt:i4>0</vt:i4>
      </vt:variant>
      <vt:variant>
        <vt:i4>5</vt:i4>
      </vt:variant>
      <vt:variant>
        <vt:lpwstr>http://www.warms.vba.va.gov/admin22/m22_4/part07/ch01.doc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Examinations (U.S. Department of Veterans Affairs)</dc:title>
  <dc:subject>Control of Examinations</dc:subject>
  <dc:creator>Department of Veterans Affairs</dc:creator>
  <cp:keywords>control period, examination, diaries, CAPRI, review examination, future examination</cp:keywords>
  <cp:lastModifiedBy>Amy Hamma</cp:lastModifiedBy>
  <cp:revision>12</cp:revision>
  <cp:lastPrinted>2009-08-05T14:57:00Z</cp:lastPrinted>
  <dcterms:created xsi:type="dcterms:W3CDTF">2015-07-30T12:52:00Z</dcterms:created>
  <dcterms:modified xsi:type="dcterms:W3CDTF">2015-07-31T18:19:00Z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20141001</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