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75801" w14:textId="257A8F1F" w:rsidR="00135DC0" w:rsidRPr="00BB1E65" w:rsidRDefault="00135DC0" w:rsidP="007155FE">
      <w:pPr>
        <w:pStyle w:val="Heading2"/>
        <w:spacing w:after="0"/>
      </w:pPr>
      <w:r w:rsidRPr="00BB1E65">
        <w:t>Section A.  Examination Requests</w:t>
      </w:r>
      <w:r w:rsidR="00CE0012" w:rsidRPr="00BB1E65">
        <w:t xml:space="preserve"> </w:t>
      </w:r>
      <w:r w:rsidR="00DE46D0" w:rsidRPr="00BB1E65">
        <w:fldChar w:fldCharType="begin"/>
      </w:r>
      <w:r w:rsidRPr="00BB1E65">
        <w:instrText xml:space="preserve"> PRIVATE INFOTYPE="OTHER" </w:instrText>
      </w:r>
      <w:r w:rsidR="00DE46D0" w:rsidRPr="00BB1E65">
        <w:fldChar w:fldCharType="end"/>
      </w:r>
      <w:r w:rsidRPr="00BB1E65">
        <w:t>Overview</w:t>
      </w:r>
    </w:p>
    <w:p w14:paraId="12075802" w14:textId="77777777" w:rsidR="00135DC0" w:rsidRPr="00BB1E65" w:rsidRDefault="00DE46D0">
      <w:pPr>
        <w:pStyle w:val="BlockLine"/>
      </w:pPr>
      <w:r w:rsidRPr="00BB1E65">
        <w:fldChar w:fldCharType="begin"/>
      </w:r>
      <w:r w:rsidR="00135DC0" w:rsidRPr="00BB1E65">
        <w:instrText xml:space="preserve"> PRIVATE INFOTYPE="OTHER"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BB1E65" w14:paraId="12075805" w14:textId="77777777">
        <w:trPr>
          <w:cantSplit/>
        </w:trPr>
        <w:tc>
          <w:tcPr>
            <w:tcW w:w="1728" w:type="dxa"/>
            <w:tcBorders>
              <w:top w:val="nil"/>
              <w:left w:val="nil"/>
              <w:bottom w:val="nil"/>
              <w:right w:val="nil"/>
            </w:tcBorders>
          </w:tcPr>
          <w:p w14:paraId="12075803" w14:textId="7C78B70E" w:rsidR="00135DC0" w:rsidRPr="00BB1E65" w:rsidRDefault="00135DC0">
            <w:pPr>
              <w:pStyle w:val="Heading5"/>
            </w:pPr>
            <w:r w:rsidRPr="00BB1E65">
              <w:t>In</w:t>
            </w:r>
            <w:r w:rsidR="007607A3" w:rsidRPr="00BB1E65">
              <w:t xml:space="preserve"> </w:t>
            </w:r>
            <w:r w:rsidR="00C81575" w:rsidRPr="00BB1E65">
              <w:t>T</w:t>
            </w:r>
            <w:r w:rsidRPr="00BB1E65">
              <w:t>his Section</w:t>
            </w:r>
          </w:p>
        </w:tc>
        <w:tc>
          <w:tcPr>
            <w:tcW w:w="7740" w:type="dxa"/>
            <w:tcBorders>
              <w:top w:val="nil"/>
              <w:left w:val="nil"/>
              <w:bottom w:val="nil"/>
              <w:right w:val="nil"/>
            </w:tcBorders>
          </w:tcPr>
          <w:p w14:paraId="12075804" w14:textId="77777777" w:rsidR="00135DC0" w:rsidRPr="00BB1E65" w:rsidRDefault="00135DC0">
            <w:pPr>
              <w:pStyle w:val="BlockText"/>
            </w:pPr>
            <w:r w:rsidRPr="00BB1E65">
              <w:t>This section contains the following topics:</w:t>
            </w:r>
          </w:p>
        </w:tc>
      </w:tr>
    </w:tbl>
    <w:p w14:paraId="12075806" w14:textId="77777777" w:rsidR="00135DC0" w:rsidRPr="00BB1E65" w:rsidRDefault="00135DC0"/>
    <w:tbl>
      <w:tblPr>
        <w:tblW w:w="7566" w:type="dxa"/>
        <w:tblInd w:w="1784" w:type="dxa"/>
        <w:tblLayout w:type="fixed"/>
        <w:tblCellMar>
          <w:left w:w="80" w:type="dxa"/>
          <w:right w:w="80" w:type="dxa"/>
        </w:tblCellMar>
        <w:tblLook w:val="0000" w:firstRow="0" w:lastRow="0" w:firstColumn="0" w:lastColumn="0" w:noHBand="0" w:noVBand="0"/>
      </w:tblPr>
      <w:tblGrid>
        <w:gridCol w:w="1086"/>
        <w:gridCol w:w="6480"/>
      </w:tblGrid>
      <w:tr w:rsidR="0042118E" w:rsidRPr="00BB1E65" w14:paraId="1207580A" w14:textId="77777777" w:rsidTr="00DC6C05">
        <w:trPr>
          <w:cantSplit/>
        </w:trPr>
        <w:tc>
          <w:tcPr>
            <w:tcW w:w="1086" w:type="dxa"/>
            <w:tcBorders>
              <w:top w:val="single" w:sz="6" w:space="0" w:color="auto"/>
              <w:left w:val="single" w:sz="6" w:space="0" w:color="auto"/>
              <w:bottom w:val="single" w:sz="6" w:space="0" w:color="auto"/>
              <w:right w:val="single" w:sz="6" w:space="0" w:color="auto"/>
            </w:tcBorders>
          </w:tcPr>
          <w:p w14:paraId="12075807" w14:textId="77777777" w:rsidR="0042118E" w:rsidRPr="00BB1E65" w:rsidRDefault="0042118E">
            <w:pPr>
              <w:pStyle w:val="TableHeaderText"/>
            </w:pPr>
            <w:r w:rsidRPr="00BB1E65">
              <w:t>Topic</w:t>
            </w:r>
          </w:p>
        </w:tc>
        <w:tc>
          <w:tcPr>
            <w:tcW w:w="6480" w:type="dxa"/>
            <w:tcBorders>
              <w:top w:val="single" w:sz="6" w:space="0" w:color="auto"/>
              <w:left w:val="single" w:sz="6" w:space="0" w:color="auto"/>
              <w:bottom w:val="single" w:sz="6" w:space="0" w:color="auto"/>
              <w:right w:val="single" w:sz="6" w:space="0" w:color="auto"/>
            </w:tcBorders>
          </w:tcPr>
          <w:p w14:paraId="12075808" w14:textId="77777777" w:rsidR="0042118E" w:rsidRPr="00BB1E65" w:rsidRDefault="0042118E">
            <w:pPr>
              <w:pStyle w:val="TableHeaderText"/>
            </w:pPr>
            <w:r w:rsidRPr="00BB1E65">
              <w:t>Topic Name</w:t>
            </w:r>
          </w:p>
        </w:tc>
      </w:tr>
      <w:tr w:rsidR="0042118E" w:rsidRPr="00BB1E65" w14:paraId="1207580E" w14:textId="77777777" w:rsidTr="00DC6C05">
        <w:trPr>
          <w:cantSplit/>
        </w:trPr>
        <w:tc>
          <w:tcPr>
            <w:tcW w:w="1086" w:type="dxa"/>
            <w:tcBorders>
              <w:top w:val="single" w:sz="6" w:space="0" w:color="auto"/>
              <w:left w:val="single" w:sz="6" w:space="0" w:color="auto"/>
              <w:bottom w:val="single" w:sz="6" w:space="0" w:color="auto"/>
              <w:right w:val="single" w:sz="6" w:space="0" w:color="auto"/>
            </w:tcBorders>
          </w:tcPr>
          <w:p w14:paraId="1207580B" w14:textId="77777777" w:rsidR="0042118E" w:rsidRPr="00BB1E65" w:rsidRDefault="0042118E">
            <w:pPr>
              <w:pStyle w:val="TableText"/>
              <w:jc w:val="center"/>
            </w:pPr>
            <w:r w:rsidRPr="00BB1E65">
              <w:t>1</w:t>
            </w:r>
          </w:p>
        </w:tc>
        <w:tc>
          <w:tcPr>
            <w:tcW w:w="6480" w:type="dxa"/>
            <w:tcBorders>
              <w:top w:val="single" w:sz="6" w:space="0" w:color="auto"/>
              <w:left w:val="single" w:sz="6" w:space="0" w:color="auto"/>
              <w:bottom w:val="single" w:sz="6" w:space="0" w:color="auto"/>
              <w:right w:val="single" w:sz="6" w:space="0" w:color="auto"/>
            </w:tcBorders>
          </w:tcPr>
          <w:p w14:paraId="1207580C" w14:textId="4E8202C5" w:rsidR="0042118E" w:rsidRPr="00BB1E65" w:rsidRDefault="003F5D70">
            <w:pPr>
              <w:pStyle w:val="TableText"/>
            </w:pPr>
            <w:r w:rsidRPr="00BB1E65">
              <w:t>General Information on Examination Requests</w:t>
            </w:r>
          </w:p>
        </w:tc>
      </w:tr>
      <w:tr w:rsidR="00FD1F5F" w:rsidRPr="00BB1E65" w14:paraId="0FDBB04A" w14:textId="77777777" w:rsidTr="00DC6C05">
        <w:trPr>
          <w:cantSplit/>
        </w:trPr>
        <w:tc>
          <w:tcPr>
            <w:tcW w:w="1086" w:type="dxa"/>
            <w:tcBorders>
              <w:top w:val="single" w:sz="6" w:space="0" w:color="auto"/>
              <w:left w:val="single" w:sz="6" w:space="0" w:color="auto"/>
              <w:bottom w:val="single" w:sz="6" w:space="0" w:color="auto"/>
              <w:right w:val="single" w:sz="6" w:space="0" w:color="auto"/>
            </w:tcBorders>
          </w:tcPr>
          <w:p w14:paraId="1E11045D" w14:textId="17A02765" w:rsidR="00FD1F5F" w:rsidRPr="00BB1E65" w:rsidRDefault="00FA7BF5" w:rsidP="00432CC0">
            <w:pPr>
              <w:pStyle w:val="TableText"/>
              <w:jc w:val="center"/>
            </w:pPr>
            <w:r w:rsidRPr="00BB1E65">
              <w:t>2</w:t>
            </w:r>
          </w:p>
        </w:tc>
        <w:tc>
          <w:tcPr>
            <w:tcW w:w="6480" w:type="dxa"/>
            <w:tcBorders>
              <w:top w:val="single" w:sz="6" w:space="0" w:color="auto"/>
              <w:left w:val="single" w:sz="6" w:space="0" w:color="auto"/>
              <w:bottom w:val="single" w:sz="6" w:space="0" w:color="auto"/>
              <w:right w:val="single" w:sz="6" w:space="0" w:color="auto"/>
            </w:tcBorders>
          </w:tcPr>
          <w:p w14:paraId="0DE11B29" w14:textId="2C970666" w:rsidR="00FD1F5F" w:rsidRPr="00BB1E65" w:rsidRDefault="003F5D70">
            <w:pPr>
              <w:pStyle w:val="TableText"/>
            </w:pPr>
            <w:r w:rsidRPr="00BB1E65">
              <w:t>Examination Request Tools</w:t>
            </w:r>
          </w:p>
        </w:tc>
      </w:tr>
      <w:tr w:rsidR="00FD1F5F" w:rsidRPr="00BB1E65" w14:paraId="23CE6E29" w14:textId="77777777" w:rsidTr="00DC6C05">
        <w:trPr>
          <w:cantSplit/>
        </w:trPr>
        <w:tc>
          <w:tcPr>
            <w:tcW w:w="1086" w:type="dxa"/>
            <w:tcBorders>
              <w:top w:val="single" w:sz="6" w:space="0" w:color="auto"/>
              <w:left w:val="single" w:sz="6" w:space="0" w:color="auto"/>
              <w:bottom w:val="single" w:sz="6" w:space="0" w:color="auto"/>
              <w:right w:val="single" w:sz="6" w:space="0" w:color="auto"/>
            </w:tcBorders>
          </w:tcPr>
          <w:p w14:paraId="308AE593" w14:textId="7614086F" w:rsidR="00FD1F5F" w:rsidRPr="00BB1E65" w:rsidRDefault="00FA7BF5" w:rsidP="00432CC0">
            <w:pPr>
              <w:pStyle w:val="TableText"/>
              <w:jc w:val="center"/>
            </w:pPr>
            <w:r w:rsidRPr="00BB1E65">
              <w:t>3</w:t>
            </w:r>
          </w:p>
        </w:tc>
        <w:tc>
          <w:tcPr>
            <w:tcW w:w="6480" w:type="dxa"/>
            <w:tcBorders>
              <w:top w:val="single" w:sz="6" w:space="0" w:color="auto"/>
              <w:left w:val="single" w:sz="6" w:space="0" w:color="auto"/>
              <w:bottom w:val="single" w:sz="6" w:space="0" w:color="auto"/>
              <w:right w:val="single" w:sz="6" w:space="0" w:color="auto"/>
            </w:tcBorders>
          </w:tcPr>
          <w:p w14:paraId="5B95FB16" w14:textId="04A69252" w:rsidR="00FD1F5F" w:rsidRPr="00BB1E65" w:rsidRDefault="003F5D70">
            <w:pPr>
              <w:pStyle w:val="TableText"/>
            </w:pPr>
            <w:r w:rsidRPr="00BB1E65">
              <w:t>Disability Benefits Questionnaires (DBQs)</w:t>
            </w:r>
          </w:p>
        </w:tc>
      </w:tr>
      <w:tr w:rsidR="004E4037" w:rsidRPr="00BB1E65" w14:paraId="2CD35316" w14:textId="77777777" w:rsidTr="00DC6C05">
        <w:trPr>
          <w:cantSplit/>
        </w:trPr>
        <w:tc>
          <w:tcPr>
            <w:tcW w:w="1086" w:type="dxa"/>
            <w:tcBorders>
              <w:top w:val="single" w:sz="6" w:space="0" w:color="auto"/>
              <w:left w:val="single" w:sz="6" w:space="0" w:color="auto"/>
              <w:bottom w:val="single" w:sz="6" w:space="0" w:color="auto"/>
              <w:right w:val="single" w:sz="6" w:space="0" w:color="auto"/>
            </w:tcBorders>
          </w:tcPr>
          <w:p w14:paraId="3BA20E13" w14:textId="799473BF" w:rsidR="004E4037" w:rsidRPr="00BB1E65" w:rsidRDefault="004E4037" w:rsidP="00432CC0">
            <w:pPr>
              <w:pStyle w:val="TableText"/>
              <w:jc w:val="center"/>
            </w:pPr>
            <w:r w:rsidRPr="00BB1E65">
              <w:t>4</w:t>
            </w:r>
          </w:p>
        </w:tc>
        <w:tc>
          <w:tcPr>
            <w:tcW w:w="6480" w:type="dxa"/>
            <w:tcBorders>
              <w:top w:val="single" w:sz="6" w:space="0" w:color="auto"/>
              <w:left w:val="single" w:sz="6" w:space="0" w:color="auto"/>
              <w:bottom w:val="single" w:sz="6" w:space="0" w:color="auto"/>
              <w:right w:val="single" w:sz="6" w:space="0" w:color="auto"/>
            </w:tcBorders>
          </w:tcPr>
          <w:p w14:paraId="5302C884" w14:textId="27CE0274" w:rsidR="004E4037" w:rsidRPr="00BB1E65" w:rsidRDefault="003F5D70">
            <w:pPr>
              <w:pStyle w:val="TableText"/>
            </w:pPr>
            <w:r w:rsidRPr="00BB1E65">
              <w:t>Acceptable Clinical Evidence (ACE) Examinations</w:t>
            </w:r>
          </w:p>
        </w:tc>
      </w:tr>
      <w:tr w:rsidR="00121758" w:rsidRPr="00BB1E65" w14:paraId="686307C1" w14:textId="77777777" w:rsidTr="00DC6C05">
        <w:trPr>
          <w:cantSplit/>
        </w:trPr>
        <w:tc>
          <w:tcPr>
            <w:tcW w:w="1086" w:type="dxa"/>
            <w:tcBorders>
              <w:top w:val="single" w:sz="6" w:space="0" w:color="auto"/>
              <w:left w:val="single" w:sz="6" w:space="0" w:color="auto"/>
              <w:bottom w:val="single" w:sz="6" w:space="0" w:color="auto"/>
              <w:right w:val="single" w:sz="6" w:space="0" w:color="auto"/>
            </w:tcBorders>
          </w:tcPr>
          <w:p w14:paraId="4DA2A982" w14:textId="7FD91D0D" w:rsidR="00121758" w:rsidRPr="00BB1E65" w:rsidRDefault="00121758" w:rsidP="00432CC0">
            <w:pPr>
              <w:pStyle w:val="TableText"/>
              <w:jc w:val="center"/>
            </w:pPr>
            <w:r w:rsidRPr="00BB1E65">
              <w:t>5</w:t>
            </w:r>
          </w:p>
        </w:tc>
        <w:tc>
          <w:tcPr>
            <w:tcW w:w="6480" w:type="dxa"/>
            <w:tcBorders>
              <w:top w:val="single" w:sz="6" w:space="0" w:color="auto"/>
              <w:left w:val="single" w:sz="6" w:space="0" w:color="auto"/>
              <w:bottom w:val="single" w:sz="6" w:space="0" w:color="auto"/>
              <w:right w:val="single" w:sz="6" w:space="0" w:color="auto"/>
            </w:tcBorders>
          </w:tcPr>
          <w:p w14:paraId="744DD14A" w14:textId="46B77CC5" w:rsidR="00121758" w:rsidRPr="00BB1E65" w:rsidRDefault="003F5D70" w:rsidP="00FB1164">
            <w:pPr>
              <w:pStyle w:val="TableText"/>
            </w:pPr>
            <w:r w:rsidRPr="00BB1E65">
              <w:t>General Medical Examinations</w:t>
            </w:r>
            <w:r w:rsidR="00121758" w:rsidRPr="00BB1E65">
              <w:t xml:space="preserve"> </w:t>
            </w:r>
          </w:p>
        </w:tc>
      </w:tr>
      <w:tr w:rsidR="00121758" w:rsidRPr="00BB1E65" w14:paraId="28267FA4" w14:textId="77777777" w:rsidTr="00DC6C05">
        <w:trPr>
          <w:cantSplit/>
        </w:trPr>
        <w:tc>
          <w:tcPr>
            <w:tcW w:w="1086" w:type="dxa"/>
            <w:tcBorders>
              <w:top w:val="single" w:sz="6" w:space="0" w:color="auto"/>
              <w:left w:val="single" w:sz="6" w:space="0" w:color="auto"/>
              <w:bottom w:val="single" w:sz="6" w:space="0" w:color="auto"/>
              <w:right w:val="single" w:sz="6" w:space="0" w:color="auto"/>
            </w:tcBorders>
          </w:tcPr>
          <w:p w14:paraId="41707C54" w14:textId="7548B1D4" w:rsidR="00121758" w:rsidRPr="00BB1E65" w:rsidRDefault="00121758" w:rsidP="00432CC0">
            <w:pPr>
              <w:pStyle w:val="TableText"/>
              <w:jc w:val="center"/>
            </w:pPr>
            <w:r w:rsidRPr="00BB1E65">
              <w:t>6</w:t>
            </w:r>
          </w:p>
        </w:tc>
        <w:tc>
          <w:tcPr>
            <w:tcW w:w="6480" w:type="dxa"/>
            <w:tcBorders>
              <w:top w:val="single" w:sz="6" w:space="0" w:color="auto"/>
              <w:left w:val="single" w:sz="6" w:space="0" w:color="auto"/>
              <w:bottom w:val="single" w:sz="6" w:space="0" w:color="auto"/>
              <w:right w:val="single" w:sz="6" w:space="0" w:color="auto"/>
            </w:tcBorders>
          </w:tcPr>
          <w:p w14:paraId="135E6A73" w14:textId="39DA1EE2" w:rsidR="00121758" w:rsidRPr="00BB1E65" w:rsidRDefault="003F5D70" w:rsidP="00FB1164">
            <w:pPr>
              <w:pStyle w:val="TableText"/>
            </w:pPr>
            <w:r w:rsidRPr="00BB1E65">
              <w:t>Specialist Examinations</w:t>
            </w:r>
          </w:p>
        </w:tc>
      </w:tr>
      <w:tr w:rsidR="00133EBE" w:rsidRPr="00BB1E65" w14:paraId="2292C6BE" w14:textId="77777777" w:rsidTr="00DC6C05">
        <w:trPr>
          <w:cantSplit/>
        </w:trPr>
        <w:tc>
          <w:tcPr>
            <w:tcW w:w="1086" w:type="dxa"/>
            <w:tcBorders>
              <w:top w:val="single" w:sz="6" w:space="0" w:color="auto"/>
              <w:left w:val="single" w:sz="6" w:space="0" w:color="auto"/>
              <w:bottom w:val="single" w:sz="6" w:space="0" w:color="auto"/>
              <w:right w:val="single" w:sz="6" w:space="0" w:color="auto"/>
            </w:tcBorders>
          </w:tcPr>
          <w:p w14:paraId="1B31D3D3" w14:textId="6E682ABF" w:rsidR="00133EBE" w:rsidRPr="00BB1E65" w:rsidRDefault="00133EBE" w:rsidP="00432CC0">
            <w:pPr>
              <w:pStyle w:val="TableText"/>
              <w:jc w:val="center"/>
            </w:pPr>
            <w:r w:rsidRPr="00BB1E65">
              <w:t>7</w:t>
            </w:r>
          </w:p>
        </w:tc>
        <w:tc>
          <w:tcPr>
            <w:tcW w:w="6480" w:type="dxa"/>
            <w:tcBorders>
              <w:top w:val="single" w:sz="6" w:space="0" w:color="auto"/>
              <w:left w:val="single" w:sz="6" w:space="0" w:color="auto"/>
              <w:bottom w:val="single" w:sz="6" w:space="0" w:color="auto"/>
              <w:right w:val="single" w:sz="6" w:space="0" w:color="auto"/>
            </w:tcBorders>
          </w:tcPr>
          <w:p w14:paraId="6198160C" w14:textId="6A1F27F1" w:rsidR="00133EBE" w:rsidRPr="00BB1E65" w:rsidRDefault="003F5D70" w:rsidP="00FB1164">
            <w:pPr>
              <w:pStyle w:val="TableText"/>
            </w:pPr>
            <w:r w:rsidRPr="00BB1E65">
              <w:t>Medical Opinions</w:t>
            </w:r>
          </w:p>
        </w:tc>
      </w:tr>
      <w:tr w:rsidR="00133EBE" w:rsidRPr="00BB1E65" w14:paraId="0FE1B695" w14:textId="77777777" w:rsidTr="00DC6C05">
        <w:trPr>
          <w:cantSplit/>
        </w:trPr>
        <w:tc>
          <w:tcPr>
            <w:tcW w:w="1086" w:type="dxa"/>
            <w:tcBorders>
              <w:top w:val="single" w:sz="6" w:space="0" w:color="auto"/>
              <w:left w:val="single" w:sz="6" w:space="0" w:color="auto"/>
              <w:bottom w:val="single" w:sz="6" w:space="0" w:color="auto"/>
              <w:right w:val="single" w:sz="6" w:space="0" w:color="auto"/>
            </w:tcBorders>
          </w:tcPr>
          <w:p w14:paraId="6F0DD6FB" w14:textId="131A6168" w:rsidR="00133EBE" w:rsidRPr="00BB1E65" w:rsidRDefault="00133EBE" w:rsidP="00432CC0">
            <w:pPr>
              <w:pStyle w:val="TableText"/>
              <w:jc w:val="center"/>
            </w:pPr>
            <w:r w:rsidRPr="00BB1E65">
              <w:t>8</w:t>
            </w:r>
          </w:p>
        </w:tc>
        <w:tc>
          <w:tcPr>
            <w:tcW w:w="6480" w:type="dxa"/>
            <w:tcBorders>
              <w:top w:val="single" w:sz="6" w:space="0" w:color="auto"/>
              <w:left w:val="single" w:sz="6" w:space="0" w:color="auto"/>
              <w:bottom w:val="single" w:sz="6" w:space="0" w:color="auto"/>
              <w:right w:val="single" w:sz="6" w:space="0" w:color="auto"/>
            </w:tcBorders>
          </w:tcPr>
          <w:p w14:paraId="00FD48E2" w14:textId="3F0D77AE" w:rsidR="00133EBE" w:rsidRPr="00BB1E65" w:rsidRDefault="003F5D70" w:rsidP="00FB1164">
            <w:pPr>
              <w:pStyle w:val="TableText"/>
            </w:pPr>
            <w:r w:rsidRPr="00BB1E65">
              <w:t>Aid and Attendance (A&amp;A) and Housebound Examinations</w:t>
            </w:r>
          </w:p>
        </w:tc>
      </w:tr>
      <w:tr w:rsidR="003659F4" w:rsidRPr="00BB1E65" w14:paraId="1A9CF632" w14:textId="77777777" w:rsidTr="00DC6C05">
        <w:trPr>
          <w:cantSplit/>
        </w:trPr>
        <w:tc>
          <w:tcPr>
            <w:tcW w:w="1086" w:type="dxa"/>
            <w:tcBorders>
              <w:top w:val="single" w:sz="6" w:space="0" w:color="auto"/>
              <w:left w:val="single" w:sz="6" w:space="0" w:color="auto"/>
              <w:bottom w:val="single" w:sz="6" w:space="0" w:color="auto"/>
              <w:right w:val="single" w:sz="6" w:space="0" w:color="auto"/>
            </w:tcBorders>
          </w:tcPr>
          <w:p w14:paraId="5CDEFD9A" w14:textId="76178EDF" w:rsidR="003659F4" w:rsidRPr="00BB1E65" w:rsidRDefault="003659F4" w:rsidP="00432CC0">
            <w:pPr>
              <w:pStyle w:val="TableText"/>
              <w:jc w:val="center"/>
            </w:pPr>
            <w:r w:rsidRPr="00BB1E65">
              <w:t>9</w:t>
            </w:r>
          </w:p>
        </w:tc>
        <w:tc>
          <w:tcPr>
            <w:tcW w:w="6480" w:type="dxa"/>
            <w:tcBorders>
              <w:top w:val="single" w:sz="6" w:space="0" w:color="auto"/>
              <w:left w:val="single" w:sz="6" w:space="0" w:color="auto"/>
              <w:bottom w:val="single" w:sz="6" w:space="0" w:color="auto"/>
              <w:right w:val="single" w:sz="6" w:space="0" w:color="auto"/>
            </w:tcBorders>
          </w:tcPr>
          <w:p w14:paraId="71B3D270" w14:textId="5160C22A" w:rsidR="003659F4" w:rsidRPr="00BB1E65" w:rsidRDefault="00F946B8" w:rsidP="00FB1164">
            <w:pPr>
              <w:pStyle w:val="TableText"/>
            </w:pPr>
            <w:r w:rsidRPr="00BB1E65">
              <w:t xml:space="preserve">Special Issue Claims and </w:t>
            </w:r>
            <w:r w:rsidR="003F5D70" w:rsidRPr="00BB1E65">
              <w:t>Other Types of Examination Requests</w:t>
            </w:r>
          </w:p>
        </w:tc>
      </w:tr>
      <w:tr w:rsidR="0042118E" w:rsidRPr="00BB1E65" w14:paraId="12075812" w14:textId="77777777" w:rsidTr="00DC6C05">
        <w:trPr>
          <w:cantSplit/>
        </w:trPr>
        <w:tc>
          <w:tcPr>
            <w:tcW w:w="1086" w:type="dxa"/>
            <w:tcBorders>
              <w:top w:val="single" w:sz="6" w:space="0" w:color="auto"/>
              <w:left w:val="single" w:sz="6" w:space="0" w:color="auto"/>
              <w:bottom w:val="single" w:sz="6" w:space="0" w:color="auto"/>
              <w:right w:val="single" w:sz="6" w:space="0" w:color="auto"/>
            </w:tcBorders>
          </w:tcPr>
          <w:p w14:paraId="1207580F" w14:textId="6B4B4231" w:rsidR="0042118E" w:rsidRPr="00BB1E65" w:rsidRDefault="008F3A9B" w:rsidP="00432CC0">
            <w:pPr>
              <w:pStyle w:val="TableText"/>
              <w:jc w:val="center"/>
            </w:pPr>
            <w:r w:rsidRPr="00BB1E65">
              <w:t>10</w:t>
            </w:r>
          </w:p>
        </w:tc>
        <w:tc>
          <w:tcPr>
            <w:tcW w:w="6480" w:type="dxa"/>
            <w:tcBorders>
              <w:top w:val="single" w:sz="6" w:space="0" w:color="auto"/>
              <w:left w:val="single" w:sz="6" w:space="0" w:color="auto"/>
              <w:bottom w:val="single" w:sz="6" w:space="0" w:color="auto"/>
              <w:right w:val="single" w:sz="6" w:space="0" w:color="auto"/>
            </w:tcBorders>
          </w:tcPr>
          <w:p w14:paraId="12075810" w14:textId="55B5BD2F" w:rsidR="0042118E" w:rsidRPr="00BB1E65" w:rsidRDefault="003F5D70">
            <w:pPr>
              <w:pStyle w:val="TableText"/>
            </w:pPr>
            <w:r w:rsidRPr="00BB1E65">
              <w:t>General Information on Social Surveys</w:t>
            </w:r>
          </w:p>
        </w:tc>
      </w:tr>
      <w:tr w:rsidR="0042118E" w:rsidRPr="00BB1E65" w14:paraId="12075822" w14:textId="77777777" w:rsidTr="00DC6C05">
        <w:trPr>
          <w:cantSplit/>
        </w:trPr>
        <w:tc>
          <w:tcPr>
            <w:tcW w:w="1086" w:type="dxa"/>
            <w:tcBorders>
              <w:top w:val="single" w:sz="6" w:space="0" w:color="auto"/>
              <w:left w:val="single" w:sz="6" w:space="0" w:color="auto"/>
              <w:bottom w:val="single" w:sz="6" w:space="0" w:color="auto"/>
              <w:right w:val="single" w:sz="6" w:space="0" w:color="auto"/>
            </w:tcBorders>
          </w:tcPr>
          <w:p w14:paraId="1207581F" w14:textId="0254AD73" w:rsidR="0042118E" w:rsidRPr="00BB1E65" w:rsidRDefault="008F3A9B" w:rsidP="001B4549">
            <w:pPr>
              <w:pStyle w:val="TableText"/>
              <w:jc w:val="center"/>
            </w:pPr>
            <w:r w:rsidRPr="00BB1E65">
              <w:t>11</w:t>
            </w:r>
          </w:p>
        </w:tc>
        <w:tc>
          <w:tcPr>
            <w:tcW w:w="6480" w:type="dxa"/>
            <w:tcBorders>
              <w:top w:val="single" w:sz="6" w:space="0" w:color="auto"/>
              <w:left w:val="single" w:sz="6" w:space="0" w:color="auto"/>
              <w:bottom w:val="single" w:sz="6" w:space="0" w:color="auto"/>
              <w:right w:val="single" w:sz="6" w:space="0" w:color="auto"/>
            </w:tcBorders>
          </w:tcPr>
          <w:p w14:paraId="12075820" w14:textId="284D2FC7" w:rsidR="0042118E" w:rsidRPr="00BB1E65" w:rsidRDefault="003F5D70">
            <w:pPr>
              <w:pStyle w:val="TableText"/>
            </w:pPr>
            <w:r w:rsidRPr="00BB1E65">
              <w:t>Former Prisoner of War (FPOW) Protocol Examinations</w:t>
            </w:r>
          </w:p>
        </w:tc>
      </w:tr>
      <w:tr w:rsidR="0042118E" w:rsidRPr="00BB1E65" w14:paraId="12075826" w14:textId="77777777" w:rsidTr="00DC6C05">
        <w:trPr>
          <w:cantSplit/>
        </w:trPr>
        <w:tc>
          <w:tcPr>
            <w:tcW w:w="1086" w:type="dxa"/>
            <w:tcBorders>
              <w:top w:val="single" w:sz="6" w:space="0" w:color="auto"/>
              <w:left w:val="single" w:sz="6" w:space="0" w:color="auto"/>
              <w:bottom w:val="single" w:sz="6" w:space="0" w:color="auto"/>
              <w:right w:val="single" w:sz="6" w:space="0" w:color="auto"/>
            </w:tcBorders>
          </w:tcPr>
          <w:p w14:paraId="12075823" w14:textId="50CDA0FC" w:rsidR="0042118E" w:rsidRPr="00BB1E65" w:rsidRDefault="008F3A9B" w:rsidP="00432CC0">
            <w:pPr>
              <w:pStyle w:val="TableText"/>
              <w:jc w:val="center"/>
            </w:pPr>
            <w:r w:rsidRPr="00BB1E65">
              <w:t>12</w:t>
            </w:r>
          </w:p>
        </w:tc>
        <w:tc>
          <w:tcPr>
            <w:tcW w:w="6480" w:type="dxa"/>
            <w:tcBorders>
              <w:top w:val="single" w:sz="6" w:space="0" w:color="auto"/>
              <w:left w:val="single" w:sz="6" w:space="0" w:color="auto"/>
              <w:bottom w:val="single" w:sz="6" w:space="0" w:color="auto"/>
              <w:right w:val="single" w:sz="6" w:space="0" w:color="auto"/>
            </w:tcBorders>
          </w:tcPr>
          <w:p w14:paraId="12075824" w14:textId="365DF387" w:rsidR="0042118E" w:rsidRPr="00BB1E65" w:rsidRDefault="003F5D70">
            <w:pPr>
              <w:pStyle w:val="TableText"/>
            </w:pPr>
            <w:r w:rsidRPr="00BB1E65">
              <w:t>FPOW Social Surveys</w:t>
            </w:r>
          </w:p>
        </w:tc>
      </w:tr>
      <w:tr w:rsidR="008F3A9B" w:rsidRPr="00BB1E65" w14:paraId="35706E7C" w14:textId="77777777" w:rsidTr="00DC6C05">
        <w:trPr>
          <w:cantSplit/>
        </w:trPr>
        <w:tc>
          <w:tcPr>
            <w:tcW w:w="1086" w:type="dxa"/>
            <w:tcBorders>
              <w:top w:val="single" w:sz="6" w:space="0" w:color="auto"/>
              <w:left w:val="single" w:sz="6" w:space="0" w:color="auto"/>
              <w:bottom w:val="single" w:sz="6" w:space="0" w:color="auto"/>
              <w:right w:val="single" w:sz="6" w:space="0" w:color="auto"/>
            </w:tcBorders>
          </w:tcPr>
          <w:p w14:paraId="5747E96B" w14:textId="2413B7F5" w:rsidR="008F3A9B" w:rsidRPr="00BB1E65" w:rsidRDefault="008F3A9B" w:rsidP="00432CC0">
            <w:pPr>
              <w:pStyle w:val="TableText"/>
              <w:jc w:val="center"/>
            </w:pPr>
            <w:r w:rsidRPr="00BB1E65">
              <w:t>13</w:t>
            </w:r>
          </w:p>
        </w:tc>
        <w:tc>
          <w:tcPr>
            <w:tcW w:w="6480" w:type="dxa"/>
            <w:tcBorders>
              <w:top w:val="single" w:sz="6" w:space="0" w:color="auto"/>
              <w:left w:val="single" w:sz="6" w:space="0" w:color="auto"/>
              <w:bottom w:val="single" w:sz="6" w:space="0" w:color="auto"/>
              <w:right w:val="single" w:sz="6" w:space="0" w:color="auto"/>
            </w:tcBorders>
          </w:tcPr>
          <w:p w14:paraId="7CD29378" w14:textId="151092B3" w:rsidR="008F3A9B" w:rsidRPr="00BB1E65" w:rsidRDefault="005336D4" w:rsidP="00FB1164">
            <w:pPr>
              <w:pStyle w:val="TableText"/>
            </w:pPr>
            <w:r w:rsidRPr="00BB1E65">
              <w:t xml:space="preserve">Pre-Discharge Examinations </w:t>
            </w:r>
          </w:p>
        </w:tc>
      </w:tr>
      <w:tr w:rsidR="008F3A9B" w:rsidRPr="00BB1E65" w14:paraId="1D79D31C" w14:textId="77777777" w:rsidTr="00DC6C05">
        <w:trPr>
          <w:cantSplit/>
        </w:trPr>
        <w:tc>
          <w:tcPr>
            <w:tcW w:w="1086" w:type="dxa"/>
            <w:tcBorders>
              <w:top w:val="single" w:sz="6" w:space="0" w:color="auto"/>
              <w:left w:val="single" w:sz="6" w:space="0" w:color="auto"/>
              <w:bottom w:val="single" w:sz="6" w:space="0" w:color="auto"/>
              <w:right w:val="single" w:sz="6" w:space="0" w:color="auto"/>
            </w:tcBorders>
          </w:tcPr>
          <w:p w14:paraId="354B69AF" w14:textId="3C75B094" w:rsidR="008F3A9B" w:rsidRPr="00BB1E65" w:rsidRDefault="008F3A9B" w:rsidP="00432CC0">
            <w:pPr>
              <w:pStyle w:val="TableText"/>
              <w:jc w:val="center"/>
            </w:pPr>
            <w:r w:rsidRPr="00BB1E65">
              <w:t>14</w:t>
            </w:r>
          </w:p>
        </w:tc>
        <w:tc>
          <w:tcPr>
            <w:tcW w:w="6480" w:type="dxa"/>
            <w:tcBorders>
              <w:top w:val="single" w:sz="6" w:space="0" w:color="auto"/>
              <w:left w:val="single" w:sz="6" w:space="0" w:color="auto"/>
              <w:bottom w:val="single" w:sz="6" w:space="0" w:color="auto"/>
              <w:right w:val="single" w:sz="6" w:space="0" w:color="auto"/>
            </w:tcBorders>
          </w:tcPr>
          <w:p w14:paraId="292221DD" w14:textId="6E0BCC04" w:rsidR="008F3A9B" w:rsidRPr="00BB1E65" w:rsidRDefault="005336D4" w:rsidP="00725530">
            <w:pPr>
              <w:pStyle w:val="TableText"/>
            </w:pPr>
            <w:r w:rsidRPr="00BB1E65">
              <w:rPr>
                <w:color w:val="auto"/>
              </w:rPr>
              <w:t>Examinations of Pregnant Claimants</w:t>
            </w:r>
          </w:p>
        </w:tc>
      </w:tr>
      <w:tr w:rsidR="00C41B19" w:rsidRPr="00BB1E65" w14:paraId="59661ED1" w14:textId="77777777" w:rsidTr="00DC6C05">
        <w:trPr>
          <w:cantSplit/>
        </w:trPr>
        <w:tc>
          <w:tcPr>
            <w:tcW w:w="1086" w:type="dxa"/>
            <w:tcBorders>
              <w:top w:val="single" w:sz="6" w:space="0" w:color="auto"/>
              <w:left w:val="single" w:sz="6" w:space="0" w:color="auto"/>
              <w:bottom w:val="single" w:sz="6" w:space="0" w:color="auto"/>
              <w:right w:val="single" w:sz="6" w:space="0" w:color="auto"/>
            </w:tcBorders>
          </w:tcPr>
          <w:p w14:paraId="406D27E9" w14:textId="5738B038" w:rsidR="00C41B19" w:rsidRPr="00BB1E65" w:rsidRDefault="008F3A9B" w:rsidP="00432CC0">
            <w:pPr>
              <w:pStyle w:val="TableText"/>
              <w:jc w:val="center"/>
            </w:pPr>
            <w:r w:rsidRPr="00BB1E65">
              <w:t>15</w:t>
            </w:r>
          </w:p>
        </w:tc>
        <w:tc>
          <w:tcPr>
            <w:tcW w:w="6480" w:type="dxa"/>
            <w:tcBorders>
              <w:top w:val="single" w:sz="6" w:space="0" w:color="auto"/>
              <w:left w:val="single" w:sz="6" w:space="0" w:color="auto"/>
              <w:bottom w:val="single" w:sz="6" w:space="0" w:color="auto"/>
              <w:right w:val="single" w:sz="6" w:space="0" w:color="auto"/>
            </w:tcBorders>
          </w:tcPr>
          <w:p w14:paraId="36A0FF12" w14:textId="05955521" w:rsidR="00C41B19" w:rsidRPr="00BB1E65" w:rsidRDefault="005336D4">
            <w:pPr>
              <w:pStyle w:val="TableText"/>
            </w:pPr>
            <w:r w:rsidRPr="00BB1E65">
              <w:t>Examiner Review of the Claims Folder</w:t>
            </w:r>
          </w:p>
        </w:tc>
      </w:tr>
      <w:tr w:rsidR="0042118E" w:rsidRPr="00BB1E65" w14:paraId="1207583A" w14:textId="77777777" w:rsidTr="00DC6C05">
        <w:trPr>
          <w:cantSplit/>
        </w:trPr>
        <w:tc>
          <w:tcPr>
            <w:tcW w:w="1086" w:type="dxa"/>
            <w:tcBorders>
              <w:top w:val="single" w:sz="6" w:space="0" w:color="auto"/>
              <w:left w:val="single" w:sz="6" w:space="0" w:color="auto"/>
              <w:bottom w:val="single" w:sz="6" w:space="0" w:color="auto"/>
              <w:right w:val="single" w:sz="6" w:space="0" w:color="auto"/>
            </w:tcBorders>
          </w:tcPr>
          <w:p w14:paraId="12075837" w14:textId="34CD3155" w:rsidR="0042118E" w:rsidRPr="00BB1E65" w:rsidRDefault="008F3A9B" w:rsidP="00432CC0">
            <w:pPr>
              <w:pStyle w:val="TableText"/>
              <w:jc w:val="center"/>
            </w:pPr>
            <w:r w:rsidRPr="00BB1E65">
              <w:t>16</w:t>
            </w:r>
          </w:p>
        </w:tc>
        <w:tc>
          <w:tcPr>
            <w:tcW w:w="6480" w:type="dxa"/>
            <w:tcBorders>
              <w:top w:val="single" w:sz="6" w:space="0" w:color="auto"/>
              <w:left w:val="single" w:sz="6" w:space="0" w:color="auto"/>
              <w:bottom w:val="single" w:sz="6" w:space="0" w:color="auto"/>
              <w:right w:val="single" w:sz="6" w:space="0" w:color="auto"/>
            </w:tcBorders>
          </w:tcPr>
          <w:p w14:paraId="12075838" w14:textId="72D1E1B7" w:rsidR="0042118E" w:rsidRPr="00BB1E65" w:rsidRDefault="005336D4">
            <w:pPr>
              <w:pStyle w:val="TableText"/>
            </w:pPr>
            <w:r w:rsidRPr="00BB1E65">
              <w:t>Inputting Examination Requests</w:t>
            </w:r>
          </w:p>
        </w:tc>
      </w:tr>
    </w:tbl>
    <w:p w14:paraId="1207583F" w14:textId="425B6B44" w:rsidR="00135DC0" w:rsidRPr="00BB1E65" w:rsidRDefault="00135DC0">
      <w:pPr>
        <w:pStyle w:val="BlockLine"/>
      </w:pPr>
    </w:p>
    <w:p w14:paraId="25015C07" w14:textId="77777777" w:rsidR="00FB1164" w:rsidRPr="00BB1E65" w:rsidRDefault="00FB1164">
      <w:pPr>
        <w:rPr>
          <w:rFonts w:ascii="Arial" w:hAnsi="Arial" w:cs="Arial"/>
          <w:b/>
          <w:bCs/>
          <w:sz w:val="32"/>
          <w:szCs w:val="32"/>
        </w:rPr>
      </w:pPr>
      <w:r w:rsidRPr="00BB1E65">
        <w:br w:type="page"/>
      </w:r>
    </w:p>
    <w:p w14:paraId="12075840" w14:textId="2667BAC0" w:rsidR="00135DC0" w:rsidRPr="00BB1E65" w:rsidRDefault="00135DC0">
      <w:pPr>
        <w:pStyle w:val="Heading4"/>
      </w:pPr>
      <w:bookmarkStart w:id="0" w:name="_1.__General"/>
      <w:bookmarkEnd w:id="0"/>
      <w:r w:rsidRPr="00BB1E65">
        <w:lastRenderedPageBreak/>
        <w:t>1.  General Information on Examination Requests</w:t>
      </w:r>
    </w:p>
    <w:p w14:paraId="12075841" w14:textId="77777777" w:rsidR="00135DC0" w:rsidRPr="00BB1E65" w:rsidRDefault="00DE46D0">
      <w:pPr>
        <w:pStyle w:val="BlockLine"/>
      </w:pPr>
      <w:r w:rsidRPr="00BB1E65">
        <w:fldChar w:fldCharType="begin"/>
      </w:r>
      <w:r w:rsidR="00135DC0" w:rsidRPr="00BB1E65">
        <w:instrText xml:space="preserve"> PRIVATE INFOTYPE="OTHER"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BB1E65" w14:paraId="12075858" w14:textId="77777777">
        <w:trPr>
          <w:cantSplit/>
        </w:trPr>
        <w:tc>
          <w:tcPr>
            <w:tcW w:w="1728" w:type="dxa"/>
            <w:tcBorders>
              <w:top w:val="nil"/>
              <w:left w:val="nil"/>
              <w:bottom w:val="nil"/>
              <w:right w:val="nil"/>
            </w:tcBorders>
          </w:tcPr>
          <w:p w14:paraId="12075842" w14:textId="77777777" w:rsidR="00135DC0" w:rsidRPr="00BB1E65" w:rsidRDefault="00135DC0">
            <w:pPr>
              <w:pStyle w:val="Heading5"/>
            </w:pPr>
            <w:r w:rsidRPr="00BB1E65">
              <w:t>Introduction</w:t>
            </w:r>
          </w:p>
        </w:tc>
        <w:tc>
          <w:tcPr>
            <w:tcW w:w="7740" w:type="dxa"/>
            <w:tcBorders>
              <w:top w:val="nil"/>
              <w:left w:val="nil"/>
              <w:bottom w:val="nil"/>
              <w:right w:val="nil"/>
            </w:tcBorders>
          </w:tcPr>
          <w:p w14:paraId="12075843" w14:textId="77777777" w:rsidR="00135DC0" w:rsidRPr="00BB1E65" w:rsidRDefault="00135DC0">
            <w:pPr>
              <w:pStyle w:val="BlockText"/>
            </w:pPr>
            <w:r w:rsidRPr="00BB1E65">
              <w:t>This topic contains general information about examination requests, including</w:t>
            </w:r>
          </w:p>
          <w:p w14:paraId="12075844" w14:textId="77777777" w:rsidR="00135DC0" w:rsidRPr="00BB1E65" w:rsidRDefault="00135DC0">
            <w:pPr>
              <w:pStyle w:val="BlockText"/>
            </w:pPr>
          </w:p>
          <w:p w14:paraId="12075845" w14:textId="77777777" w:rsidR="00135DC0" w:rsidRPr="00BB1E65" w:rsidRDefault="00135DC0">
            <w:pPr>
              <w:pStyle w:val="BulletText1"/>
            </w:pPr>
            <w:r w:rsidRPr="00BB1E65">
              <w:t>who may request an examination</w:t>
            </w:r>
          </w:p>
          <w:p w14:paraId="12075846" w14:textId="0BFDC59D" w:rsidR="00135DC0" w:rsidRPr="00BB1E65" w:rsidRDefault="00133CBD">
            <w:pPr>
              <w:pStyle w:val="BulletText1"/>
            </w:pPr>
            <w:r w:rsidRPr="00BB1E65">
              <w:t>appropriate</w:t>
            </w:r>
            <w:r w:rsidR="00E413B7" w:rsidRPr="00BB1E65">
              <w:t xml:space="preserve"> examination</w:t>
            </w:r>
            <w:r w:rsidR="00135DC0" w:rsidRPr="00BB1E65">
              <w:t xml:space="preserve"> facility</w:t>
            </w:r>
          </w:p>
          <w:p w14:paraId="66513C2E" w14:textId="40810351" w:rsidR="009E344A" w:rsidRPr="00BB1E65" w:rsidRDefault="009E344A">
            <w:pPr>
              <w:pStyle w:val="BulletText1"/>
            </w:pPr>
            <w:r w:rsidRPr="00BB1E65">
              <w:t>jurisdiction for examination requests for foreign resident beneficiaries</w:t>
            </w:r>
          </w:p>
          <w:p w14:paraId="4E01E718" w14:textId="13083FF1" w:rsidR="005B3357" w:rsidRPr="00BB1E65" w:rsidRDefault="005B3357" w:rsidP="005B3357">
            <w:pPr>
              <w:pStyle w:val="BulletText1"/>
            </w:pPr>
            <w:r w:rsidRPr="00BB1E65">
              <w:t xml:space="preserve">requesting </w:t>
            </w:r>
            <w:r w:rsidR="00FD36DA" w:rsidRPr="00BB1E65">
              <w:t>Veteran Health Administration (</w:t>
            </w:r>
            <w:r w:rsidRPr="00BB1E65">
              <w:t>VHA</w:t>
            </w:r>
            <w:r w:rsidR="00FD36DA" w:rsidRPr="00BB1E65">
              <w:t>)</w:t>
            </w:r>
            <w:r w:rsidRPr="00BB1E65">
              <w:t xml:space="preserve"> </w:t>
            </w:r>
            <w:r w:rsidR="00D30BF1" w:rsidRPr="00BB1E65">
              <w:t xml:space="preserve">examinations in the geographic jurisdiction of another </w:t>
            </w:r>
            <w:r w:rsidR="0008672D" w:rsidRPr="00BB1E65">
              <w:t>r</w:t>
            </w:r>
            <w:r w:rsidR="00D30BF1" w:rsidRPr="00BB1E65">
              <w:t xml:space="preserve">egional </w:t>
            </w:r>
            <w:r w:rsidR="0008672D" w:rsidRPr="00BB1E65">
              <w:t>o</w:t>
            </w:r>
            <w:r w:rsidR="00D30BF1" w:rsidRPr="00BB1E65">
              <w:t>ffice (</w:t>
            </w:r>
            <w:r w:rsidRPr="00BB1E65">
              <w:t>RO</w:t>
            </w:r>
            <w:r w:rsidR="00D30BF1" w:rsidRPr="00BB1E65">
              <w:t>)</w:t>
            </w:r>
          </w:p>
          <w:p w14:paraId="1207584E" w14:textId="752E702A" w:rsidR="00135DC0" w:rsidRPr="00BB1E65" w:rsidRDefault="00135DC0" w:rsidP="00703A51">
            <w:pPr>
              <w:pStyle w:val="BulletText1"/>
            </w:pPr>
            <w:r w:rsidRPr="00BB1E65">
              <w:t>when an examination or opinion is necessary</w:t>
            </w:r>
          </w:p>
          <w:p w14:paraId="211091E4" w14:textId="3EEA4D51" w:rsidR="00E413B7" w:rsidRPr="00BB1E65" w:rsidRDefault="00135DC0">
            <w:pPr>
              <w:pStyle w:val="BulletText1"/>
            </w:pPr>
            <w:r w:rsidRPr="00BB1E65">
              <w:t>definition</w:t>
            </w:r>
            <w:r w:rsidR="007155FE" w:rsidRPr="00BB1E65">
              <w:t xml:space="preserve"> of</w:t>
            </w:r>
            <w:r w:rsidRPr="00BB1E65">
              <w:t xml:space="preserve"> general medical examination</w:t>
            </w:r>
          </w:p>
          <w:p w14:paraId="7E119A50" w14:textId="3DA4E22F" w:rsidR="00E413B7" w:rsidRPr="00BB1E65" w:rsidRDefault="00E413B7">
            <w:pPr>
              <w:pStyle w:val="BulletText1"/>
            </w:pPr>
            <w:r w:rsidRPr="00BB1E65">
              <w:t>definition</w:t>
            </w:r>
            <w:r w:rsidR="007155FE" w:rsidRPr="00BB1E65">
              <w:t xml:space="preserve"> of</w:t>
            </w:r>
            <w:r w:rsidRPr="00BB1E65">
              <w:t xml:space="preserve"> </w:t>
            </w:r>
            <w:r w:rsidR="00135DC0" w:rsidRPr="00BB1E65">
              <w:t>specialty examination</w:t>
            </w:r>
          </w:p>
          <w:p w14:paraId="1207584F" w14:textId="4F165897" w:rsidR="00135DC0" w:rsidRPr="00BB1E65" w:rsidRDefault="00E413B7">
            <w:pPr>
              <w:pStyle w:val="BulletText1"/>
            </w:pPr>
            <w:r w:rsidRPr="00BB1E65">
              <w:t>definition</w:t>
            </w:r>
            <w:r w:rsidR="007155FE" w:rsidRPr="00BB1E65">
              <w:t xml:space="preserve"> of</w:t>
            </w:r>
            <w:r w:rsidRPr="00BB1E65">
              <w:t xml:space="preserve"> </w:t>
            </w:r>
            <w:r w:rsidR="00135DC0" w:rsidRPr="00BB1E65">
              <w:t>specialist examination</w:t>
            </w:r>
          </w:p>
          <w:p w14:paraId="5BE1D890" w14:textId="77777777" w:rsidR="008378AA" w:rsidRPr="00BB1E65" w:rsidRDefault="00135DC0" w:rsidP="009E344A">
            <w:pPr>
              <w:pStyle w:val="BulletText1"/>
            </w:pPr>
            <w:r w:rsidRPr="00BB1E65">
              <w:t>Veteran’s legal rights at an examination</w:t>
            </w:r>
            <w:r w:rsidR="008378AA" w:rsidRPr="00BB1E65">
              <w:t xml:space="preserve">, and </w:t>
            </w:r>
          </w:p>
          <w:p w14:paraId="12075857" w14:textId="6BE80384" w:rsidR="006B5B0A" w:rsidRPr="00BB1E65" w:rsidRDefault="00786EB5" w:rsidP="00786EB5">
            <w:pPr>
              <w:pStyle w:val="BulletText1"/>
            </w:pPr>
            <w:r w:rsidRPr="00BB1E65">
              <w:t>contract examination exclusions</w:t>
            </w:r>
            <w:r w:rsidR="00581CF6" w:rsidRPr="00BB1E65">
              <w:t>.</w:t>
            </w:r>
          </w:p>
        </w:tc>
      </w:tr>
    </w:tbl>
    <w:p w14:paraId="65F277AC" w14:textId="023E01A8" w:rsidR="00D41079" w:rsidRPr="00BB1E65" w:rsidRDefault="00D41079" w:rsidP="00D41079">
      <w:pPr>
        <w:tabs>
          <w:tab w:val="left" w:pos="9360"/>
        </w:tabs>
        <w:ind w:left="1714"/>
      </w:pPr>
      <w:r w:rsidRPr="00BB1E65">
        <w:rPr>
          <w:u w:val="single"/>
        </w:rPr>
        <w:tab/>
      </w:r>
    </w:p>
    <w:p w14:paraId="4522DF68" w14:textId="77777777" w:rsidR="00D41079" w:rsidRPr="00BB1E65" w:rsidRDefault="00D41079" w:rsidP="00514AF9"/>
    <w:tbl>
      <w:tblPr>
        <w:tblW w:w="0" w:type="auto"/>
        <w:tblInd w:w="-106" w:type="dxa"/>
        <w:tblLayout w:type="fixed"/>
        <w:tblLook w:val="0000" w:firstRow="0" w:lastRow="0" w:firstColumn="0" w:lastColumn="0" w:noHBand="0" w:noVBand="0"/>
      </w:tblPr>
      <w:tblGrid>
        <w:gridCol w:w="1728"/>
        <w:gridCol w:w="7740"/>
      </w:tblGrid>
      <w:tr w:rsidR="00135DC0" w:rsidRPr="00BB1E65" w14:paraId="1207585C" w14:textId="77777777">
        <w:trPr>
          <w:cantSplit/>
        </w:trPr>
        <w:tc>
          <w:tcPr>
            <w:tcW w:w="1728" w:type="dxa"/>
            <w:tcBorders>
              <w:top w:val="nil"/>
              <w:left w:val="nil"/>
              <w:bottom w:val="nil"/>
              <w:right w:val="nil"/>
            </w:tcBorders>
          </w:tcPr>
          <w:p w14:paraId="1207585A" w14:textId="77777777" w:rsidR="00135DC0" w:rsidRPr="00BB1E65" w:rsidRDefault="00135DC0">
            <w:pPr>
              <w:pStyle w:val="Heading5"/>
            </w:pPr>
            <w:r w:rsidRPr="00BB1E65">
              <w:t>Change Date</w:t>
            </w:r>
          </w:p>
        </w:tc>
        <w:tc>
          <w:tcPr>
            <w:tcW w:w="7740" w:type="dxa"/>
            <w:tcBorders>
              <w:top w:val="nil"/>
              <w:left w:val="nil"/>
              <w:bottom w:val="nil"/>
              <w:right w:val="nil"/>
            </w:tcBorders>
          </w:tcPr>
          <w:p w14:paraId="1207585B" w14:textId="49F9CA1F" w:rsidR="00135DC0" w:rsidRPr="00BB1E65" w:rsidRDefault="00BC7F5B">
            <w:pPr>
              <w:pStyle w:val="BlockText"/>
            </w:pPr>
            <w:r w:rsidRPr="00BB1E65">
              <w:t>January 15, 2016</w:t>
            </w:r>
          </w:p>
        </w:tc>
      </w:tr>
    </w:tbl>
    <w:p w14:paraId="1207585D" w14:textId="77777777" w:rsidR="00135DC0" w:rsidRPr="00BB1E65" w:rsidRDefault="00DE46D0">
      <w:pPr>
        <w:pStyle w:val="BlockLine"/>
      </w:pPr>
      <w:r w:rsidRPr="00BB1E65">
        <w:fldChar w:fldCharType="begin"/>
      </w:r>
      <w:r w:rsidR="00135DC0"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BB1E65" w14:paraId="12075864" w14:textId="77777777">
        <w:trPr>
          <w:cantSplit/>
        </w:trPr>
        <w:tc>
          <w:tcPr>
            <w:tcW w:w="1728" w:type="dxa"/>
            <w:tcBorders>
              <w:top w:val="nil"/>
              <w:left w:val="nil"/>
              <w:bottom w:val="nil"/>
              <w:right w:val="nil"/>
            </w:tcBorders>
          </w:tcPr>
          <w:p w14:paraId="1207585E" w14:textId="77777777" w:rsidR="00135DC0" w:rsidRPr="00BB1E65" w:rsidRDefault="00135DC0">
            <w:pPr>
              <w:pStyle w:val="Heading5"/>
            </w:pPr>
            <w:r w:rsidRPr="00BB1E65">
              <w:t>a.  Who May Request an Examination</w:t>
            </w:r>
          </w:p>
        </w:tc>
        <w:tc>
          <w:tcPr>
            <w:tcW w:w="7740" w:type="dxa"/>
            <w:tcBorders>
              <w:top w:val="nil"/>
              <w:left w:val="nil"/>
              <w:bottom w:val="nil"/>
              <w:right w:val="nil"/>
            </w:tcBorders>
          </w:tcPr>
          <w:p w14:paraId="1207585F" w14:textId="3E84CDA5" w:rsidR="00135DC0" w:rsidRPr="00BB1E65" w:rsidRDefault="00135DC0">
            <w:pPr>
              <w:pStyle w:val="BlockText"/>
            </w:pPr>
            <w:r w:rsidRPr="00BB1E65">
              <w:t xml:space="preserve">Veterans Service Representatives (VSRs) in the development activity have primary responsibility for requesting examinations.  </w:t>
            </w:r>
          </w:p>
          <w:p w14:paraId="12075860" w14:textId="77777777" w:rsidR="00135DC0" w:rsidRPr="00BB1E65" w:rsidRDefault="00135DC0">
            <w:pPr>
              <w:pStyle w:val="BlockText"/>
            </w:pPr>
          </w:p>
          <w:p w14:paraId="12075861" w14:textId="77777777" w:rsidR="00135DC0" w:rsidRPr="00BB1E65" w:rsidRDefault="00135DC0">
            <w:pPr>
              <w:pStyle w:val="BlockText"/>
            </w:pPr>
            <w:r w:rsidRPr="00BB1E65">
              <w:t xml:space="preserve">A Rating Veterans Service Representative (RVSR) or Decision Review Officer (DRO) may provide guidance as necessary and also have authority to request examinations.  </w:t>
            </w:r>
          </w:p>
          <w:p w14:paraId="12075862" w14:textId="77777777" w:rsidR="00135DC0" w:rsidRPr="00BB1E65" w:rsidRDefault="00135DC0">
            <w:pPr>
              <w:pStyle w:val="BlockText"/>
            </w:pPr>
          </w:p>
          <w:p w14:paraId="12075863" w14:textId="7D8B07F1" w:rsidR="00135DC0" w:rsidRPr="00BB1E65" w:rsidRDefault="00135DC0">
            <w:pPr>
              <w:pStyle w:val="BlockText"/>
            </w:pPr>
            <w:r w:rsidRPr="00BB1E65">
              <w:t xml:space="preserve">In addition, a Veterans Service Center Manager (VSCM) </w:t>
            </w:r>
            <w:r w:rsidR="0017701B" w:rsidRPr="00BB1E65">
              <w:t xml:space="preserve">or designee </w:t>
            </w:r>
            <w:r w:rsidRPr="00BB1E65">
              <w:t>may authorize an examination in any case in which he/she believes it is warranted.</w:t>
            </w:r>
          </w:p>
        </w:tc>
      </w:tr>
    </w:tbl>
    <w:p w14:paraId="12075867" w14:textId="0D44507F" w:rsidR="00135DC0" w:rsidRPr="00BB1E65" w:rsidRDefault="00FC3C8E">
      <w:pPr>
        <w:pStyle w:val="BlockLine"/>
      </w:pPr>
      <w:r w:rsidRPr="00BB1E65">
        <w:fldChar w:fldCharType="begin"/>
      </w:r>
      <w:r w:rsidRPr="00BB1E65">
        <w:instrText xml:space="preserve"> PRIVATE INFOTYPE="CONCEPT"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BB1E65" w14:paraId="1207587E" w14:textId="77777777" w:rsidTr="00EF3341">
        <w:tc>
          <w:tcPr>
            <w:tcW w:w="1728" w:type="dxa"/>
            <w:tcBorders>
              <w:top w:val="nil"/>
              <w:left w:val="nil"/>
              <w:bottom w:val="nil"/>
              <w:right w:val="nil"/>
            </w:tcBorders>
          </w:tcPr>
          <w:p w14:paraId="12075869" w14:textId="67C8A766" w:rsidR="00135DC0" w:rsidRPr="00BB1E65" w:rsidRDefault="00135DC0" w:rsidP="00E413B7">
            <w:pPr>
              <w:pStyle w:val="Heading5"/>
            </w:pPr>
            <w:r w:rsidRPr="00BB1E65">
              <w:t xml:space="preserve">b.  </w:t>
            </w:r>
            <w:r w:rsidR="00133CBD" w:rsidRPr="00BB1E65">
              <w:t>Appropriate</w:t>
            </w:r>
            <w:r w:rsidRPr="00BB1E65">
              <w:t xml:space="preserve"> </w:t>
            </w:r>
            <w:r w:rsidR="00E413B7" w:rsidRPr="00BB1E65">
              <w:t xml:space="preserve">Examination </w:t>
            </w:r>
            <w:r w:rsidRPr="00BB1E65">
              <w:t xml:space="preserve">Facility </w:t>
            </w:r>
          </w:p>
        </w:tc>
        <w:tc>
          <w:tcPr>
            <w:tcW w:w="7740" w:type="dxa"/>
            <w:tcBorders>
              <w:top w:val="nil"/>
              <w:left w:val="nil"/>
              <w:bottom w:val="nil"/>
              <w:right w:val="nil"/>
            </w:tcBorders>
          </w:tcPr>
          <w:p w14:paraId="41A061F3" w14:textId="17CAE1AD" w:rsidR="00712D50" w:rsidRPr="00BB1E65" w:rsidRDefault="00DF255A">
            <w:pPr>
              <w:pStyle w:val="BlockText"/>
            </w:pPr>
            <w:r w:rsidRPr="00BB1E65">
              <w:t>An</w:t>
            </w:r>
            <w:r w:rsidR="00702B33" w:rsidRPr="00BB1E65">
              <w:t xml:space="preserve"> </w:t>
            </w:r>
            <w:r w:rsidR="00133CBD" w:rsidRPr="00BB1E65">
              <w:rPr>
                <w:b/>
                <w:i/>
              </w:rPr>
              <w:t>a</w:t>
            </w:r>
            <w:r w:rsidR="00702B33" w:rsidRPr="00BB1E65">
              <w:rPr>
                <w:b/>
                <w:i/>
              </w:rPr>
              <w:t>p</w:t>
            </w:r>
            <w:r w:rsidR="00133CBD" w:rsidRPr="00BB1E65">
              <w:rPr>
                <w:b/>
                <w:i/>
              </w:rPr>
              <w:t>p</w:t>
            </w:r>
            <w:r w:rsidR="00702B33" w:rsidRPr="00BB1E65">
              <w:rPr>
                <w:b/>
                <w:i/>
              </w:rPr>
              <w:t>ropr</w:t>
            </w:r>
            <w:r w:rsidR="00133CBD" w:rsidRPr="00BB1E65">
              <w:rPr>
                <w:b/>
                <w:i/>
              </w:rPr>
              <w:t>iate</w:t>
            </w:r>
            <w:r w:rsidR="00F47392" w:rsidRPr="00BB1E65">
              <w:rPr>
                <w:b/>
                <w:i/>
              </w:rPr>
              <w:t xml:space="preserve"> examination</w:t>
            </w:r>
            <w:r w:rsidR="00702B33" w:rsidRPr="00BB1E65">
              <w:rPr>
                <w:b/>
                <w:i/>
              </w:rPr>
              <w:t xml:space="preserve"> </w:t>
            </w:r>
            <w:r w:rsidR="00133CBD" w:rsidRPr="00BB1E65">
              <w:rPr>
                <w:b/>
                <w:i/>
              </w:rPr>
              <w:t>f</w:t>
            </w:r>
            <w:r w:rsidR="00702B33" w:rsidRPr="00BB1E65">
              <w:rPr>
                <w:b/>
                <w:i/>
              </w:rPr>
              <w:t>acility</w:t>
            </w:r>
            <w:r w:rsidR="00702B33" w:rsidRPr="00BB1E65">
              <w:t xml:space="preserve"> is</w:t>
            </w:r>
            <w:r w:rsidR="006D63D0" w:rsidRPr="00BB1E65">
              <w:t xml:space="preserve"> </w:t>
            </w:r>
            <w:r w:rsidR="00F54CCC" w:rsidRPr="00BB1E65">
              <w:t>a</w:t>
            </w:r>
            <w:r w:rsidR="00916D43" w:rsidRPr="00BB1E65">
              <w:t xml:space="preserve"> VA examination facility or contract examination provider, </w:t>
            </w:r>
            <w:r w:rsidR="00916D43" w:rsidRPr="00BB1E65">
              <w:rPr>
                <w:i/>
                <w:u w:val="single"/>
              </w:rPr>
              <w:t>that can complete the examination(s) required by the specific claim</w:t>
            </w:r>
            <w:r w:rsidR="00916D43" w:rsidRPr="00BB1E65">
              <w:t xml:space="preserve">. </w:t>
            </w:r>
          </w:p>
          <w:p w14:paraId="17989B99" w14:textId="77777777" w:rsidR="00712D50" w:rsidRPr="00BB1E65" w:rsidRDefault="00712D50">
            <w:pPr>
              <w:pStyle w:val="BlockText"/>
            </w:pPr>
          </w:p>
          <w:p w14:paraId="20DC1424" w14:textId="252F4192" w:rsidR="00916D43" w:rsidRPr="00BB1E65" w:rsidRDefault="00396AFE">
            <w:pPr>
              <w:pStyle w:val="BlockText"/>
            </w:pPr>
            <w:r w:rsidRPr="00BB1E65">
              <w:t xml:space="preserve">Regional </w:t>
            </w:r>
            <w:r w:rsidR="001847D5" w:rsidRPr="00BB1E65">
              <w:t>o</w:t>
            </w:r>
            <w:r w:rsidRPr="00BB1E65">
              <w:t>ffices (</w:t>
            </w:r>
            <w:r w:rsidR="00712D50" w:rsidRPr="00BB1E65">
              <w:t>ROs</w:t>
            </w:r>
            <w:r w:rsidRPr="00BB1E65">
              <w:t>)</w:t>
            </w:r>
            <w:r w:rsidR="00712D50" w:rsidRPr="00BB1E65">
              <w:t xml:space="preserve"> have the flexibility to request an examination from the </w:t>
            </w:r>
            <w:r w:rsidR="00B706D4" w:rsidRPr="00BB1E65">
              <w:t>VA Medical Center (</w:t>
            </w:r>
            <w:r w:rsidR="00712D50" w:rsidRPr="00BB1E65">
              <w:t>VAMC</w:t>
            </w:r>
            <w:r w:rsidR="00B706D4" w:rsidRPr="00BB1E65">
              <w:t>)</w:t>
            </w:r>
            <w:r w:rsidR="00712D50" w:rsidRPr="00BB1E65">
              <w:t xml:space="preserve"> or designated contract provider closest to where the claimant lives or receives regular medical treatment.</w:t>
            </w:r>
          </w:p>
          <w:p w14:paraId="242108F1" w14:textId="77777777" w:rsidR="006F1070" w:rsidRPr="00BB1E65" w:rsidRDefault="006F1070">
            <w:pPr>
              <w:pStyle w:val="BlockText"/>
            </w:pPr>
          </w:p>
          <w:p w14:paraId="12075875" w14:textId="77777777" w:rsidR="00135DC0" w:rsidRPr="00BB1E65" w:rsidRDefault="00135DC0">
            <w:pPr>
              <w:pStyle w:val="BlockText"/>
            </w:pPr>
            <w:r w:rsidRPr="00BB1E65">
              <w:rPr>
                <w:b/>
                <w:bCs/>
                <w:i/>
                <w:iCs/>
              </w:rPr>
              <w:t>References</w:t>
            </w:r>
            <w:r w:rsidRPr="00BB1E65">
              <w:t>:  For more information on</w:t>
            </w:r>
          </w:p>
          <w:p w14:paraId="1207587A" w14:textId="46D086CA" w:rsidR="00233C7A" w:rsidRPr="00BB1E65" w:rsidRDefault="005B3357" w:rsidP="00FD36DA">
            <w:pPr>
              <w:pStyle w:val="BulletText1"/>
            </w:pPr>
            <w:r w:rsidRPr="00BB1E65">
              <w:t xml:space="preserve">requesting </w:t>
            </w:r>
            <w:r w:rsidR="00FD36DA" w:rsidRPr="00BB1E65">
              <w:t>Veterans Health Administration (</w:t>
            </w:r>
            <w:r w:rsidRPr="00BB1E65">
              <w:t>VHA</w:t>
            </w:r>
            <w:r w:rsidR="00FD36DA" w:rsidRPr="00BB1E65">
              <w:t>)</w:t>
            </w:r>
            <w:r w:rsidRPr="00BB1E65">
              <w:t xml:space="preserve"> </w:t>
            </w:r>
            <w:r w:rsidR="0029221F" w:rsidRPr="00BB1E65">
              <w:t xml:space="preserve">examinations in the geographic jurisdiction of another </w:t>
            </w:r>
            <w:r w:rsidRPr="00BB1E65">
              <w:t>RO</w:t>
            </w:r>
            <w:r w:rsidR="00233C7A" w:rsidRPr="00BB1E65">
              <w:t xml:space="preserve">, see </w:t>
            </w:r>
            <w:r w:rsidR="00AD3623" w:rsidRPr="00BB1E65">
              <w:t>M21-1, Part III, Subpart iv, 3.A.</w:t>
            </w:r>
            <w:r w:rsidRPr="00BB1E65">
              <w:t>1</w:t>
            </w:r>
            <w:r w:rsidR="00F9039D" w:rsidRPr="00BB1E65">
              <w:t>.</w:t>
            </w:r>
            <w:r w:rsidRPr="00BB1E65">
              <w:t>d</w:t>
            </w:r>
          </w:p>
          <w:p w14:paraId="1207587B" w14:textId="48CFD8C3" w:rsidR="00135DC0" w:rsidRPr="00BB1E65" w:rsidRDefault="00135DC0">
            <w:pPr>
              <w:pStyle w:val="BulletText1"/>
            </w:pPr>
            <w:r w:rsidRPr="00BB1E65">
              <w:t xml:space="preserve">jurisdiction for examinations of foreign resident beneficiaries, see </w:t>
            </w:r>
            <w:r w:rsidR="00AD3623" w:rsidRPr="00BB1E65">
              <w:t>M21-1, Part III, Subpart iv, 3.A</w:t>
            </w:r>
            <w:r w:rsidR="00F9039D" w:rsidRPr="00BB1E65">
              <w:t>.1.c</w:t>
            </w:r>
          </w:p>
          <w:p w14:paraId="1207587C" w14:textId="20F334AA" w:rsidR="000B7E21" w:rsidRPr="00BB1E65" w:rsidRDefault="00135DC0" w:rsidP="001E20C7">
            <w:pPr>
              <w:pStyle w:val="BulletText1"/>
            </w:pPr>
            <w:r w:rsidRPr="00BB1E65">
              <w:t xml:space="preserve">jurisdiction for examinations of reserve component participants in the Integrated Disability Evaluation System (IDES), see </w:t>
            </w:r>
            <w:r w:rsidR="001E20C7" w:rsidRPr="00BB1E65">
              <w:t>M21-1 Part III, Subpart I, 2.D.</w:t>
            </w:r>
            <w:r w:rsidR="000568FE" w:rsidRPr="00BB1E65">
              <w:t>16</w:t>
            </w:r>
            <w:r w:rsidR="001E20C7" w:rsidRPr="00BB1E65">
              <w:t>.c</w:t>
            </w:r>
          </w:p>
          <w:p w14:paraId="33DD6507" w14:textId="03ED7BB3" w:rsidR="004F04C4" w:rsidRPr="00BB1E65" w:rsidRDefault="00DF55C3" w:rsidP="00A851A0">
            <w:pPr>
              <w:pStyle w:val="BulletText1"/>
            </w:pPr>
            <w:r w:rsidRPr="00BB1E65">
              <w:lastRenderedPageBreak/>
              <w:t>examinations of employees who work at an examining facility, see M21-1</w:t>
            </w:r>
            <w:r w:rsidR="00F47392" w:rsidRPr="00BB1E65">
              <w:t>, Part</w:t>
            </w:r>
            <w:r w:rsidRPr="00BB1E65">
              <w:t xml:space="preserve"> III</w:t>
            </w:r>
            <w:r w:rsidR="00F47392" w:rsidRPr="00BB1E65">
              <w:t xml:space="preserve">, subpart </w:t>
            </w:r>
            <w:r w:rsidRPr="00BB1E65">
              <w:t>i</w:t>
            </w:r>
            <w:r w:rsidR="00A851A0" w:rsidRPr="00BB1E65">
              <w:t>v</w:t>
            </w:r>
            <w:r w:rsidRPr="00BB1E65">
              <w:t>.1.</w:t>
            </w:r>
            <w:r w:rsidR="00A851A0" w:rsidRPr="00BB1E65">
              <w:t>B</w:t>
            </w:r>
            <w:r w:rsidRPr="00BB1E65">
              <w:t>.</w:t>
            </w:r>
            <w:r w:rsidR="00A851A0" w:rsidRPr="00BB1E65">
              <w:t>1.c</w:t>
            </w:r>
            <w:r w:rsidR="005D701F" w:rsidRPr="00BB1E65">
              <w:t>, and</w:t>
            </w:r>
          </w:p>
          <w:p w14:paraId="1207587D" w14:textId="7E55E895" w:rsidR="00DF55C3" w:rsidRPr="00BB1E65" w:rsidRDefault="006E7A17" w:rsidP="005D701F">
            <w:pPr>
              <w:pStyle w:val="BulletText1"/>
            </w:pPr>
            <w:r w:rsidRPr="00BB1E65">
              <w:t>e</w:t>
            </w:r>
            <w:r w:rsidR="004F04C4" w:rsidRPr="00BB1E65">
              <w:t>xaminations of VA-</w:t>
            </w:r>
            <w:r w:rsidR="004E70BF" w:rsidRPr="00BB1E65">
              <w:t>e</w:t>
            </w:r>
            <w:r w:rsidR="004F04C4" w:rsidRPr="00BB1E65">
              <w:t xml:space="preserve">mployee </w:t>
            </w:r>
            <w:r w:rsidR="004E70BF" w:rsidRPr="00BB1E65">
              <w:t>c</w:t>
            </w:r>
            <w:r w:rsidR="004F04C4" w:rsidRPr="00BB1E65">
              <w:t>laimants, see M21-1 Part III, subpart iv, 3.B.1.b</w:t>
            </w:r>
            <w:r w:rsidR="00433107" w:rsidRPr="00BB1E65">
              <w:t>.</w:t>
            </w:r>
          </w:p>
        </w:tc>
      </w:tr>
    </w:tbl>
    <w:p w14:paraId="12075888" w14:textId="25236A76" w:rsidR="00135DC0" w:rsidRPr="00BB1E65" w:rsidRDefault="00DE46D0" w:rsidP="00E83B03">
      <w:pPr>
        <w:pStyle w:val="BlockLine"/>
        <w:rPr>
          <w:lang w:val="fr-CA"/>
        </w:rPr>
      </w:pPr>
      <w:r w:rsidRPr="00BB1E65">
        <w:rPr>
          <w:lang w:val="fr-CA"/>
        </w:rPr>
        <w:lastRenderedPageBreak/>
        <w:fldChar w:fldCharType="begin"/>
      </w:r>
      <w:r w:rsidR="00135DC0" w:rsidRPr="00BB1E65">
        <w:rPr>
          <w:lang w:val="fr-CA"/>
        </w:rPr>
        <w:instrText xml:space="preserve"> PRIVATE INFOTYPE="CONCEPT" </w:instrText>
      </w:r>
      <w:r w:rsidRPr="00BB1E65">
        <w:rPr>
          <w:lang w:val="fr-CA"/>
        </w:rPr>
        <w:fldChar w:fldCharType="end"/>
      </w:r>
    </w:p>
    <w:tbl>
      <w:tblPr>
        <w:tblW w:w="0" w:type="auto"/>
        <w:tblInd w:w="-106" w:type="dxa"/>
        <w:tblLayout w:type="fixed"/>
        <w:tblLook w:val="0000" w:firstRow="0" w:lastRow="0" w:firstColumn="0" w:lastColumn="0" w:noHBand="0" w:noVBand="0"/>
      </w:tblPr>
      <w:tblGrid>
        <w:gridCol w:w="1728"/>
        <w:gridCol w:w="7740"/>
      </w:tblGrid>
      <w:tr w:rsidR="009E344A" w:rsidRPr="00BB1E65" w14:paraId="47E1A68F" w14:textId="77777777" w:rsidTr="004E7157">
        <w:trPr>
          <w:cantSplit/>
        </w:trPr>
        <w:tc>
          <w:tcPr>
            <w:tcW w:w="1728" w:type="dxa"/>
            <w:tcBorders>
              <w:top w:val="nil"/>
              <w:left w:val="nil"/>
              <w:bottom w:val="nil"/>
              <w:right w:val="nil"/>
            </w:tcBorders>
          </w:tcPr>
          <w:p w14:paraId="67C71049" w14:textId="02D7D8E1" w:rsidR="009E344A" w:rsidRPr="00BB1E65" w:rsidRDefault="009E344A" w:rsidP="00BB435C">
            <w:pPr>
              <w:pStyle w:val="Heading5"/>
            </w:pPr>
            <w:r w:rsidRPr="00BB1E65">
              <w:t>c.  Jurisdiction for Examination Requests for Foreign Resident Beneficiaries</w:t>
            </w:r>
          </w:p>
        </w:tc>
        <w:tc>
          <w:tcPr>
            <w:tcW w:w="7740" w:type="dxa"/>
            <w:tcBorders>
              <w:top w:val="nil"/>
              <w:left w:val="nil"/>
              <w:bottom w:val="nil"/>
              <w:right w:val="nil"/>
            </w:tcBorders>
          </w:tcPr>
          <w:p w14:paraId="20FC48DB" w14:textId="77777777" w:rsidR="006F3625" w:rsidRPr="00BB1E65" w:rsidRDefault="006F3625" w:rsidP="006F3625">
            <w:pPr>
              <w:pStyle w:val="BlockText"/>
            </w:pPr>
            <w:r w:rsidRPr="00BB1E65">
              <w:t>Effective October 22, 2014, all field and medical examinations requests for claims made by foreign resident beneficiaries will be processed by the</w:t>
            </w:r>
          </w:p>
          <w:p w14:paraId="0983AE3D" w14:textId="77777777" w:rsidR="006F3625" w:rsidRPr="00BB1E65" w:rsidRDefault="006F3625" w:rsidP="006F3625">
            <w:pPr>
              <w:pStyle w:val="BlockText"/>
            </w:pPr>
          </w:p>
          <w:p w14:paraId="1BC001E0" w14:textId="77777777" w:rsidR="006F3625" w:rsidRPr="00BB1E65" w:rsidRDefault="006F3625" w:rsidP="006F3625">
            <w:pPr>
              <w:pStyle w:val="BulletText1"/>
            </w:pPr>
            <w:r w:rsidRPr="00BB1E65">
              <w:t>Pittsburgh RO, for</w:t>
            </w:r>
          </w:p>
          <w:p w14:paraId="3014AC31" w14:textId="77777777" w:rsidR="006F3625" w:rsidRPr="00BB1E65" w:rsidRDefault="006F3625" w:rsidP="006F3625">
            <w:pPr>
              <w:pStyle w:val="BulletText2"/>
            </w:pPr>
            <w:r w:rsidRPr="00BB1E65">
              <w:t>appeals</w:t>
            </w:r>
          </w:p>
          <w:p w14:paraId="241EA806" w14:textId="77777777" w:rsidR="006F3625" w:rsidRPr="00BB1E65" w:rsidRDefault="006F3625" w:rsidP="006F3625">
            <w:pPr>
              <w:pStyle w:val="BulletText2"/>
            </w:pPr>
            <w:r w:rsidRPr="00BB1E65">
              <w:t>compensation, and</w:t>
            </w:r>
          </w:p>
          <w:p w14:paraId="4720A7F3" w14:textId="4F4AFBCA" w:rsidR="006F3625" w:rsidRPr="00BB1E65" w:rsidRDefault="006F3625" w:rsidP="006F3625">
            <w:pPr>
              <w:pStyle w:val="BulletText2"/>
            </w:pPr>
            <w:r w:rsidRPr="00BB1E65">
              <w:t>dual compensation &amp; pension</w:t>
            </w:r>
            <w:r w:rsidR="007D7704" w:rsidRPr="00BB1E65">
              <w:t xml:space="preserve"> (C&amp;P)</w:t>
            </w:r>
            <w:r w:rsidR="006F1070" w:rsidRPr="00BB1E65">
              <w:t>, and</w:t>
            </w:r>
          </w:p>
          <w:p w14:paraId="4AD7F0D7" w14:textId="77777777" w:rsidR="006F3625" w:rsidRPr="00BB1E65" w:rsidRDefault="006F3625" w:rsidP="006F3625">
            <w:pPr>
              <w:pStyle w:val="BulletText1"/>
            </w:pPr>
            <w:r w:rsidRPr="00BB1E65">
              <w:t>Philadelphia Pension Management Center (PMC) for pension</w:t>
            </w:r>
          </w:p>
          <w:p w14:paraId="6A9DF4E9" w14:textId="77777777" w:rsidR="006F3625" w:rsidRPr="00BB1E65" w:rsidRDefault="006F3625" w:rsidP="006F3625">
            <w:pPr>
              <w:pStyle w:val="BlockText"/>
            </w:pPr>
          </w:p>
          <w:p w14:paraId="48C98BD9" w14:textId="301FC045" w:rsidR="006F3625" w:rsidRPr="00BB1E65" w:rsidRDefault="006F3625" w:rsidP="006F3625">
            <w:pPr>
              <w:pStyle w:val="BlockText"/>
            </w:pPr>
            <w:r w:rsidRPr="00BB1E65">
              <w:rPr>
                <w:b/>
                <w:i/>
              </w:rPr>
              <w:t>References</w:t>
            </w:r>
            <w:r w:rsidRPr="00BB1E65">
              <w:t>:</w:t>
            </w:r>
            <w:r w:rsidRPr="00BB1E65">
              <w:rPr>
                <w:b/>
                <w:i/>
              </w:rPr>
              <w:t xml:space="preserve">  </w:t>
            </w:r>
            <w:r w:rsidRPr="00BB1E65">
              <w:t>For more information on the</w:t>
            </w:r>
          </w:p>
          <w:p w14:paraId="7706F1AD" w14:textId="77777777" w:rsidR="006F3625" w:rsidRPr="00BB1E65" w:rsidRDefault="006F3625" w:rsidP="00171AC4">
            <w:pPr>
              <w:pStyle w:val="ListParagraph"/>
              <w:numPr>
                <w:ilvl w:val="0"/>
                <w:numId w:val="6"/>
              </w:numPr>
              <w:ind w:left="158" w:hanging="187"/>
            </w:pPr>
            <w:r w:rsidRPr="00BB1E65">
              <w:t>permanent transfer of claims folders, see M21-1, Part III, Subpart ii,5.D.2 and,</w:t>
            </w:r>
          </w:p>
          <w:p w14:paraId="7543DF7D" w14:textId="3A360ED0" w:rsidR="00433107" w:rsidRPr="00BB1E65" w:rsidRDefault="006F3625" w:rsidP="00661A60">
            <w:pPr>
              <w:pStyle w:val="ListParagraph"/>
              <w:numPr>
                <w:ilvl w:val="0"/>
                <w:numId w:val="80"/>
              </w:numPr>
              <w:ind w:left="158" w:hanging="187"/>
            </w:pPr>
            <w:r w:rsidRPr="00BB1E65">
              <w:t>responsibility for handling requests for foreign field examinations, see M21-1, Part III, Subpart vi.8.8.</w:t>
            </w:r>
            <w:r w:rsidR="00DB1E1B" w:rsidRPr="00BB1E65">
              <w:t>f.</w:t>
            </w:r>
            <w:r w:rsidR="00433107" w:rsidRPr="00BB1E65">
              <w:t xml:space="preserve"> </w:t>
            </w:r>
          </w:p>
        </w:tc>
      </w:tr>
    </w:tbl>
    <w:p w14:paraId="124B1BE7" w14:textId="136A5CC1" w:rsidR="009E344A" w:rsidRPr="00BB1E65" w:rsidRDefault="009E344A" w:rsidP="009E344A">
      <w:pPr>
        <w:tabs>
          <w:tab w:val="left" w:pos="9360"/>
        </w:tabs>
        <w:ind w:left="1714"/>
        <w:rPr>
          <w:lang w:val="fr-CA"/>
        </w:rPr>
      </w:pPr>
      <w:r w:rsidRPr="00BB1E65">
        <w:rPr>
          <w:u w:val="single"/>
          <w:lang w:val="fr-CA"/>
        </w:rPr>
        <w:tab/>
      </w:r>
    </w:p>
    <w:p w14:paraId="3FADC029" w14:textId="77777777" w:rsidR="001E20C7" w:rsidRPr="00BB1E65" w:rsidRDefault="001E20C7" w:rsidP="001E20C7">
      <w:pPr>
        <w:tabs>
          <w:tab w:val="left" w:pos="1714"/>
          <w:tab w:val="right" w:pos="9086"/>
        </w:tabs>
      </w:pPr>
    </w:p>
    <w:tbl>
      <w:tblPr>
        <w:tblW w:w="0" w:type="auto"/>
        <w:tblInd w:w="-72" w:type="dxa"/>
        <w:tblLayout w:type="fixed"/>
        <w:tblLook w:val="0000" w:firstRow="0" w:lastRow="0" w:firstColumn="0" w:lastColumn="0" w:noHBand="0" w:noVBand="0"/>
      </w:tblPr>
      <w:tblGrid>
        <w:gridCol w:w="1620"/>
        <w:gridCol w:w="7740"/>
      </w:tblGrid>
      <w:tr w:rsidR="001E20C7" w:rsidRPr="00BB1E65" w14:paraId="60378A39" w14:textId="77777777" w:rsidTr="00E218F8">
        <w:tc>
          <w:tcPr>
            <w:tcW w:w="1620" w:type="dxa"/>
            <w:shd w:val="clear" w:color="auto" w:fill="auto"/>
          </w:tcPr>
          <w:p w14:paraId="07B1BD04" w14:textId="4967DC34" w:rsidR="001E20C7" w:rsidRPr="00BB1E65" w:rsidRDefault="001E20C7" w:rsidP="004E7157">
            <w:pPr>
              <w:pStyle w:val="Heading5"/>
            </w:pPr>
            <w:r w:rsidRPr="00BB1E65">
              <w:t>d.  Requesting VHA Examinations in the Geographic Jurisdiction of Another RO</w:t>
            </w:r>
          </w:p>
        </w:tc>
        <w:tc>
          <w:tcPr>
            <w:tcW w:w="7740" w:type="dxa"/>
            <w:shd w:val="clear" w:color="auto" w:fill="auto"/>
          </w:tcPr>
          <w:p w14:paraId="0A31A8C6" w14:textId="77777777" w:rsidR="00FD6D47" w:rsidRPr="00BB1E65" w:rsidRDefault="00FD6D47" w:rsidP="00FD6D47">
            <w:pPr>
              <w:pStyle w:val="BlockText"/>
            </w:pPr>
            <w:r w:rsidRPr="00BB1E65">
              <w:t>Use the Exam Request Routing Assistant (ERRA) tool when requesting examinations that are in the geographic jurisdiction of another RO for</w:t>
            </w:r>
          </w:p>
          <w:p w14:paraId="2E245BB8" w14:textId="77777777" w:rsidR="00FD6D47" w:rsidRPr="00BB1E65" w:rsidRDefault="00FD6D47" w:rsidP="00FD6D47">
            <w:pPr>
              <w:pStyle w:val="BlockText"/>
            </w:pPr>
          </w:p>
          <w:p w14:paraId="43DF66A1" w14:textId="77777777" w:rsidR="00FD6D47" w:rsidRPr="00BB1E65" w:rsidRDefault="00FD6D47" w:rsidP="00FD6D47">
            <w:pPr>
              <w:pStyle w:val="BulletText1"/>
            </w:pPr>
            <w:r w:rsidRPr="00BB1E65">
              <w:t>a Veteran living within the geographic jurisdiction of another RO, or</w:t>
            </w:r>
          </w:p>
          <w:p w14:paraId="6C70FE96" w14:textId="77777777" w:rsidR="00FD6D47" w:rsidRPr="00BB1E65" w:rsidRDefault="00FD6D47" w:rsidP="00FD6D47">
            <w:pPr>
              <w:pStyle w:val="BulletText1"/>
            </w:pPr>
            <w:r w:rsidRPr="00BB1E65">
              <w:t>an employee-Veteran who must be examined elsewhere.</w:t>
            </w:r>
          </w:p>
          <w:p w14:paraId="45E3A100" w14:textId="77777777" w:rsidR="00FD6D47" w:rsidRPr="00BB1E65" w:rsidRDefault="00FD6D47" w:rsidP="00FD6D47">
            <w:pPr>
              <w:pStyle w:val="BlockText"/>
            </w:pPr>
          </w:p>
          <w:p w14:paraId="48A4550A" w14:textId="77777777" w:rsidR="00FD6D47" w:rsidRPr="00BB1E65" w:rsidRDefault="00FD6D47" w:rsidP="00FD6D47">
            <w:pPr>
              <w:pStyle w:val="BlockText"/>
            </w:pPr>
            <w:r w:rsidRPr="00BB1E65">
              <w:t>ROs authorized to request examinations in another RO’s jurisdiction include, but are not limited to those</w:t>
            </w:r>
          </w:p>
          <w:p w14:paraId="635F4AE1" w14:textId="77777777" w:rsidR="00FD6D47" w:rsidRPr="00BB1E65" w:rsidRDefault="00FD6D47" w:rsidP="00FD6D47">
            <w:pPr>
              <w:pStyle w:val="BlockText"/>
            </w:pPr>
          </w:p>
          <w:p w14:paraId="59C8894E" w14:textId="389650EE" w:rsidR="00FD6D47" w:rsidRPr="00BB1E65" w:rsidRDefault="00FD6D47" w:rsidP="00171AC4">
            <w:pPr>
              <w:pStyle w:val="ListParagraph"/>
              <w:numPr>
                <w:ilvl w:val="0"/>
                <w:numId w:val="11"/>
              </w:numPr>
              <w:ind w:left="158" w:hanging="187"/>
            </w:pPr>
            <w:r w:rsidRPr="00BB1E65">
              <w:t xml:space="preserve">receiving </w:t>
            </w:r>
            <w:r w:rsidR="00CA5E47" w:rsidRPr="00BB1E65">
              <w:t xml:space="preserve">brokered </w:t>
            </w:r>
            <w:r w:rsidRPr="00BB1E65">
              <w:t>claims from another RO</w:t>
            </w:r>
          </w:p>
          <w:p w14:paraId="7D4860EE" w14:textId="77777777" w:rsidR="00FD6D47" w:rsidRPr="00BB1E65" w:rsidRDefault="00FD6D47" w:rsidP="00171AC4">
            <w:pPr>
              <w:pStyle w:val="ListParagraph"/>
              <w:numPr>
                <w:ilvl w:val="0"/>
                <w:numId w:val="11"/>
              </w:numPr>
              <w:ind w:left="158" w:hanging="187"/>
            </w:pPr>
            <w:r w:rsidRPr="00BB1E65">
              <w:t xml:space="preserve">with jurisdiction over special processing claims such as </w:t>
            </w:r>
          </w:p>
          <w:p w14:paraId="5CBB845E" w14:textId="0A7F3913" w:rsidR="00FD6D47" w:rsidRPr="00BB1E65" w:rsidRDefault="00FD6D47" w:rsidP="00FD6D47">
            <w:pPr>
              <w:pStyle w:val="BulletText2"/>
            </w:pPr>
            <w:r w:rsidRPr="00BB1E65">
              <w:t xml:space="preserve">exposure to radiation, mustard gas or lewisite, </w:t>
            </w:r>
            <w:r w:rsidR="00E00319" w:rsidRPr="00BB1E65">
              <w:t xml:space="preserve">or </w:t>
            </w:r>
            <w:r w:rsidRPr="00BB1E65">
              <w:t>Camp Lejeune contaminated water</w:t>
            </w:r>
          </w:p>
          <w:p w14:paraId="20D1F85F" w14:textId="77777777" w:rsidR="00FD6D47" w:rsidRPr="00BB1E65" w:rsidRDefault="00FD6D47" w:rsidP="00FD6D47">
            <w:pPr>
              <w:pStyle w:val="BulletText2"/>
            </w:pPr>
            <w:r w:rsidRPr="00BB1E65">
              <w:t>Veteran employee claims, and</w:t>
            </w:r>
          </w:p>
          <w:p w14:paraId="32320F68" w14:textId="4DBD3731" w:rsidR="00FD6D47" w:rsidRPr="00BB1E65" w:rsidRDefault="00FD6D47" w:rsidP="00FD6D47">
            <w:pPr>
              <w:pStyle w:val="BulletText2"/>
            </w:pPr>
            <w:r w:rsidRPr="00BB1E65">
              <w:t>pre-discharge claims</w:t>
            </w:r>
            <w:r w:rsidR="00E00319" w:rsidRPr="00BB1E65">
              <w:t>.</w:t>
            </w:r>
          </w:p>
          <w:p w14:paraId="4585D9C7" w14:textId="77777777" w:rsidR="00FD6D47" w:rsidRPr="00BB1E65" w:rsidRDefault="00FD6D47" w:rsidP="00FD6D47">
            <w:pPr>
              <w:ind w:left="-29"/>
            </w:pPr>
          </w:p>
          <w:p w14:paraId="3B008EB2" w14:textId="77777777" w:rsidR="00FD6D47" w:rsidRPr="00BB1E65" w:rsidRDefault="00FD6D47" w:rsidP="00FD6D47">
            <w:pPr>
              <w:pStyle w:val="BlockText"/>
            </w:pPr>
            <w:r w:rsidRPr="00BB1E65">
              <w:rPr>
                <w:b/>
                <w:i/>
              </w:rPr>
              <w:t>Note</w:t>
            </w:r>
            <w:r w:rsidRPr="00BB1E65">
              <w:t>:  Requests for non-VHA examinations scheduled through a designated contractor are limited to the geographic area specified by the contractual agreement.</w:t>
            </w:r>
          </w:p>
          <w:p w14:paraId="1F6F0F9E" w14:textId="77777777" w:rsidR="00FD6D47" w:rsidRPr="00BB1E65" w:rsidRDefault="00FD6D47" w:rsidP="00FD6D47">
            <w:pPr>
              <w:pStyle w:val="BlockText"/>
            </w:pPr>
          </w:p>
          <w:p w14:paraId="5A99FACE" w14:textId="4AE135E5" w:rsidR="009E346E" w:rsidRPr="00BB1E65" w:rsidRDefault="00FD6D47" w:rsidP="00E00319">
            <w:pPr>
              <w:pStyle w:val="BlockText"/>
            </w:pPr>
            <w:r w:rsidRPr="00BB1E65">
              <w:rPr>
                <w:b/>
                <w:i/>
              </w:rPr>
              <w:t>Reference</w:t>
            </w:r>
            <w:r w:rsidRPr="00BB1E65">
              <w:t>:  For more information about the ERRA tool, see M21-1, Part III, Subpart iv, 3.A.2.</w:t>
            </w:r>
            <w:r w:rsidR="00E00319" w:rsidRPr="00BB1E65">
              <w:t>b.</w:t>
            </w:r>
          </w:p>
        </w:tc>
      </w:tr>
    </w:tbl>
    <w:p w14:paraId="5C084DEF" w14:textId="5D674251" w:rsidR="001E20C7" w:rsidRPr="00BB1E65" w:rsidRDefault="001E20C7" w:rsidP="001E20C7">
      <w:pPr>
        <w:tabs>
          <w:tab w:val="left" w:pos="9360"/>
        </w:tabs>
        <w:ind w:left="1714"/>
      </w:pPr>
      <w:r w:rsidRPr="00BB1E65">
        <w:rPr>
          <w:u w:val="single"/>
        </w:rPr>
        <w:tab/>
      </w:r>
    </w:p>
    <w:p w14:paraId="3381C24E" w14:textId="77777777" w:rsidR="001E20C7" w:rsidRPr="00BB1E65" w:rsidRDefault="001E20C7" w:rsidP="00E218F8">
      <w:pPr>
        <w:rPr>
          <w:lang w:val="fr-CA"/>
        </w:rPr>
      </w:pPr>
    </w:p>
    <w:tbl>
      <w:tblPr>
        <w:tblW w:w="0" w:type="auto"/>
        <w:tblLayout w:type="fixed"/>
        <w:tblLook w:val="0000" w:firstRow="0" w:lastRow="0" w:firstColumn="0" w:lastColumn="0" w:noHBand="0" w:noVBand="0"/>
      </w:tblPr>
      <w:tblGrid>
        <w:gridCol w:w="1638"/>
        <w:gridCol w:w="7830"/>
      </w:tblGrid>
      <w:tr w:rsidR="00E83B03" w:rsidRPr="00BB1E65" w14:paraId="2528728F" w14:textId="77777777" w:rsidTr="00E218F8">
        <w:tc>
          <w:tcPr>
            <w:tcW w:w="1638" w:type="dxa"/>
            <w:shd w:val="clear" w:color="auto" w:fill="auto"/>
          </w:tcPr>
          <w:p w14:paraId="00B9BDCE" w14:textId="764EFBBB" w:rsidR="00E83B03" w:rsidRPr="00BB1E65" w:rsidRDefault="005B3357" w:rsidP="00BB435C">
            <w:pPr>
              <w:pStyle w:val="Heading5"/>
              <w:rPr>
                <w:lang w:val="fr-CA"/>
              </w:rPr>
            </w:pPr>
            <w:r w:rsidRPr="00BB1E65">
              <w:t>e</w:t>
            </w:r>
            <w:r w:rsidR="002E6736" w:rsidRPr="00BB1E65">
              <w:t xml:space="preserve">.  </w:t>
            </w:r>
            <w:r w:rsidR="00E83B03" w:rsidRPr="00BB1E65">
              <w:t xml:space="preserve">When an Examination </w:t>
            </w:r>
            <w:r w:rsidR="00E83B03" w:rsidRPr="00BB1E65">
              <w:lastRenderedPageBreak/>
              <w:t>or Opinion is Necessary</w:t>
            </w:r>
          </w:p>
        </w:tc>
        <w:tc>
          <w:tcPr>
            <w:tcW w:w="7830" w:type="dxa"/>
            <w:shd w:val="clear" w:color="auto" w:fill="auto"/>
          </w:tcPr>
          <w:p w14:paraId="5FEA1C58" w14:textId="0965C380" w:rsidR="00771ADA" w:rsidRPr="00BB1E65" w:rsidRDefault="00E83B03" w:rsidP="00E218F8">
            <w:pPr>
              <w:pStyle w:val="BulletText1"/>
              <w:numPr>
                <w:ilvl w:val="0"/>
                <w:numId w:val="0"/>
              </w:numPr>
            </w:pPr>
            <w:r w:rsidRPr="00BB1E65">
              <w:rPr>
                <w:b/>
                <w:bCs/>
                <w:i/>
                <w:iCs/>
              </w:rPr>
              <w:lastRenderedPageBreak/>
              <w:t>Reference</w:t>
            </w:r>
            <w:r w:rsidRPr="00BB1E65">
              <w:t>:  For more information on when a medical examination or opinion is necessary, see</w:t>
            </w:r>
          </w:p>
          <w:p w14:paraId="1EDC1CBD" w14:textId="334E4E76" w:rsidR="00264AA9" w:rsidRPr="00BB1E65" w:rsidRDefault="005D3CFA" w:rsidP="00E218F8">
            <w:pPr>
              <w:pStyle w:val="BulletText1"/>
              <w:numPr>
                <w:ilvl w:val="0"/>
                <w:numId w:val="0"/>
              </w:numPr>
            </w:pPr>
            <w:r w:rsidRPr="00BB1E65">
              <w:lastRenderedPageBreak/>
              <w:t xml:space="preserve"> </w:t>
            </w:r>
          </w:p>
          <w:p w14:paraId="0164D34C" w14:textId="2009A86B" w:rsidR="00264AA9" w:rsidRPr="00BB1E65" w:rsidRDefault="005D3CFA" w:rsidP="00661A60">
            <w:pPr>
              <w:pStyle w:val="ListParagraph"/>
              <w:numPr>
                <w:ilvl w:val="0"/>
                <w:numId w:val="32"/>
              </w:numPr>
              <w:ind w:left="158" w:hanging="187"/>
            </w:pPr>
            <w:r w:rsidRPr="00BB1E65">
              <w:t>M21-1, Part I, 1.C.3</w:t>
            </w:r>
          </w:p>
          <w:p w14:paraId="039999A8" w14:textId="74768ED8" w:rsidR="00264AA9" w:rsidRPr="00BB1E65" w:rsidRDefault="00BB1E65" w:rsidP="00661A60">
            <w:pPr>
              <w:pStyle w:val="ListParagraph"/>
              <w:numPr>
                <w:ilvl w:val="0"/>
                <w:numId w:val="32"/>
              </w:numPr>
              <w:ind w:left="158" w:hanging="187"/>
            </w:pPr>
            <w:hyperlink r:id="rId13" w:history="1">
              <w:r w:rsidR="005D3CFA" w:rsidRPr="00BB1E65">
                <w:rPr>
                  <w:rStyle w:val="Hyperlink"/>
                </w:rPr>
                <w:t>38 CFR 3.326</w:t>
              </w:r>
            </w:hyperlink>
            <w:r w:rsidR="005D3CFA" w:rsidRPr="00BB1E65">
              <w:t xml:space="preserve">, and </w:t>
            </w:r>
          </w:p>
          <w:p w14:paraId="70B32F3F" w14:textId="0AF987D7" w:rsidR="00E83B03" w:rsidRPr="00BB1E65" w:rsidRDefault="00BB1E65" w:rsidP="00661A60">
            <w:pPr>
              <w:pStyle w:val="ListParagraph"/>
              <w:numPr>
                <w:ilvl w:val="0"/>
                <w:numId w:val="32"/>
              </w:numPr>
              <w:ind w:left="158" w:hanging="187"/>
            </w:pPr>
            <w:hyperlink r:id="rId14" w:history="1">
              <w:r w:rsidR="005D3CFA" w:rsidRPr="00BB1E65">
                <w:rPr>
                  <w:rStyle w:val="Hyperlink"/>
                </w:rPr>
                <w:t>38 CFR 3.159(c)(4)</w:t>
              </w:r>
            </w:hyperlink>
            <w:r w:rsidR="00F502C8" w:rsidRPr="00BB1E65">
              <w:rPr>
                <w:rStyle w:val="Hyperlink"/>
                <w:u w:val="none"/>
              </w:rPr>
              <w:t>.</w:t>
            </w:r>
          </w:p>
        </w:tc>
      </w:tr>
    </w:tbl>
    <w:p w14:paraId="0BCBA69B" w14:textId="1EC344EE" w:rsidR="006117EC" w:rsidRPr="00BB1E65" w:rsidRDefault="006117EC" w:rsidP="00E83B03">
      <w:pPr>
        <w:pStyle w:val="BlockLine"/>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7938"/>
      </w:tblGrid>
      <w:tr w:rsidR="006117EC" w:rsidRPr="00BB1E65" w14:paraId="3D6B792C" w14:textId="77777777" w:rsidTr="00E00319">
        <w:tc>
          <w:tcPr>
            <w:tcW w:w="1638" w:type="dxa"/>
            <w:shd w:val="clear" w:color="auto" w:fill="auto"/>
          </w:tcPr>
          <w:p w14:paraId="30C7C1B8" w14:textId="640DEBAB" w:rsidR="006117EC" w:rsidRPr="00BB1E65" w:rsidRDefault="005B3357" w:rsidP="00771ADA">
            <w:pPr>
              <w:pStyle w:val="Heading5"/>
              <w:rPr>
                <w:lang w:val="fr-CA"/>
              </w:rPr>
            </w:pPr>
            <w:r w:rsidRPr="00BB1E65">
              <w:rPr>
                <w:lang w:val="fr-CA"/>
              </w:rPr>
              <w:t>f</w:t>
            </w:r>
            <w:r w:rsidR="00090B75" w:rsidRPr="00BB1E65">
              <w:rPr>
                <w:lang w:val="fr-CA"/>
              </w:rPr>
              <w:t xml:space="preserve">. </w:t>
            </w:r>
            <w:r w:rsidR="00AE782F" w:rsidRPr="00BB1E65">
              <w:rPr>
                <w:lang w:val="fr-CA"/>
              </w:rPr>
              <w:t xml:space="preserve"> </w:t>
            </w:r>
            <w:r w:rsidR="006117EC" w:rsidRPr="00BB1E65">
              <w:t>Definition</w:t>
            </w:r>
            <w:r w:rsidR="006117EC" w:rsidRPr="00BB1E65">
              <w:rPr>
                <w:lang w:val="fr-CA"/>
              </w:rPr>
              <w:t>:</w:t>
            </w:r>
            <w:r w:rsidR="00AE782F" w:rsidRPr="00BB1E65">
              <w:rPr>
                <w:lang w:val="fr-CA"/>
              </w:rPr>
              <w:t xml:space="preserve"> </w:t>
            </w:r>
            <w:r w:rsidR="006117EC" w:rsidRPr="00BB1E65">
              <w:rPr>
                <w:lang w:val="fr-CA"/>
              </w:rPr>
              <w:t xml:space="preserve">General </w:t>
            </w:r>
            <w:r w:rsidR="006117EC" w:rsidRPr="00BB1E65">
              <w:t>Medical</w:t>
            </w:r>
            <w:r w:rsidR="006117EC" w:rsidRPr="00BB1E65">
              <w:rPr>
                <w:lang w:val="fr-CA"/>
              </w:rPr>
              <w:t xml:space="preserve"> </w:t>
            </w:r>
            <w:r w:rsidR="006117EC" w:rsidRPr="00BB1E65">
              <w:t>Examination</w:t>
            </w:r>
          </w:p>
        </w:tc>
        <w:tc>
          <w:tcPr>
            <w:tcW w:w="7938" w:type="dxa"/>
            <w:shd w:val="clear" w:color="auto" w:fill="auto"/>
          </w:tcPr>
          <w:p w14:paraId="32DA6DC4" w14:textId="54F2A854" w:rsidR="006117EC" w:rsidRPr="00BB1E65" w:rsidRDefault="006117EC" w:rsidP="00D717FD">
            <w:pPr>
              <w:pStyle w:val="BlockText"/>
            </w:pPr>
            <w:r w:rsidRPr="00BB1E65">
              <w:t xml:space="preserve">The main purpose of a </w:t>
            </w:r>
            <w:r w:rsidRPr="00BB1E65">
              <w:rPr>
                <w:b/>
                <w:i/>
              </w:rPr>
              <w:t>general medical examination</w:t>
            </w:r>
            <w:r w:rsidRPr="00BB1E65">
              <w:t xml:space="preserve"> is to screen all body systems and either</w:t>
            </w:r>
          </w:p>
          <w:p w14:paraId="00B1D604" w14:textId="77777777" w:rsidR="006117EC" w:rsidRPr="00BB1E65" w:rsidRDefault="006117EC" w:rsidP="006117EC">
            <w:pPr>
              <w:pStyle w:val="BlockText"/>
            </w:pPr>
          </w:p>
          <w:p w14:paraId="416C1AD0" w14:textId="77777777" w:rsidR="006117EC" w:rsidRPr="00BB1E65" w:rsidRDefault="006117EC" w:rsidP="006117EC">
            <w:pPr>
              <w:pStyle w:val="BulletText1"/>
            </w:pPr>
            <w:r w:rsidRPr="00BB1E65">
              <w:t>document normal findings, or</w:t>
            </w:r>
          </w:p>
          <w:p w14:paraId="6B4D82B7" w14:textId="77777777" w:rsidR="006117EC" w:rsidRPr="00BB1E65" w:rsidRDefault="006117EC" w:rsidP="006117EC">
            <w:pPr>
              <w:pStyle w:val="BulletText1"/>
            </w:pPr>
            <w:r w:rsidRPr="00BB1E65">
              <w:t>identify disabilities that are found or suspected.</w:t>
            </w:r>
          </w:p>
          <w:p w14:paraId="179C9407" w14:textId="77777777" w:rsidR="006117EC" w:rsidRPr="00BB1E65" w:rsidRDefault="006117EC" w:rsidP="006117EC">
            <w:pPr>
              <w:pStyle w:val="BlockText"/>
            </w:pPr>
          </w:p>
          <w:p w14:paraId="6CE79972" w14:textId="1705B8A9" w:rsidR="006117EC" w:rsidRPr="00BB1E65" w:rsidRDefault="006117EC" w:rsidP="006117EC">
            <w:pPr>
              <w:pStyle w:val="BlockText"/>
            </w:pPr>
            <w:r w:rsidRPr="00BB1E65">
              <w:rPr>
                <w:b/>
                <w:bCs/>
                <w:i/>
                <w:iCs/>
              </w:rPr>
              <w:t>Note</w:t>
            </w:r>
            <w:r w:rsidRPr="00BB1E65">
              <w:t>:  The examiner must fully evaluate any disability that is found or suspected according to the applicable</w:t>
            </w:r>
            <w:r w:rsidR="00A8043D" w:rsidRPr="00BB1E65">
              <w:t xml:space="preserve"> Disability Benefit Questionnaires</w:t>
            </w:r>
            <w:r w:rsidRPr="00BB1E65">
              <w:t xml:space="preserve"> </w:t>
            </w:r>
            <w:r w:rsidR="00A8043D" w:rsidRPr="00BB1E65">
              <w:t>(</w:t>
            </w:r>
            <w:r w:rsidRPr="00BB1E65">
              <w:t>DBQ</w:t>
            </w:r>
            <w:r w:rsidR="00A8043D" w:rsidRPr="00BB1E65">
              <w:t>)</w:t>
            </w:r>
            <w:r w:rsidRPr="00BB1E65">
              <w:t>.</w:t>
            </w:r>
            <w:r w:rsidR="00040270" w:rsidRPr="00BB1E65">
              <w:t xml:space="preserve"> </w:t>
            </w:r>
            <w:r w:rsidR="00D85302" w:rsidRPr="00BB1E65">
              <w:t xml:space="preserve"> </w:t>
            </w:r>
            <w:r w:rsidR="000223E9" w:rsidRPr="00BB1E65">
              <w:t>Opinions addressing etiology and relationship to service are not typically provided by general medical examinations.</w:t>
            </w:r>
          </w:p>
          <w:p w14:paraId="0BF6A081" w14:textId="77777777" w:rsidR="006117EC" w:rsidRPr="00BB1E65" w:rsidRDefault="006117EC" w:rsidP="006117EC">
            <w:pPr>
              <w:pStyle w:val="BlockText"/>
            </w:pPr>
          </w:p>
          <w:p w14:paraId="0F783288" w14:textId="77777777" w:rsidR="006117EC" w:rsidRPr="00BB1E65" w:rsidRDefault="006117EC" w:rsidP="006117EC">
            <w:pPr>
              <w:pStyle w:val="BlockText"/>
            </w:pPr>
            <w:r w:rsidRPr="00BB1E65">
              <w:rPr>
                <w:b/>
                <w:bCs/>
                <w:i/>
                <w:iCs/>
              </w:rPr>
              <w:t>References</w:t>
            </w:r>
            <w:r w:rsidRPr="00BB1E65">
              <w:t>:  For more information on</w:t>
            </w:r>
          </w:p>
          <w:p w14:paraId="113751B1" w14:textId="7C3091AD" w:rsidR="006117EC" w:rsidRPr="00BB1E65" w:rsidRDefault="006117EC" w:rsidP="006117EC">
            <w:pPr>
              <w:pStyle w:val="BulletText1"/>
            </w:pPr>
            <w:r w:rsidRPr="00BB1E65">
              <w:t xml:space="preserve">general medical examinations, see </w:t>
            </w:r>
            <w:r w:rsidR="00DE4FC9" w:rsidRPr="00BB1E65">
              <w:t>M2</w:t>
            </w:r>
            <w:r w:rsidR="003B592C" w:rsidRPr="00BB1E65">
              <w:t>1-1, Part III, Subpart iv, 3.A.5</w:t>
            </w:r>
            <w:r w:rsidRPr="00BB1E65">
              <w:t>, and</w:t>
            </w:r>
          </w:p>
          <w:p w14:paraId="7A5F8482" w14:textId="4616C49A" w:rsidR="00D717FD" w:rsidRPr="00BB1E65" w:rsidRDefault="006117EC" w:rsidP="00D717FD">
            <w:pPr>
              <w:pStyle w:val="BulletText1"/>
            </w:pPr>
            <w:r w:rsidRPr="00BB1E65">
              <w:t xml:space="preserve">general medical examination DBQs, see VA’s </w:t>
            </w:r>
            <w:hyperlink r:id="rId15" w:history="1">
              <w:r w:rsidRPr="00BB1E65">
                <w:rPr>
                  <w:rStyle w:val="Hyperlink"/>
                </w:rPr>
                <w:t>DBQ switchboard</w:t>
              </w:r>
            </w:hyperlink>
            <w:r w:rsidRPr="00BB1E65">
              <w:t>.</w:t>
            </w:r>
          </w:p>
        </w:tc>
      </w:tr>
    </w:tbl>
    <w:p w14:paraId="13057D00" w14:textId="7B8EBDBF" w:rsidR="006117EC" w:rsidRPr="00BB1E65" w:rsidRDefault="006117EC" w:rsidP="006117EC">
      <w:pPr>
        <w:tabs>
          <w:tab w:val="left" w:pos="9360"/>
        </w:tabs>
        <w:ind w:left="1714"/>
        <w:rPr>
          <w:lang w:val="fr-CA"/>
        </w:rPr>
      </w:pPr>
      <w:r w:rsidRPr="00BB1E65">
        <w:rPr>
          <w:u w:val="single"/>
          <w:lang w:val="fr-CA"/>
        </w:rPr>
        <w:tab/>
      </w:r>
    </w:p>
    <w:p w14:paraId="7C7F4FCF" w14:textId="7497EA84" w:rsidR="006117EC" w:rsidRPr="00BB1E65" w:rsidRDefault="006117EC" w:rsidP="006117EC">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6117EC" w:rsidRPr="00BB1E65" w14:paraId="584BBEBC" w14:textId="77777777" w:rsidTr="00E00319">
        <w:tc>
          <w:tcPr>
            <w:tcW w:w="1638" w:type="dxa"/>
            <w:shd w:val="clear" w:color="auto" w:fill="auto"/>
          </w:tcPr>
          <w:p w14:paraId="75B2ACD7" w14:textId="15D855AF" w:rsidR="006117EC" w:rsidRPr="00BB1E65" w:rsidRDefault="005B3357" w:rsidP="00BB435C">
            <w:pPr>
              <w:pStyle w:val="Heading5"/>
              <w:rPr>
                <w:lang w:val="fr-CA"/>
              </w:rPr>
            </w:pPr>
            <w:r w:rsidRPr="00BB1E65">
              <w:t>g</w:t>
            </w:r>
            <w:r w:rsidR="00090B75" w:rsidRPr="00BB1E65">
              <w:t xml:space="preserve">. </w:t>
            </w:r>
            <w:r w:rsidR="00AE782F" w:rsidRPr="00BB1E65">
              <w:t xml:space="preserve"> </w:t>
            </w:r>
            <w:r w:rsidR="006117EC" w:rsidRPr="00BB1E65">
              <w:t>Definition</w:t>
            </w:r>
            <w:r w:rsidR="006117EC" w:rsidRPr="00BB1E65">
              <w:rPr>
                <w:lang w:val="fr-CA"/>
              </w:rPr>
              <w:t xml:space="preserve">:  </w:t>
            </w:r>
            <w:r w:rsidR="00E413B7" w:rsidRPr="00BB1E65">
              <w:rPr>
                <w:lang w:val="fr-CA"/>
              </w:rPr>
              <w:t xml:space="preserve">Specialty </w:t>
            </w:r>
            <w:r w:rsidR="00E413B7" w:rsidRPr="00BB1E65">
              <w:t>Examination</w:t>
            </w:r>
          </w:p>
        </w:tc>
        <w:tc>
          <w:tcPr>
            <w:tcW w:w="7830" w:type="dxa"/>
            <w:shd w:val="clear" w:color="auto" w:fill="auto"/>
          </w:tcPr>
          <w:p w14:paraId="3B3440D7" w14:textId="4650604A" w:rsidR="00E413B7" w:rsidRPr="00BB1E65" w:rsidRDefault="00E413B7" w:rsidP="00E413B7">
            <w:r w:rsidRPr="00BB1E65">
              <w:t xml:space="preserve">A </w:t>
            </w:r>
            <w:r w:rsidRPr="00BB1E65">
              <w:rPr>
                <w:b/>
                <w:i/>
              </w:rPr>
              <w:t>specialty examination</w:t>
            </w:r>
            <w:r w:rsidRPr="00BB1E65">
              <w:t xml:space="preserve"> focuses on the disabilities that are specifically at issue in the Veteran’s claim.  For example, if a Veteran claims that service-connected </w:t>
            </w:r>
            <w:r w:rsidR="006F1070" w:rsidRPr="00BB1E65">
              <w:t xml:space="preserve">(SC) </w:t>
            </w:r>
            <w:r w:rsidRPr="00BB1E65">
              <w:t xml:space="preserve">hypertension has worsened, an examination using the hypertension DBQ should be requested.  </w:t>
            </w:r>
          </w:p>
          <w:p w14:paraId="5EA83A44" w14:textId="77777777" w:rsidR="00E413B7" w:rsidRPr="00BB1E65" w:rsidRDefault="00E413B7" w:rsidP="00E413B7"/>
          <w:p w14:paraId="76D02B73" w14:textId="77777777" w:rsidR="00E413B7" w:rsidRPr="00BB1E65" w:rsidRDefault="00E413B7" w:rsidP="00E413B7">
            <w:r w:rsidRPr="00BB1E65">
              <w:rPr>
                <w:b/>
                <w:bCs/>
                <w:i/>
                <w:iCs/>
              </w:rPr>
              <w:t>Notes</w:t>
            </w:r>
            <w:r w:rsidRPr="00BB1E65">
              <w:t>:</w:t>
            </w:r>
          </w:p>
          <w:p w14:paraId="2B1FD86F" w14:textId="77777777" w:rsidR="00E413B7" w:rsidRPr="00BB1E65" w:rsidRDefault="00E413B7" w:rsidP="00171AC4">
            <w:pPr>
              <w:pStyle w:val="ListParagraph"/>
              <w:numPr>
                <w:ilvl w:val="0"/>
                <w:numId w:val="15"/>
              </w:numPr>
              <w:ind w:left="158" w:hanging="187"/>
            </w:pPr>
            <w:r w:rsidRPr="00BB1E65">
              <w:t>Specialty examinations generally do not address disorders that are not at issue in the claim, even if the disorders are found or suspected during the examination.</w:t>
            </w:r>
          </w:p>
          <w:p w14:paraId="629DBC40" w14:textId="47866608" w:rsidR="006117EC" w:rsidRPr="00BB1E65" w:rsidRDefault="00E413B7" w:rsidP="00171AC4">
            <w:pPr>
              <w:pStyle w:val="ListParagraph"/>
              <w:numPr>
                <w:ilvl w:val="0"/>
                <w:numId w:val="15"/>
              </w:numPr>
              <w:ind w:left="158" w:hanging="187"/>
              <w:rPr>
                <w:lang w:val="fr-CA"/>
              </w:rPr>
            </w:pPr>
            <w:r w:rsidRPr="00BB1E65">
              <w:t>Specialty examinations may be (and usually are) performed by non-specialist clinicians, but in unusual cases, or as requested by a Board of Veterans’ Appeals (BVA) remand, it may be necessary for the specialty examination to be performed by a specialist.</w:t>
            </w:r>
          </w:p>
        </w:tc>
      </w:tr>
    </w:tbl>
    <w:p w14:paraId="3084E026" w14:textId="37577DC2" w:rsidR="006117EC" w:rsidRPr="00BB1E65" w:rsidRDefault="00E413B7" w:rsidP="00E413B7">
      <w:pPr>
        <w:tabs>
          <w:tab w:val="left" w:pos="9360"/>
        </w:tabs>
        <w:ind w:left="1714"/>
        <w:rPr>
          <w:lang w:val="fr-CA"/>
        </w:rPr>
      </w:pPr>
      <w:r w:rsidRPr="00BB1E65">
        <w:rPr>
          <w:u w:val="single"/>
          <w:lang w:val="fr-CA"/>
        </w:rPr>
        <w:tab/>
      </w:r>
    </w:p>
    <w:p w14:paraId="761C7268" w14:textId="2AC84E20" w:rsidR="00E413B7" w:rsidRPr="00BB1E65" w:rsidRDefault="00E413B7" w:rsidP="00E413B7">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E413B7" w:rsidRPr="00BB1E65" w14:paraId="67F19382" w14:textId="77777777" w:rsidTr="00E00319">
        <w:tc>
          <w:tcPr>
            <w:tcW w:w="1638" w:type="dxa"/>
            <w:shd w:val="clear" w:color="auto" w:fill="auto"/>
          </w:tcPr>
          <w:p w14:paraId="399D3E6F" w14:textId="275BC79C" w:rsidR="00E413B7" w:rsidRPr="00BB1E65" w:rsidRDefault="005B3357" w:rsidP="00BB435C">
            <w:pPr>
              <w:rPr>
                <w:b/>
                <w:sz w:val="22"/>
                <w:lang w:val="fr-CA"/>
              </w:rPr>
            </w:pPr>
            <w:r w:rsidRPr="00BB1E65">
              <w:rPr>
                <w:b/>
                <w:sz w:val="22"/>
              </w:rPr>
              <w:t>h</w:t>
            </w:r>
            <w:r w:rsidR="00090B75" w:rsidRPr="00BB1E65">
              <w:rPr>
                <w:b/>
                <w:sz w:val="22"/>
              </w:rPr>
              <w:t xml:space="preserve">. </w:t>
            </w:r>
            <w:r w:rsidR="00AE782F" w:rsidRPr="00BB1E65">
              <w:rPr>
                <w:b/>
                <w:sz w:val="22"/>
              </w:rPr>
              <w:t xml:space="preserve"> </w:t>
            </w:r>
            <w:r w:rsidR="00E413B7" w:rsidRPr="00BB1E65">
              <w:rPr>
                <w:b/>
                <w:sz w:val="22"/>
              </w:rPr>
              <w:t>Definition</w:t>
            </w:r>
            <w:r w:rsidR="00E413B7" w:rsidRPr="00BB1E65">
              <w:rPr>
                <w:b/>
                <w:sz w:val="22"/>
                <w:lang w:val="fr-CA"/>
              </w:rPr>
              <w:t xml:space="preserve">:  </w:t>
            </w:r>
            <w:r w:rsidR="00E413B7" w:rsidRPr="00BB1E65">
              <w:rPr>
                <w:b/>
                <w:sz w:val="22"/>
              </w:rPr>
              <w:t>Specialist</w:t>
            </w:r>
            <w:r w:rsidR="00E413B7" w:rsidRPr="00BB1E65">
              <w:rPr>
                <w:b/>
                <w:sz w:val="22"/>
                <w:lang w:val="fr-CA"/>
              </w:rPr>
              <w:t xml:space="preserve"> </w:t>
            </w:r>
            <w:r w:rsidR="00E413B7" w:rsidRPr="00BB1E65">
              <w:rPr>
                <w:b/>
                <w:sz w:val="22"/>
              </w:rPr>
              <w:t>Examination</w:t>
            </w:r>
          </w:p>
        </w:tc>
        <w:tc>
          <w:tcPr>
            <w:tcW w:w="7830" w:type="dxa"/>
            <w:shd w:val="clear" w:color="auto" w:fill="auto"/>
          </w:tcPr>
          <w:p w14:paraId="2926F62C" w14:textId="77777777" w:rsidR="00E413B7" w:rsidRPr="00BB1E65" w:rsidRDefault="00E413B7" w:rsidP="00E413B7">
            <w:pPr>
              <w:pStyle w:val="BlockText"/>
            </w:pPr>
            <w:r w:rsidRPr="00BB1E65">
              <w:t xml:space="preserve">A </w:t>
            </w:r>
            <w:r w:rsidRPr="00BB1E65">
              <w:rPr>
                <w:b/>
                <w:i/>
              </w:rPr>
              <w:t>specialist examination</w:t>
            </w:r>
            <w:r w:rsidRPr="00BB1E65">
              <w:t xml:space="preserve"> is any examination that is conducted by a clinician who specializes in a particular field.  </w:t>
            </w:r>
          </w:p>
          <w:p w14:paraId="56BEC4F5" w14:textId="77777777" w:rsidR="00E413B7" w:rsidRPr="00BB1E65" w:rsidRDefault="00E413B7" w:rsidP="00E413B7">
            <w:pPr>
              <w:pStyle w:val="BlockText"/>
            </w:pPr>
          </w:p>
          <w:p w14:paraId="6F96D613" w14:textId="77777777" w:rsidR="00E413B7" w:rsidRPr="00BB1E65" w:rsidRDefault="00E413B7" w:rsidP="00E413B7">
            <w:pPr>
              <w:pStyle w:val="BlockText"/>
              <w:rPr>
                <w:b/>
                <w:i/>
              </w:rPr>
            </w:pPr>
            <w:r w:rsidRPr="00BB1E65">
              <w:rPr>
                <w:b/>
                <w:i/>
              </w:rPr>
              <w:t>Notes:</w:t>
            </w:r>
          </w:p>
          <w:p w14:paraId="23805342" w14:textId="77777777" w:rsidR="006A070D" w:rsidRPr="00BB1E65" w:rsidRDefault="00E413B7" w:rsidP="00E413B7">
            <w:pPr>
              <w:pStyle w:val="BulletText1"/>
            </w:pPr>
            <w:r w:rsidRPr="00BB1E65">
              <w:t xml:space="preserve">All vision, hearing, dental, and psychiatric examinations </w:t>
            </w:r>
            <w:r w:rsidRPr="00BB1E65">
              <w:rPr>
                <w:i/>
                <w:iCs/>
              </w:rPr>
              <w:t>must</w:t>
            </w:r>
            <w:r w:rsidRPr="00BB1E65">
              <w:t xml:space="preserve"> be conducted by a specialist.  </w:t>
            </w:r>
          </w:p>
          <w:p w14:paraId="089F8666" w14:textId="0D06D7EE" w:rsidR="00E413B7" w:rsidRPr="00BB1E65" w:rsidRDefault="00E413B7" w:rsidP="00E413B7">
            <w:pPr>
              <w:pStyle w:val="BulletText1"/>
            </w:pPr>
            <w:r w:rsidRPr="00BB1E65">
              <w:t>In unusual cases, or as requested by a BVA remand, it may be necessary to request a specialist examination for other types of disabilities.</w:t>
            </w:r>
          </w:p>
          <w:p w14:paraId="227FE275" w14:textId="77777777" w:rsidR="00E413B7" w:rsidRPr="00BB1E65" w:rsidRDefault="00E413B7" w:rsidP="00E413B7">
            <w:pPr>
              <w:pStyle w:val="BlockText"/>
            </w:pPr>
          </w:p>
          <w:p w14:paraId="6070F19A" w14:textId="0DFA58D8" w:rsidR="00E413B7" w:rsidRPr="00BB1E65" w:rsidRDefault="00E413B7" w:rsidP="003B592C">
            <w:pPr>
              <w:rPr>
                <w:lang w:val="fr-CA"/>
              </w:rPr>
            </w:pPr>
            <w:r w:rsidRPr="00BB1E65">
              <w:rPr>
                <w:b/>
                <w:bCs/>
                <w:i/>
                <w:iCs/>
              </w:rPr>
              <w:t>Reference</w:t>
            </w:r>
            <w:r w:rsidRPr="00BB1E65">
              <w:t xml:space="preserve">:  For more information on specialist examinations, see </w:t>
            </w:r>
            <w:r w:rsidR="00A40C93" w:rsidRPr="00BB1E65">
              <w:t>M21-</w:t>
            </w:r>
            <w:r w:rsidR="00B620D3" w:rsidRPr="00BB1E65">
              <w:t>1</w:t>
            </w:r>
            <w:r w:rsidR="00A40C93" w:rsidRPr="00BB1E65">
              <w:t>, Part III, Subpart iv, 3.A</w:t>
            </w:r>
            <w:r w:rsidR="003B592C" w:rsidRPr="00BB1E65">
              <w:t>.6</w:t>
            </w:r>
            <w:r w:rsidR="003816DF" w:rsidRPr="00BB1E65">
              <w:t>.</w:t>
            </w:r>
          </w:p>
        </w:tc>
      </w:tr>
    </w:tbl>
    <w:p w14:paraId="12075939" w14:textId="7D317D1E" w:rsidR="00135DC0" w:rsidRPr="00BB1E65" w:rsidRDefault="00135DC0">
      <w:pPr>
        <w:pStyle w:val="BlockLine"/>
        <w:rPr>
          <w:sz w:val="20"/>
        </w:rPr>
      </w:pPr>
    </w:p>
    <w:tbl>
      <w:tblPr>
        <w:tblW w:w="0" w:type="auto"/>
        <w:tblInd w:w="-106" w:type="dxa"/>
        <w:tblLayout w:type="fixed"/>
        <w:tblLook w:val="0000" w:firstRow="0" w:lastRow="0" w:firstColumn="0" w:lastColumn="0" w:noHBand="0" w:noVBand="0"/>
      </w:tblPr>
      <w:tblGrid>
        <w:gridCol w:w="1728"/>
        <w:gridCol w:w="7740"/>
      </w:tblGrid>
      <w:tr w:rsidR="00135DC0" w:rsidRPr="00BB1E65" w14:paraId="1207593F" w14:textId="77777777">
        <w:tc>
          <w:tcPr>
            <w:tcW w:w="1728" w:type="dxa"/>
            <w:tcBorders>
              <w:top w:val="nil"/>
              <w:left w:val="nil"/>
              <w:bottom w:val="nil"/>
              <w:right w:val="nil"/>
            </w:tcBorders>
          </w:tcPr>
          <w:p w14:paraId="1207593A" w14:textId="6E99EFD1" w:rsidR="00135DC0" w:rsidRPr="00BB1E65" w:rsidRDefault="005B3357" w:rsidP="00EF3341">
            <w:pPr>
              <w:pStyle w:val="Heading5"/>
            </w:pPr>
            <w:r w:rsidRPr="00BB1E65">
              <w:t>i</w:t>
            </w:r>
            <w:r w:rsidR="00135DC0" w:rsidRPr="00BB1E65">
              <w:t>.  Veteran’s Legal Rights at an Examination</w:t>
            </w:r>
          </w:p>
        </w:tc>
        <w:tc>
          <w:tcPr>
            <w:tcW w:w="7740" w:type="dxa"/>
            <w:tcBorders>
              <w:top w:val="nil"/>
              <w:left w:val="nil"/>
              <w:bottom w:val="nil"/>
              <w:right w:val="nil"/>
            </w:tcBorders>
          </w:tcPr>
          <w:p w14:paraId="1207593B" w14:textId="179067AF" w:rsidR="00135DC0" w:rsidRPr="00BB1E65" w:rsidRDefault="00135DC0">
            <w:pPr>
              <w:pStyle w:val="BlockText"/>
            </w:pPr>
            <w:r w:rsidRPr="00BB1E65">
              <w:t>A Veteran has no legal right to</w:t>
            </w:r>
          </w:p>
          <w:p w14:paraId="1207593C" w14:textId="77777777" w:rsidR="00135DC0" w:rsidRPr="00BB1E65" w:rsidRDefault="00135DC0">
            <w:pPr>
              <w:pStyle w:val="BlockText"/>
              <w:rPr>
                <w:sz w:val="22"/>
              </w:rPr>
            </w:pPr>
          </w:p>
          <w:p w14:paraId="1207593D" w14:textId="77777777" w:rsidR="00135DC0" w:rsidRPr="00BB1E65" w:rsidRDefault="00135DC0">
            <w:pPr>
              <w:pStyle w:val="BulletText1"/>
            </w:pPr>
            <w:r w:rsidRPr="00BB1E65">
              <w:t xml:space="preserve">be accompanied by counsel during an examination, or </w:t>
            </w:r>
          </w:p>
          <w:p w14:paraId="1207593E" w14:textId="77777777" w:rsidR="00135DC0" w:rsidRPr="00BB1E65" w:rsidRDefault="00135DC0">
            <w:pPr>
              <w:pStyle w:val="BulletText1"/>
            </w:pPr>
            <w:r w:rsidRPr="00BB1E65">
              <w:t>record an examination.</w:t>
            </w:r>
          </w:p>
        </w:tc>
      </w:tr>
    </w:tbl>
    <w:p w14:paraId="1F6E4E30" w14:textId="2561F952" w:rsidR="008378AA" w:rsidRPr="00BB1E65" w:rsidRDefault="008378AA" w:rsidP="003E7CC5">
      <w:pPr>
        <w:pStyle w:val="BlockLine"/>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378AA" w:rsidRPr="00BB1E65" w14:paraId="34E60100" w14:textId="77777777" w:rsidTr="008378AA">
        <w:tc>
          <w:tcPr>
            <w:tcW w:w="1728" w:type="dxa"/>
            <w:shd w:val="clear" w:color="auto" w:fill="auto"/>
          </w:tcPr>
          <w:p w14:paraId="361C2F86" w14:textId="6F640A32" w:rsidR="008378AA" w:rsidRPr="00BB1E65" w:rsidRDefault="008378AA" w:rsidP="00786EB5">
            <w:pPr>
              <w:rPr>
                <w:b/>
                <w:sz w:val="22"/>
              </w:rPr>
            </w:pPr>
            <w:bookmarkStart w:id="1" w:name="Topic1j"/>
            <w:bookmarkEnd w:id="1"/>
            <w:r w:rsidRPr="00BB1E65">
              <w:rPr>
                <w:b/>
                <w:sz w:val="22"/>
              </w:rPr>
              <w:t>j.  C</w:t>
            </w:r>
            <w:r w:rsidR="00786EB5" w:rsidRPr="00BB1E65">
              <w:rPr>
                <w:b/>
                <w:sz w:val="22"/>
              </w:rPr>
              <w:t>ontract Examination Exclusions</w:t>
            </w:r>
          </w:p>
        </w:tc>
        <w:tc>
          <w:tcPr>
            <w:tcW w:w="7740" w:type="dxa"/>
            <w:shd w:val="clear" w:color="auto" w:fill="auto"/>
          </w:tcPr>
          <w:p w14:paraId="599DA947" w14:textId="3C60D877" w:rsidR="004F4F95" w:rsidRPr="00BB1E65" w:rsidRDefault="00786EB5" w:rsidP="008311A1">
            <w:r w:rsidRPr="00BB1E65">
              <w:t xml:space="preserve">Examinations </w:t>
            </w:r>
            <w:r w:rsidR="003E0904" w:rsidRPr="00BB1E65">
              <w:rPr>
                <w:b/>
                <w:i/>
              </w:rPr>
              <w:t xml:space="preserve">must </w:t>
            </w:r>
            <w:r w:rsidRPr="00BB1E65">
              <w:rPr>
                <w:b/>
                <w:i/>
              </w:rPr>
              <w:t>not</w:t>
            </w:r>
            <w:r w:rsidRPr="00BB1E65">
              <w:t xml:space="preserve"> be requested from contract examiners under certain circumstances.  </w:t>
            </w:r>
            <w:r w:rsidR="00A2410B" w:rsidRPr="00BB1E65">
              <w:t xml:space="preserve">Use discretion based on </w:t>
            </w:r>
            <w:r w:rsidR="006F1070" w:rsidRPr="00BB1E65">
              <w:t>RO</w:t>
            </w:r>
            <w:r w:rsidR="00A2410B" w:rsidRPr="00BB1E65">
              <w:t xml:space="preserve"> </w:t>
            </w:r>
            <w:r w:rsidR="004F4F95" w:rsidRPr="00BB1E65">
              <w:t xml:space="preserve">expertise and consultation with VHA and/or contract exam providers when determining whether a contract examination is warranted. </w:t>
            </w:r>
          </w:p>
          <w:p w14:paraId="4848D858" w14:textId="77777777" w:rsidR="004F4F95" w:rsidRPr="00BB1E65" w:rsidRDefault="004F4F95" w:rsidP="008311A1">
            <w:pPr>
              <w:rPr>
                <w:sz w:val="22"/>
              </w:rPr>
            </w:pPr>
          </w:p>
          <w:p w14:paraId="66790C1C" w14:textId="6A5D2665" w:rsidR="008378AA" w:rsidRPr="00BB1E65" w:rsidRDefault="004F4F95" w:rsidP="008311A1">
            <w:r w:rsidRPr="00BB1E65">
              <w:t>C</w:t>
            </w:r>
            <w:r w:rsidR="008311A1" w:rsidRPr="00BB1E65">
              <w:t>ircumstances</w:t>
            </w:r>
            <w:r w:rsidRPr="00BB1E65">
              <w:t xml:space="preserve"> under which contract examinations </w:t>
            </w:r>
            <w:r w:rsidR="003E0904" w:rsidRPr="00BB1E65">
              <w:rPr>
                <w:b/>
                <w:i/>
              </w:rPr>
              <w:t xml:space="preserve">must </w:t>
            </w:r>
            <w:r w:rsidRPr="00BB1E65">
              <w:rPr>
                <w:b/>
                <w:i/>
              </w:rPr>
              <w:t>not</w:t>
            </w:r>
            <w:r w:rsidRPr="00BB1E65">
              <w:t xml:space="preserve"> be requested</w:t>
            </w:r>
            <w:r w:rsidR="008311A1" w:rsidRPr="00BB1E65">
              <w:t xml:space="preserve"> include, but are not limited to, the following: </w:t>
            </w:r>
          </w:p>
          <w:p w14:paraId="3BB90C4E" w14:textId="77777777" w:rsidR="006F1070" w:rsidRPr="00BB1E65" w:rsidRDefault="006F1070" w:rsidP="003653AB">
            <w:pPr>
              <w:ind w:firstLine="720"/>
              <w:rPr>
                <w:sz w:val="22"/>
              </w:rPr>
            </w:pPr>
          </w:p>
          <w:p w14:paraId="539CECF3" w14:textId="77777777" w:rsidR="008311A1" w:rsidRPr="00BB1E65" w:rsidRDefault="008311A1" w:rsidP="008311A1">
            <w:pPr>
              <w:pStyle w:val="ListParagraph"/>
              <w:numPr>
                <w:ilvl w:val="0"/>
                <w:numId w:val="112"/>
              </w:numPr>
              <w:ind w:left="158" w:hanging="187"/>
            </w:pPr>
            <w:r w:rsidRPr="00BB1E65">
              <w:t>Former Prisoner of War (FPOW) Protocol Exam is required</w:t>
            </w:r>
          </w:p>
          <w:p w14:paraId="58EDD384" w14:textId="53957290" w:rsidR="0085094B" w:rsidRPr="00BB1E65" w:rsidRDefault="008311A1" w:rsidP="0085094B">
            <w:pPr>
              <w:pStyle w:val="ListParagraph"/>
              <w:numPr>
                <w:ilvl w:val="0"/>
                <w:numId w:val="112"/>
              </w:numPr>
              <w:ind w:left="158" w:hanging="187"/>
            </w:pPr>
            <w:r w:rsidRPr="00BB1E65">
              <w:t xml:space="preserve">claim for disability based on exposure to environmental hazards such as </w:t>
            </w:r>
            <w:r w:rsidR="0085094B" w:rsidRPr="00BB1E65">
              <w:t xml:space="preserve">Gulf War exposure, </w:t>
            </w:r>
            <w:r w:rsidRPr="00BB1E65">
              <w:t>Camp Lejeune water contamination,</w:t>
            </w:r>
            <w:r w:rsidR="0085094B" w:rsidRPr="00BB1E65">
              <w:t xml:space="preserve"> and chemical and biological warfare agents</w:t>
            </w:r>
            <w:r w:rsidRPr="00BB1E65">
              <w:t xml:space="preserve"> </w:t>
            </w:r>
            <w:r w:rsidR="0095208D" w:rsidRPr="00BB1E65">
              <w:t xml:space="preserve">(includes new claims, review exams, and </w:t>
            </w:r>
            <w:r w:rsidR="00F54FA1" w:rsidRPr="00BB1E65">
              <w:t xml:space="preserve">claims for </w:t>
            </w:r>
            <w:r w:rsidR="0095208D" w:rsidRPr="00BB1E65">
              <w:t>increase in disability)</w:t>
            </w:r>
          </w:p>
          <w:p w14:paraId="2278E4E7" w14:textId="77777777" w:rsidR="0085094B" w:rsidRPr="00BB1E65" w:rsidRDefault="0085094B" w:rsidP="0085094B">
            <w:pPr>
              <w:pStyle w:val="ListParagraph"/>
              <w:numPr>
                <w:ilvl w:val="0"/>
                <w:numId w:val="112"/>
              </w:numPr>
              <w:ind w:left="158" w:hanging="187"/>
            </w:pPr>
            <w:r w:rsidRPr="00BB1E65">
              <w:t>claim for undiagnosed illness</w:t>
            </w:r>
          </w:p>
          <w:p w14:paraId="059F53D1" w14:textId="5F82B5AF" w:rsidR="00A2191E" w:rsidRPr="00BB1E65" w:rsidRDefault="00A2191E" w:rsidP="0085094B">
            <w:pPr>
              <w:pStyle w:val="ListParagraph"/>
              <w:numPr>
                <w:ilvl w:val="0"/>
                <w:numId w:val="112"/>
              </w:numPr>
              <w:ind w:left="158" w:hanging="187"/>
            </w:pPr>
            <w:r w:rsidRPr="00BB1E65">
              <w:t>Veteran requires overnight stay</w:t>
            </w:r>
            <w:r w:rsidR="00B9690F" w:rsidRPr="00BB1E65">
              <w:t>, (</w:t>
            </w:r>
            <w:r w:rsidR="00A76055" w:rsidRPr="00BB1E65">
              <w:t>for example, a</w:t>
            </w:r>
            <w:r w:rsidR="00B9690F" w:rsidRPr="00BB1E65">
              <w:t xml:space="preserve"> sleep study)</w:t>
            </w:r>
          </w:p>
          <w:p w14:paraId="71C78060" w14:textId="41B7F7C1" w:rsidR="0085094B" w:rsidRPr="00BB1E65" w:rsidRDefault="0085094B" w:rsidP="0085094B">
            <w:pPr>
              <w:pStyle w:val="ListParagraph"/>
              <w:numPr>
                <w:ilvl w:val="0"/>
                <w:numId w:val="112"/>
              </w:numPr>
              <w:ind w:left="158" w:hanging="187"/>
            </w:pPr>
            <w:r w:rsidRPr="00BB1E65">
              <w:t>examination requires hospital</w:t>
            </w:r>
            <w:r w:rsidR="00A2191E" w:rsidRPr="00BB1E65">
              <w:t>ization</w:t>
            </w:r>
            <w:r w:rsidR="00125157" w:rsidRPr="00BB1E65">
              <w:t xml:space="preserve"> </w:t>
            </w:r>
            <w:r w:rsidR="001771E5" w:rsidRPr="00BB1E65">
              <w:t>or surgical evaluation, such as colonoscopy</w:t>
            </w:r>
          </w:p>
          <w:p w14:paraId="1F9F78A4" w14:textId="41F70D88" w:rsidR="0085094B" w:rsidRPr="00BB1E65" w:rsidRDefault="0085094B" w:rsidP="0085094B">
            <w:pPr>
              <w:pStyle w:val="ListParagraph"/>
              <w:numPr>
                <w:ilvl w:val="0"/>
                <w:numId w:val="112"/>
              </w:numPr>
              <w:ind w:left="158" w:hanging="187"/>
            </w:pPr>
            <w:r w:rsidRPr="00BB1E65">
              <w:t>Veteran is incarcerated</w:t>
            </w:r>
          </w:p>
          <w:p w14:paraId="31CEBB7D" w14:textId="22FFB437" w:rsidR="0085094B" w:rsidRPr="00BB1E65" w:rsidRDefault="0085094B" w:rsidP="0085094B">
            <w:pPr>
              <w:pStyle w:val="ListParagraph"/>
              <w:numPr>
                <w:ilvl w:val="0"/>
                <w:numId w:val="112"/>
              </w:numPr>
              <w:ind w:left="158" w:hanging="187"/>
            </w:pPr>
            <w:r w:rsidRPr="00BB1E65">
              <w:t xml:space="preserve">Veteran </w:t>
            </w:r>
            <w:r w:rsidR="00A2191E" w:rsidRPr="00BB1E65">
              <w:t xml:space="preserve">is known to be violent, (i.e., </w:t>
            </w:r>
            <w:r w:rsidRPr="00BB1E65">
              <w:t>requires the presence of security personnel during examination</w:t>
            </w:r>
            <w:r w:rsidR="00A2191E" w:rsidRPr="00BB1E65">
              <w:t>)</w:t>
            </w:r>
          </w:p>
          <w:p w14:paraId="52651F89" w14:textId="302FFFE2" w:rsidR="008311A1" w:rsidRPr="00BB1E65" w:rsidRDefault="00AB3396" w:rsidP="0085094B">
            <w:pPr>
              <w:pStyle w:val="ListParagraph"/>
              <w:numPr>
                <w:ilvl w:val="0"/>
                <w:numId w:val="112"/>
              </w:numPr>
              <w:ind w:left="158" w:hanging="187"/>
            </w:pPr>
            <w:r w:rsidRPr="00BB1E65">
              <w:t xml:space="preserve">examination </w:t>
            </w:r>
            <w:r w:rsidR="00A76055" w:rsidRPr="00BB1E65">
              <w:t>based upon a</w:t>
            </w:r>
            <w:r w:rsidRPr="00BB1E65">
              <w:t xml:space="preserve"> </w:t>
            </w:r>
            <w:r w:rsidR="0085094B" w:rsidRPr="00BB1E65">
              <w:t>remand from Court of Appeals for Veteran’s Claims</w:t>
            </w:r>
          </w:p>
          <w:p w14:paraId="0C779D7E" w14:textId="49F829FA" w:rsidR="0085094B" w:rsidRPr="00BB1E65" w:rsidRDefault="0085094B" w:rsidP="0085094B">
            <w:pPr>
              <w:pStyle w:val="ListParagraph"/>
              <w:numPr>
                <w:ilvl w:val="0"/>
                <w:numId w:val="112"/>
              </w:numPr>
              <w:ind w:left="158" w:hanging="187"/>
            </w:pPr>
            <w:r w:rsidRPr="00BB1E65">
              <w:t>Veteran is pregnant</w:t>
            </w:r>
          </w:p>
          <w:p w14:paraId="2C862D9C" w14:textId="52CEEAC9" w:rsidR="0085094B" w:rsidRPr="00BB1E65" w:rsidRDefault="0085094B" w:rsidP="0085094B">
            <w:pPr>
              <w:pStyle w:val="ListParagraph"/>
              <w:numPr>
                <w:ilvl w:val="0"/>
                <w:numId w:val="112"/>
              </w:numPr>
              <w:ind w:left="158" w:hanging="187"/>
            </w:pPr>
            <w:r w:rsidRPr="00BB1E65">
              <w:t>Veteran is a</w:t>
            </w:r>
            <w:r w:rsidR="00A76055" w:rsidRPr="00BB1E65">
              <w:t>n</w:t>
            </w:r>
            <w:r w:rsidRPr="00BB1E65">
              <w:t xml:space="preserve"> </w:t>
            </w:r>
            <w:r w:rsidR="00A76055" w:rsidRPr="00BB1E65">
              <w:t>in</w:t>
            </w:r>
            <w:r w:rsidRPr="00BB1E65">
              <w:t xml:space="preserve">patient </w:t>
            </w:r>
            <w:r w:rsidR="00B84AC1" w:rsidRPr="00BB1E65">
              <w:t>at</w:t>
            </w:r>
            <w:r w:rsidRPr="00BB1E65">
              <w:t xml:space="preserve"> a VHA facility</w:t>
            </w:r>
            <w:r w:rsidR="00B84AC1" w:rsidRPr="00BB1E65">
              <w:t>, nursing home, extended care facility or domiciliary (including state-operated Veterans’ homes)</w:t>
            </w:r>
          </w:p>
          <w:p w14:paraId="32908234" w14:textId="1602F560" w:rsidR="00AB3396" w:rsidRPr="00BB1E65" w:rsidRDefault="00AB3396" w:rsidP="0008461C">
            <w:pPr>
              <w:pStyle w:val="ListParagraph"/>
              <w:numPr>
                <w:ilvl w:val="0"/>
                <w:numId w:val="112"/>
              </w:numPr>
              <w:ind w:left="158" w:hanging="187"/>
            </w:pPr>
            <w:r w:rsidRPr="00BB1E65">
              <w:t>Veteran resides in Washington, D.C. or outside of the United States</w:t>
            </w:r>
          </w:p>
          <w:p w14:paraId="627388FC" w14:textId="546D0A28" w:rsidR="00AB3396" w:rsidRPr="00BB1E65" w:rsidRDefault="00AB3396" w:rsidP="0085094B">
            <w:pPr>
              <w:pStyle w:val="ListParagraph"/>
              <w:numPr>
                <w:ilvl w:val="0"/>
                <w:numId w:val="112"/>
              </w:numPr>
              <w:ind w:left="158" w:hanging="187"/>
            </w:pPr>
            <w:r w:rsidRPr="00BB1E65">
              <w:t>Veteran requires a Social and Industrial Survey</w:t>
            </w:r>
          </w:p>
          <w:p w14:paraId="1EACAAEB" w14:textId="3B7211D2" w:rsidR="00AB3396" w:rsidRPr="00BB1E65" w:rsidRDefault="00AB3396" w:rsidP="0085094B">
            <w:pPr>
              <w:pStyle w:val="ListParagraph"/>
              <w:numPr>
                <w:ilvl w:val="0"/>
                <w:numId w:val="112"/>
              </w:numPr>
              <w:ind w:left="158" w:hanging="187"/>
            </w:pPr>
            <w:r w:rsidRPr="00BB1E65">
              <w:t>examination for a Veteran’s dependent or survivor</w:t>
            </w:r>
          </w:p>
          <w:p w14:paraId="7ED7A1D1" w14:textId="506F3F2D" w:rsidR="00AB3396" w:rsidRPr="00BB1E65" w:rsidRDefault="00AB3396" w:rsidP="0085094B">
            <w:pPr>
              <w:pStyle w:val="ListParagraph"/>
              <w:numPr>
                <w:ilvl w:val="0"/>
                <w:numId w:val="112"/>
              </w:numPr>
              <w:ind w:left="158" w:hanging="187"/>
            </w:pPr>
            <w:r w:rsidRPr="00BB1E65">
              <w:t>Veteran is deceased and an opinion is required</w:t>
            </w:r>
          </w:p>
          <w:p w14:paraId="2EC746DE" w14:textId="22203365" w:rsidR="003E0904" w:rsidRPr="00BB1E65" w:rsidRDefault="00AB3396" w:rsidP="00A2513D">
            <w:pPr>
              <w:pStyle w:val="ListParagraph"/>
              <w:numPr>
                <w:ilvl w:val="0"/>
                <w:numId w:val="112"/>
              </w:numPr>
              <w:ind w:left="158" w:hanging="187"/>
            </w:pPr>
            <w:r w:rsidRPr="00BB1E65">
              <w:t>Veteran has filed a tort claim</w:t>
            </w:r>
          </w:p>
          <w:p w14:paraId="08320CD5" w14:textId="48605C7E" w:rsidR="00AB3396" w:rsidRPr="00BB1E65" w:rsidRDefault="00AB3396" w:rsidP="00A2513D">
            <w:pPr>
              <w:pStyle w:val="ListParagraph"/>
              <w:numPr>
                <w:ilvl w:val="0"/>
                <w:numId w:val="112"/>
              </w:numPr>
              <w:ind w:left="158" w:hanging="187"/>
            </w:pPr>
            <w:r w:rsidRPr="00BB1E65">
              <w:t xml:space="preserve">Veteran is </w:t>
            </w:r>
            <w:r w:rsidR="004C2B1A" w:rsidRPr="00BB1E65">
              <w:t xml:space="preserve">filing initial claim for </w:t>
            </w:r>
            <w:r w:rsidRPr="00BB1E65">
              <w:t>compensation under 38 U</w:t>
            </w:r>
            <w:r w:rsidR="00DD5195" w:rsidRPr="00BB1E65">
              <w:t>.</w:t>
            </w:r>
            <w:r w:rsidRPr="00BB1E65">
              <w:t>S</w:t>
            </w:r>
            <w:r w:rsidR="00DD5195" w:rsidRPr="00BB1E65">
              <w:t>.</w:t>
            </w:r>
            <w:r w:rsidRPr="00BB1E65">
              <w:t>C</w:t>
            </w:r>
            <w:r w:rsidR="00DD5195" w:rsidRPr="00BB1E65">
              <w:t>.</w:t>
            </w:r>
            <w:r w:rsidRPr="00BB1E65">
              <w:t xml:space="preserve"> 1151, and </w:t>
            </w:r>
          </w:p>
          <w:p w14:paraId="2E857D14" w14:textId="399AD39E" w:rsidR="00AB3396" w:rsidRPr="00BB1E65" w:rsidRDefault="00AB3396">
            <w:pPr>
              <w:pStyle w:val="ListParagraph"/>
              <w:numPr>
                <w:ilvl w:val="0"/>
                <w:numId w:val="112"/>
              </w:numPr>
              <w:ind w:left="158" w:hanging="187"/>
            </w:pPr>
            <w:r w:rsidRPr="00BB1E65">
              <w:t xml:space="preserve">Veteran is a </w:t>
            </w:r>
            <w:r w:rsidR="006F1070" w:rsidRPr="00BB1E65">
              <w:t>Veterans Benefits Administration (</w:t>
            </w:r>
            <w:r w:rsidRPr="00BB1E65">
              <w:t>VBA</w:t>
            </w:r>
            <w:r w:rsidR="006F1070" w:rsidRPr="00BB1E65">
              <w:t>)</w:t>
            </w:r>
            <w:r w:rsidRPr="00BB1E65">
              <w:t xml:space="preserve"> employee </w:t>
            </w:r>
            <w:r w:rsidR="00A76055" w:rsidRPr="00BB1E65">
              <w:t>whose</w:t>
            </w:r>
            <w:r w:rsidRPr="00BB1E65">
              <w:t xml:space="preserve"> claim is under permanent jurisdiction of the Restricted Access Claim Center.</w:t>
            </w:r>
          </w:p>
          <w:p w14:paraId="657DCDA1" w14:textId="77777777" w:rsidR="00AB3396" w:rsidRPr="00BB1E65" w:rsidRDefault="00AB3396" w:rsidP="00AB3396">
            <w:pPr>
              <w:ind w:left="-29"/>
              <w:rPr>
                <w:sz w:val="22"/>
              </w:rPr>
            </w:pPr>
          </w:p>
          <w:p w14:paraId="066419A6" w14:textId="5D08C917" w:rsidR="00AB3396" w:rsidRPr="00BB1E65" w:rsidRDefault="00AB3396" w:rsidP="00AB3396">
            <w:pPr>
              <w:ind w:left="-29"/>
            </w:pPr>
            <w:r w:rsidRPr="00BB1E65">
              <w:rPr>
                <w:b/>
                <w:i/>
              </w:rPr>
              <w:t>Important</w:t>
            </w:r>
            <w:r w:rsidRPr="00BB1E65">
              <w:t xml:space="preserve">:  Annotate in the </w:t>
            </w:r>
            <w:r w:rsidR="007F4C69" w:rsidRPr="00BB1E65">
              <w:t>Compensation and Pension Record Interchange (</w:t>
            </w:r>
            <w:r w:rsidRPr="00BB1E65">
              <w:t>CAPRI</w:t>
            </w:r>
            <w:r w:rsidR="007F4C69" w:rsidRPr="00BB1E65">
              <w:t>)</w:t>
            </w:r>
            <w:r w:rsidRPr="00BB1E65">
              <w:t xml:space="preserve"> remark</w:t>
            </w:r>
            <w:r w:rsidR="00A2410B" w:rsidRPr="00BB1E65">
              <w:t xml:space="preserve">s section when an examination cannot be performed by a contract examiner. </w:t>
            </w:r>
          </w:p>
          <w:p w14:paraId="1B4B8DE1" w14:textId="77777777" w:rsidR="00A2410B" w:rsidRPr="00BB1E65" w:rsidRDefault="00A2410B" w:rsidP="00AB3396">
            <w:pPr>
              <w:ind w:left="-29"/>
              <w:rPr>
                <w:sz w:val="22"/>
              </w:rPr>
            </w:pPr>
          </w:p>
          <w:p w14:paraId="7257FF31" w14:textId="44B48829" w:rsidR="00A2410B" w:rsidRPr="00BB1E65" w:rsidRDefault="00A2410B" w:rsidP="00FC60A8">
            <w:pPr>
              <w:ind w:left="-29"/>
            </w:pPr>
            <w:r w:rsidRPr="00BB1E65">
              <w:rPr>
                <w:b/>
                <w:i/>
              </w:rPr>
              <w:t>Example of required annotation</w:t>
            </w:r>
            <w:r w:rsidRPr="00BB1E65">
              <w:t xml:space="preserve">:  “Veteran is </w:t>
            </w:r>
            <w:r w:rsidR="00FC60A8" w:rsidRPr="00BB1E65">
              <w:t>claiming undiagnosed illness</w:t>
            </w:r>
            <w:r w:rsidRPr="00BB1E65">
              <w:t xml:space="preserve"> – cannot submit to VBA contract exam provider.”</w:t>
            </w:r>
          </w:p>
        </w:tc>
      </w:tr>
    </w:tbl>
    <w:p w14:paraId="07C46C53" w14:textId="612B011D" w:rsidR="006F17C1" w:rsidRPr="00BB1E65" w:rsidRDefault="006F17C1" w:rsidP="006F17C1">
      <w:pPr>
        <w:tabs>
          <w:tab w:val="left" w:pos="9360"/>
        </w:tabs>
        <w:ind w:left="1714"/>
      </w:pPr>
      <w:r w:rsidRPr="00BB1E65">
        <w:rPr>
          <w:u w:val="single"/>
        </w:rPr>
        <w:tab/>
      </w:r>
    </w:p>
    <w:p w14:paraId="49D69C56" w14:textId="4938712C" w:rsidR="006F17C1" w:rsidRPr="00BB1E65" w:rsidRDefault="006F17C1" w:rsidP="006F17C1">
      <w:pPr>
        <w:ind w:left="1714"/>
        <w:rPr>
          <w:sz w:val="6"/>
        </w:rPr>
      </w:pPr>
    </w:p>
    <w:p w14:paraId="6A8AA79C" w14:textId="751A2646" w:rsidR="002135EC" w:rsidRPr="00BB1E65" w:rsidRDefault="002135EC" w:rsidP="00E218F8">
      <w:pPr>
        <w:pStyle w:val="Heading4"/>
        <w:spacing w:after="0"/>
      </w:pPr>
      <w:bookmarkStart w:id="2" w:name="_2._Examination_Request"/>
      <w:bookmarkEnd w:id="2"/>
      <w:r w:rsidRPr="00BB1E65">
        <w:t xml:space="preserve">2. </w:t>
      </w:r>
      <w:r w:rsidR="00F55485" w:rsidRPr="00BB1E65">
        <w:t xml:space="preserve"> </w:t>
      </w:r>
      <w:r w:rsidRPr="00BB1E65">
        <w:t>Examination Request Tools</w:t>
      </w:r>
    </w:p>
    <w:p w14:paraId="3CD3192A" w14:textId="0733023D" w:rsidR="002135EC" w:rsidRPr="00BB1E65" w:rsidRDefault="002135EC" w:rsidP="002135EC">
      <w:pPr>
        <w:tabs>
          <w:tab w:val="left" w:pos="9360"/>
        </w:tabs>
        <w:ind w:left="1714"/>
      </w:pPr>
      <w:r w:rsidRPr="00BB1E65">
        <w:rPr>
          <w:u w:val="single"/>
        </w:rPr>
        <w:tab/>
      </w:r>
    </w:p>
    <w:p w14:paraId="2429A7DD" w14:textId="594E14D5" w:rsidR="002135EC" w:rsidRPr="00BB1E65" w:rsidRDefault="002135EC" w:rsidP="002135EC"/>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2135EC" w:rsidRPr="00BB1E65" w14:paraId="4B47A77E" w14:textId="77777777" w:rsidTr="00E218F8">
        <w:tc>
          <w:tcPr>
            <w:tcW w:w="1710" w:type="dxa"/>
            <w:shd w:val="clear" w:color="auto" w:fill="auto"/>
          </w:tcPr>
          <w:p w14:paraId="03D1ABA0" w14:textId="16F171B4" w:rsidR="002135EC" w:rsidRPr="00BB1E65" w:rsidRDefault="002135EC" w:rsidP="00E218F8">
            <w:pPr>
              <w:pStyle w:val="Heading5"/>
              <w:rPr>
                <w:rStyle w:val="BookTitle"/>
                <w:b/>
                <w:smallCaps w:val="0"/>
                <w:spacing w:val="0"/>
              </w:rPr>
            </w:pPr>
            <w:r w:rsidRPr="00BB1E65">
              <w:rPr>
                <w:rStyle w:val="BookTitle"/>
                <w:b/>
                <w:smallCaps w:val="0"/>
                <w:spacing w:val="0"/>
              </w:rPr>
              <w:t>Introduction</w:t>
            </w:r>
          </w:p>
        </w:tc>
        <w:tc>
          <w:tcPr>
            <w:tcW w:w="7740" w:type="dxa"/>
            <w:shd w:val="clear" w:color="auto" w:fill="auto"/>
          </w:tcPr>
          <w:p w14:paraId="3BF4DD24" w14:textId="4A2D466F" w:rsidR="002135EC" w:rsidRPr="00BB1E65" w:rsidRDefault="002135EC" w:rsidP="002135EC">
            <w:r w:rsidRPr="00BB1E65">
              <w:t>This topic contains information about</w:t>
            </w:r>
            <w:r w:rsidR="00B620D3" w:rsidRPr="00BB1E65">
              <w:t xml:space="preserve"> tools used for requesting exams</w:t>
            </w:r>
            <w:r w:rsidR="007D71C0" w:rsidRPr="00BB1E65">
              <w:t>, including</w:t>
            </w:r>
          </w:p>
          <w:p w14:paraId="3BD48200" w14:textId="77777777" w:rsidR="002135EC" w:rsidRPr="00BB1E65" w:rsidRDefault="002135EC" w:rsidP="002135EC"/>
          <w:p w14:paraId="4CB66C35" w14:textId="21700548" w:rsidR="0062777D" w:rsidRPr="00BB1E65" w:rsidRDefault="0062777D" w:rsidP="00171AC4">
            <w:pPr>
              <w:pStyle w:val="ListParagraph"/>
              <w:numPr>
                <w:ilvl w:val="0"/>
                <w:numId w:val="13"/>
              </w:numPr>
              <w:ind w:left="158" w:hanging="187"/>
            </w:pPr>
            <w:r w:rsidRPr="00BB1E65">
              <w:t>tools used for requesting examinations</w:t>
            </w:r>
          </w:p>
          <w:p w14:paraId="628BFE42" w14:textId="3A60572B" w:rsidR="002135EC" w:rsidRPr="00BB1E65" w:rsidRDefault="0062777D" w:rsidP="00171AC4">
            <w:pPr>
              <w:pStyle w:val="ListParagraph"/>
              <w:numPr>
                <w:ilvl w:val="0"/>
                <w:numId w:val="13"/>
              </w:numPr>
              <w:ind w:left="158" w:hanging="187"/>
            </w:pPr>
            <w:r w:rsidRPr="00BB1E65">
              <w:t xml:space="preserve">exam request routing assistant </w:t>
            </w:r>
            <w:r w:rsidR="00F22AF6" w:rsidRPr="00BB1E65">
              <w:t>(</w:t>
            </w:r>
            <w:r w:rsidR="002135EC" w:rsidRPr="00BB1E65">
              <w:t>ERRA</w:t>
            </w:r>
            <w:r w:rsidR="00F22AF6" w:rsidRPr="00BB1E65">
              <w:t>)</w:t>
            </w:r>
            <w:r w:rsidRPr="00BB1E65">
              <w:t xml:space="preserve"> tool</w:t>
            </w:r>
          </w:p>
          <w:p w14:paraId="38A73963" w14:textId="131D3DC6" w:rsidR="0062777D" w:rsidRPr="00BB1E65" w:rsidRDefault="0062777D" w:rsidP="00171AC4">
            <w:pPr>
              <w:pStyle w:val="ListParagraph"/>
              <w:numPr>
                <w:ilvl w:val="0"/>
                <w:numId w:val="13"/>
              </w:numPr>
              <w:ind w:left="158" w:hanging="187"/>
            </w:pPr>
            <w:r w:rsidRPr="00BB1E65">
              <w:t xml:space="preserve">index of DBQ/exams by disability tool </w:t>
            </w:r>
          </w:p>
          <w:p w14:paraId="269D32C1" w14:textId="2F30A0C6" w:rsidR="002135EC" w:rsidRPr="00BB1E65" w:rsidRDefault="0062777D" w:rsidP="00171AC4">
            <w:pPr>
              <w:pStyle w:val="ListParagraph"/>
              <w:numPr>
                <w:ilvl w:val="0"/>
                <w:numId w:val="13"/>
              </w:numPr>
              <w:ind w:left="158" w:hanging="187"/>
            </w:pPr>
            <w:r w:rsidRPr="00BB1E65">
              <w:t xml:space="preserve">examination request builder </w:t>
            </w:r>
            <w:r w:rsidR="002135EC" w:rsidRPr="00BB1E65">
              <w:t>(ERB)</w:t>
            </w:r>
            <w:r w:rsidR="0028569F" w:rsidRPr="00BB1E65">
              <w:t xml:space="preserve"> tool</w:t>
            </w:r>
          </w:p>
          <w:p w14:paraId="788AF12B" w14:textId="06209711" w:rsidR="0028569F" w:rsidRPr="00BB1E65" w:rsidRDefault="0028569F" w:rsidP="00171AC4">
            <w:pPr>
              <w:pStyle w:val="ListParagraph"/>
              <w:numPr>
                <w:ilvl w:val="0"/>
                <w:numId w:val="16"/>
              </w:numPr>
              <w:ind w:left="158" w:hanging="187"/>
            </w:pPr>
            <w:r w:rsidRPr="00BB1E65">
              <w:t xml:space="preserve">requesting examinations in </w:t>
            </w:r>
          </w:p>
          <w:p w14:paraId="42411665" w14:textId="7BAC9CB1" w:rsidR="00F233D7" w:rsidRPr="00BB1E65" w:rsidRDefault="00F233D7" w:rsidP="00661A60">
            <w:pPr>
              <w:pStyle w:val="ListParagraph"/>
              <w:numPr>
                <w:ilvl w:val="0"/>
                <w:numId w:val="34"/>
              </w:numPr>
              <w:ind w:left="346" w:hanging="187"/>
            </w:pPr>
            <w:r w:rsidRPr="00BB1E65">
              <w:t>CAPRI</w:t>
            </w:r>
            <w:r w:rsidR="00AF6AA4" w:rsidRPr="00BB1E65">
              <w:t>, and</w:t>
            </w:r>
          </w:p>
          <w:p w14:paraId="1DB1DBBD" w14:textId="71EBFB8B" w:rsidR="00F233D7" w:rsidRPr="00BB1E65" w:rsidRDefault="00F233D7" w:rsidP="00661A60">
            <w:pPr>
              <w:pStyle w:val="ListParagraph"/>
              <w:numPr>
                <w:ilvl w:val="0"/>
                <w:numId w:val="35"/>
              </w:numPr>
              <w:ind w:left="346" w:hanging="187"/>
            </w:pPr>
            <w:r w:rsidRPr="00BB1E65">
              <w:t>Centralized Administrative Accounting Transaction System (CAATS)</w:t>
            </w:r>
            <w:r w:rsidR="00AF6AA4" w:rsidRPr="00BB1E65">
              <w:t>.</w:t>
            </w:r>
          </w:p>
        </w:tc>
      </w:tr>
    </w:tbl>
    <w:p w14:paraId="0921307E" w14:textId="7EBDC0FB" w:rsidR="002135EC" w:rsidRPr="00BB1E65" w:rsidRDefault="008621E8" w:rsidP="008621E8">
      <w:pPr>
        <w:tabs>
          <w:tab w:val="left" w:pos="9360"/>
        </w:tabs>
        <w:ind w:left="1714"/>
      </w:pPr>
      <w:r w:rsidRPr="00BB1E65">
        <w:rPr>
          <w:u w:val="single"/>
        </w:rPr>
        <w:tab/>
      </w:r>
    </w:p>
    <w:p w14:paraId="2B2612FA" w14:textId="77777777" w:rsidR="008621E8" w:rsidRPr="00BB1E65" w:rsidRDefault="008621E8" w:rsidP="00E218F8"/>
    <w:tbl>
      <w:tblPr>
        <w:tblW w:w="0" w:type="auto"/>
        <w:tblInd w:w="-106" w:type="dxa"/>
        <w:tblLayout w:type="fixed"/>
        <w:tblLook w:val="0000" w:firstRow="0" w:lastRow="0" w:firstColumn="0" w:lastColumn="0" w:noHBand="0" w:noVBand="0"/>
      </w:tblPr>
      <w:tblGrid>
        <w:gridCol w:w="1728"/>
        <w:gridCol w:w="7740"/>
      </w:tblGrid>
      <w:tr w:rsidR="008621E8" w:rsidRPr="00BB1E65" w14:paraId="30A949BA" w14:textId="77777777" w:rsidTr="00DF1F30">
        <w:trPr>
          <w:cantSplit/>
        </w:trPr>
        <w:tc>
          <w:tcPr>
            <w:tcW w:w="1728" w:type="dxa"/>
            <w:tcBorders>
              <w:top w:val="nil"/>
              <w:left w:val="nil"/>
              <w:bottom w:val="nil"/>
              <w:right w:val="nil"/>
            </w:tcBorders>
          </w:tcPr>
          <w:p w14:paraId="542006FD" w14:textId="77777777" w:rsidR="008621E8" w:rsidRPr="00BB1E65" w:rsidRDefault="008621E8" w:rsidP="00DF1F30">
            <w:pPr>
              <w:pStyle w:val="Heading5"/>
            </w:pPr>
            <w:r w:rsidRPr="00BB1E65">
              <w:t>Change Date</w:t>
            </w:r>
          </w:p>
        </w:tc>
        <w:tc>
          <w:tcPr>
            <w:tcW w:w="7740" w:type="dxa"/>
            <w:tcBorders>
              <w:top w:val="nil"/>
              <w:left w:val="nil"/>
              <w:bottom w:val="nil"/>
              <w:right w:val="nil"/>
            </w:tcBorders>
          </w:tcPr>
          <w:p w14:paraId="6BB8EEAD" w14:textId="035CB648" w:rsidR="008621E8" w:rsidRPr="00BB1E65" w:rsidRDefault="007155FE" w:rsidP="00DF1F30">
            <w:pPr>
              <w:pStyle w:val="BlockText"/>
            </w:pPr>
            <w:r w:rsidRPr="00BB1E65">
              <w:t>October 9, 2015</w:t>
            </w:r>
          </w:p>
        </w:tc>
      </w:tr>
    </w:tbl>
    <w:p w14:paraId="04DE02DA" w14:textId="13364004" w:rsidR="008621E8" w:rsidRPr="00BB1E65" w:rsidRDefault="003814ED" w:rsidP="003814ED">
      <w:pPr>
        <w:tabs>
          <w:tab w:val="left" w:pos="9360"/>
        </w:tabs>
        <w:ind w:left="1714"/>
      </w:pPr>
      <w:r w:rsidRPr="00BB1E65">
        <w:rPr>
          <w:u w:val="single"/>
        </w:rPr>
        <w:tab/>
      </w:r>
    </w:p>
    <w:p w14:paraId="6F18BA07" w14:textId="0F54AAFE" w:rsidR="008D5A3C" w:rsidRPr="00BB1E65" w:rsidRDefault="008D5A3C" w:rsidP="003814ED"/>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830"/>
      </w:tblGrid>
      <w:tr w:rsidR="008D5A3C" w:rsidRPr="00BB1E65" w14:paraId="3DBA009F" w14:textId="77777777" w:rsidTr="00A73A29">
        <w:tc>
          <w:tcPr>
            <w:tcW w:w="1710" w:type="dxa"/>
            <w:shd w:val="clear" w:color="auto" w:fill="auto"/>
          </w:tcPr>
          <w:p w14:paraId="37B88D09" w14:textId="74B26820" w:rsidR="008D5A3C" w:rsidRPr="00BB1E65" w:rsidRDefault="007C0328" w:rsidP="00CF30FA">
            <w:pPr>
              <w:pStyle w:val="Heading5"/>
            </w:pPr>
            <w:r w:rsidRPr="00BB1E65">
              <w:t xml:space="preserve">a.  </w:t>
            </w:r>
            <w:r w:rsidR="00F76FD7" w:rsidRPr="00BB1E65">
              <w:t>Tools Used for Requesting Examinations</w:t>
            </w:r>
          </w:p>
        </w:tc>
        <w:tc>
          <w:tcPr>
            <w:tcW w:w="7830" w:type="dxa"/>
            <w:shd w:val="clear" w:color="auto" w:fill="auto"/>
          </w:tcPr>
          <w:p w14:paraId="399C99C7" w14:textId="77777777" w:rsidR="00CF30FA" w:rsidRPr="00BB1E65" w:rsidRDefault="005D701F" w:rsidP="00CF30FA">
            <w:r w:rsidRPr="00BB1E65">
              <w:t>The examination request tools listed in this topic allow users to</w:t>
            </w:r>
          </w:p>
          <w:p w14:paraId="0B3770AE" w14:textId="77777777" w:rsidR="00D65FA5" w:rsidRPr="00BB1E65" w:rsidRDefault="00D65FA5" w:rsidP="00CF30FA"/>
          <w:p w14:paraId="68EA702A" w14:textId="77777777" w:rsidR="005D701F" w:rsidRPr="00BB1E65" w:rsidRDefault="00D65FA5" w:rsidP="00661A60">
            <w:pPr>
              <w:pStyle w:val="ListParagraph"/>
              <w:numPr>
                <w:ilvl w:val="0"/>
                <w:numId w:val="33"/>
              </w:numPr>
              <w:ind w:left="158" w:hanging="187"/>
            </w:pPr>
            <w:r w:rsidRPr="00BB1E65">
              <w:t>i</w:t>
            </w:r>
            <w:r w:rsidR="005D701F" w:rsidRPr="00BB1E65">
              <w:t xml:space="preserve">dentify the </w:t>
            </w:r>
            <w:r w:rsidRPr="00BB1E65">
              <w:t>examining</w:t>
            </w:r>
            <w:r w:rsidR="005D701F" w:rsidRPr="00BB1E65">
              <w:t xml:space="preserve"> facility</w:t>
            </w:r>
            <w:r w:rsidRPr="00BB1E65">
              <w:t xml:space="preserve"> location closest to the Veteran</w:t>
            </w:r>
          </w:p>
          <w:p w14:paraId="52EDB093" w14:textId="77777777" w:rsidR="00D65FA5" w:rsidRPr="00BB1E65" w:rsidRDefault="00D65FA5" w:rsidP="00661A60">
            <w:pPr>
              <w:pStyle w:val="ListParagraph"/>
              <w:numPr>
                <w:ilvl w:val="0"/>
                <w:numId w:val="33"/>
              </w:numPr>
              <w:ind w:left="158" w:hanging="187"/>
            </w:pPr>
            <w:r w:rsidRPr="00BB1E65">
              <w:t>identify the DBQs for the claimed disabilities</w:t>
            </w:r>
          </w:p>
          <w:p w14:paraId="0AD6D349" w14:textId="55787588" w:rsidR="00D65FA5" w:rsidRPr="00BB1E65" w:rsidRDefault="00D65FA5" w:rsidP="00661A60">
            <w:pPr>
              <w:pStyle w:val="ListParagraph"/>
              <w:numPr>
                <w:ilvl w:val="0"/>
                <w:numId w:val="33"/>
              </w:numPr>
              <w:ind w:left="158" w:hanging="187"/>
            </w:pPr>
            <w:r w:rsidRPr="00BB1E65">
              <w:t>build the examination request, and</w:t>
            </w:r>
          </w:p>
          <w:p w14:paraId="3E076BA9" w14:textId="008A5200" w:rsidR="00D65FA5" w:rsidRPr="00BB1E65" w:rsidRDefault="00D65FA5" w:rsidP="00661A60">
            <w:pPr>
              <w:pStyle w:val="ListParagraph"/>
              <w:numPr>
                <w:ilvl w:val="0"/>
                <w:numId w:val="33"/>
              </w:numPr>
              <w:ind w:left="158" w:hanging="187"/>
            </w:pPr>
            <w:r w:rsidRPr="00BB1E65">
              <w:t>enter the examination request to the VA or VA contract examination facility.</w:t>
            </w:r>
          </w:p>
        </w:tc>
      </w:tr>
    </w:tbl>
    <w:p w14:paraId="46719B03" w14:textId="6E745914" w:rsidR="008D5A3C" w:rsidRPr="00BB1E65" w:rsidRDefault="008D5A3C" w:rsidP="008D5A3C">
      <w:pPr>
        <w:tabs>
          <w:tab w:val="left" w:pos="9360"/>
        </w:tabs>
        <w:ind w:left="1714"/>
      </w:pPr>
      <w:r w:rsidRPr="00BB1E65">
        <w:rPr>
          <w:u w:val="single"/>
        </w:rPr>
        <w:tab/>
      </w:r>
    </w:p>
    <w:p w14:paraId="77EA35A4" w14:textId="77777777" w:rsidR="008D5A3C" w:rsidRPr="00BB1E65" w:rsidRDefault="008D5A3C" w:rsidP="003814ED"/>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3814ED" w:rsidRPr="00BB1E65" w14:paraId="3F728551" w14:textId="77777777" w:rsidTr="007D760D">
        <w:tc>
          <w:tcPr>
            <w:tcW w:w="1710" w:type="dxa"/>
            <w:shd w:val="clear" w:color="auto" w:fill="auto"/>
          </w:tcPr>
          <w:p w14:paraId="6EBAB3E2" w14:textId="45F3E2BF" w:rsidR="003814ED" w:rsidRPr="00BB1E65" w:rsidRDefault="007C0328" w:rsidP="00E218F8">
            <w:pPr>
              <w:pStyle w:val="Heading5"/>
            </w:pPr>
            <w:r w:rsidRPr="00BB1E65">
              <w:t>b</w:t>
            </w:r>
            <w:r w:rsidR="00E5121D" w:rsidRPr="00BB1E65">
              <w:t xml:space="preserve">. </w:t>
            </w:r>
            <w:r w:rsidR="00AE782F" w:rsidRPr="00BB1E65">
              <w:t xml:space="preserve"> </w:t>
            </w:r>
            <w:r w:rsidR="00F22AF6" w:rsidRPr="00BB1E65">
              <w:t>ERRA Tool</w:t>
            </w:r>
          </w:p>
        </w:tc>
        <w:tc>
          <w:tcPr>
            <w:tcW w:w="7740" w:type="dxa"/>
            <w:shd w:val="clear" w:color="auto" w:fill="auto"/>
          </w:tcPr>
          <w:p w14:paraId="11E98167" w14:textId="77777777" w:rsidR="00F22AF6" w:rsidRPr="00BB1E65" w:rsidRDefault="00F22AF6" w:rsidP="00F22AF6">
            <w:pPr>
              <w:ind w:left="-18" w:hanging="18"/>
            </w:pPr>
            <w:r w:rsidRPr="00BB1E65">
              <w:t xml:space="preserve">Examination facilities designated to conduct exams are found in </w:t>
            </w:r>
          </w:p>
          <w:p w14:paraId="4615F5DA" w14:textId="38E4DC22" w:rsidR="00F22AF6" w:rsidRPr="00BB1E65" w:rsidRDefault="00F22AF6" w:rsidP="00F22AF6">
            <w:pPr>
              <w:tabs>
                <w:tab w:val="num" w:pos="360"/>
              </w:tabs>
              <w:ind w:left="-18" w:hanging="18"/>
            </w:pPr>
            <w:r w:rsidRPr="00BB1E65">
              <w:t xml:space="preserve">the </w:t>
            </w:r>
            <w:hyperlink r:id="rId16" w:history="1">
              <w:r w:rsidRPr="00BB1E65">
                <w:rPr>
                  <w:color w:val="0000FF"/>
                  <w:u w:val="single"/>
                </w:rPr>
                <w:t>Compensation and Pension Examination Request Routing Assistant (ERRA) web tool</w:t>
              </w:r>
            </w:hyperlink>
            <w:r w:rsidRPr="00BB1E65">
              <w:t xml:space="preserve">, integrated with the </w:t>
            </w:r>
            <w:hyperlink r:id="rId17" w:history="1">
              <w:r w:rsidRPr="00BB1E65">
                <w:rPr>
                  <w:color w:val="0000FF"/>
                  <w:u w:val="single"/>
                </w:rPr>
                <w:t>Contract Exam Scheduling Assistant</w:t>
              </w:r>
            </w:hyperlink>
            <w:r w:rsidRPr="00BB1E65">
              <w:t xml:space="preserve">.  </w:t>
            </w:r>
          </w:p>
          <w:p w14:paraId="53859731" w14:textId="77777777" w:rsidR="00F22AF6" w:rsidRPr="00BB1E65" w:rsidRDefault="00F22AF6" w:rsidP="00F22AF6">
            <w:pPr>
              <w:tabs>
                <w:tab w:val="num" w:pos="360"/>
              </w:tabs>
              <w:ind w:left="-18" w:hanging="18"/>
            </w:pPr>
          </w:p>
          <w:p w14:paraId="6ED6FBBF" w14:textId="77777777" w:rsidR="00CC09F6" w:rsidRPr="00BB1E65" w:rsidRDefault="00CC09F6" w:rsidP="00CC09F6">
            <w:r w:rsidRPr="00BB1E65">
              <w:t>The ERRA search results include information found for the</w:t>
            </w:r>
          </w:p>
          <w:p w14:paraId="4884C66C" w14:textId="77777777" w:rsidR="00CC09F6" w:rsidRPr="00BB1E65" w:rsidRDefault="00CC09F6" w:rsidP="00CC09F6"/>
          <w:p w14:paraId="28BCF6A0" w14:textId="77777777" w:rsidR="00CC09F6" w:rsidRPr="00BB1E65" w:rsidRDefault="00CC09F6" w:rsidP="00171AC4">
            <w:pPr>
              <w:numPr>
                <w:ilvl w:val="0"/>
                <w:numId w:val="8"/>
              </w:numPr>
              <w:ind w:left="158" w:hanging="187"/>
            </w:pPr>
            <w:r w:rsidRPr="00BB1E65">
              <w:t>facility routing location</w:t>
            </w:r>
          </w:p>
          <w:p w14:paraId="744E2659" w14:textId="77777777" w:rsidR="00CC09F6" w:rsidRPr="00BB1E65" w:rsidRDefault="00CC09F6" w:rsidP="00171AC4">
            <w:pPr>
              <w:numPr>
                <w:ilvl w:val="0"/>
                <w:numId w:val="8"/>
              </w:numPr>
              <w:ind w:left="158" w:hanging="187"/>
            </w:pPr>
            <w:r w:rsidRPr="00BB1E65">
              <w:t>the routing location and exam list comments</w:t>
            </w:r>
          </w:p>
          <w:p w14:paraId="75221672" w14:textId="77777777" w:rsidR="00CC09F6" w:rsidRPr="00BB1E65" w:rsidRDefault="00CC09F6" w:rsidP="00171AC4">
            <w:pPr>
              <w:numPr>
                <w:ilvl w:val="0"/>
                <w:numId w:val="8"/>
              </w:numPr>
              <w:ind w:left="158" w:hanging="187"/>
            </w:pPr>
            <w:r w:rsidRPr="00BB1E65">
              <w:t xml:space="preserve">exam type details, and </w:t>
            </w:r>
          </w:p>
          <w:p w14:paraId="37C405D5" w14:textId="77777777" w:rsidR="00CC09F6" w:rsidRPr="00BB1E65" w:rsidRDefault="00CC09F6" w:rsidP="00171AC4">
            <w:pPr>
              <w:numPr>
                <w:ilvl w:val="0"/>
                <w:numId w:val="8"/>
              </w:numPr>
              <w:ind w:left="158" w:hanging="187"/>
            </w:pPr>
            <w:r w:rsidRPr="00BB1E65">
              <w:t>approximate distance (from the zip code inquiry).</w:t>
            </w:r>
          </w:p>
          <w:p w14:paraId="76207DF0" w14:textId="77777777" w:rsidR="00CC09F6" w:rsidRPr="00BB1E65" w:rsidRDefault="00CC09F6" w:rsidP="00CC09F6">
            <w:pPr>
              <w:ind w:left="-29"/>
            </w:pPr>
          </w:p>
          <w:p w14:paraId="42B3BD19" w14:textId="28043ECB" w:rsidR="00CC09F6" w:rsidRPr="00BB1E65" w:rsidRDefault="00CC09F6" w:rsidP="00F22AF6">
            <w:pPr>
              <w:tabs>
                <w:tab w:val="num" w:pos="360"/>
              </w:tabs>
              <w:ind w:left="-18" w:hanging="18"/>
            </w:pPr>
            <w:r w:rsidRPr="00BB1E65">
              <w:rPr>
                <w:b/>
                <w:i/>
              </w:rPr>
              <w:t>Important</w:t>
            </w:r>
            <w:r w:rsidRPr="00BB1E65">
              <w:t xml:space="preserve">:  </w:t>
            </w:r>
            <w:r w:rsidR="00D83BC8" w:rsidRPr="00BB1E65">
              <w:t xml:space="preserve">This tool is designed as a guide to assist in the routing of C&amp;P examination requests.  VA usage of this tool is mandatory.  </w:t>
            </w:r>
            <w:r w:rsidRPr="00BB1E65">
              <w:t>When routing an examination request,</w:t>
            </w:r>
            <w:r w:rsidR="00F22AF6" w:rsidRPr="00BB1E65">
              <w:t xml:space="preserve"> take into account any </w:t>
            </w:r>
          </w:p>
          <w:p w14:paraId="23CD1064" w14:textId="1A44FA3C" w:rsidR="00CC09F6" w:rsidRPr="00BB1E65" w:rsidRDefault="00F22AF6" w:rsidP="00661A60">
            <w:pPr>
              <w:pStyle w:val="ListParagraph"/>
              <w:numPr>
                <w:ilvl w:val="0"/>
                <w:numId w:val="70"/>
              </w:numPr>
              <w:ind w:left="158" w:hanging="187"/>
            </w:pPr>
            <w:r w:rsidRPr="00BB1E65">
              <w:t>local agreements</w:t>
            </w:r>
          </w:p>
          <w:p w14:paraId="09DD4878" w14:textId="77777777" w:rsidR="00CC09F6" w:rsidRPr="00BB1E65" w:rsidRDefault="00F22AF6" w:rsidP="00661A60">
            <w:pPr>
              <w:pStyle w:val="ListParagraph"/>
              <w:numPr>
                <w:ilvl w:val="0"/>
                <w:numId w:val="71"/>
              </w:numPr>
              <w:ind w:left="158" w:hanging="187"/>
            </w:pPr>
            <w:r w:rsidRPr="00BB1E65">
              <w:t xml:space="preserve">claimant preferences, </w:t>
            </w:r>
            <w:r w:rsidR="00CC09F6" w:rsidRPr="00BB1E65">
              <w:t xml:space="preserve">or </w:t>
            </w:r>
          </w:p>
          <w:p w14:paraId="47061B53" w14:textId="00B385E2" w:rsidR="00F22AF6" w:rsidRPr="00BB1E65" w:rsidRDefault="00F22AF6" w:rsidP="00661A60">
            <w:pPr>
              <w:pStyle w:val="ListParagraph"/>
              <w:numPr>
                <w:ilvl w:val="0"/>
                <w:numId w:val="71"/>
              </w:numPr>
              <w:ind w:left="158" w:hanging="187"/>
            </w:pPr>
            <w:r w:rsidRPr="00BB1E65">
              <w:t>topography/driving concerns.</w:t>
            </w:r>
          </w:p>
          <w:p w14:paraId="505327E7" w14:textId="77777777" w:rsidR="00F22AF6" w:rsidRPr="00BB1E65" w:rsidRDefault="00F22AF6" w:rsidP="00F22AF6"/>
          <w:p w14:paraId="7FAFA1C2" w14:textId="6AF945E8" w:rsidR="00927A9D" w:rsidRPr="00BB1E65" w:rsidRDefault="00CC09F6" w:rsidP="00F22AF6">
            <w:r w:rsidRPr="00BB1E65">
              <w:rPr>
                <w:b/>
                <w:i/>
              </w:rPr>
              <w:t>Note</w:t>
            </w:r>
            <w:r w:rsidRPr="00BB1E65">
              <w:t xml:space="preserve">:  </w:t>
            </w:r>
            <w:r w:rsidR="00F22AF6" w:rsidRPr="00BB1E65">
              <w:t>The ERRA tool identifies if there is a local contract examination facility available.</w:t>
            </w:r>
          </w:p>
          <w:p w14:paraId="5E3F507E" w14:textId="77777777" w:rsidR="00D84D48" w:rsidRPr="00BB1E65" w:rsidRDefault="00D84D48" w:rsidP="00F22AF6">
            <w:pPr>
              <w:rPr>
                <w:b/>
              </w:rPr>
            </w:pPr>
          </w:p>
          <w:p w14:paraId="1BA707F2" w14:textId="3C870720" w:rsidR="00F22AF6" w:rsidRPr="00BB1E65" w:rsidRDefault="00927A9D" w:rsidP="00F22AF6">
            <w:r w:rsidRPr="00BB1E65">
              <w:rPr>
                <w:b/>
                <w:i/>
              </w:rPr>
              <w:t>E</w:t>
            </w:r>
            <w:r w:rsidR="00F22AF6" w:rsidRPr="00BB1E65">
              <w:rPr>
                <w:b/>
                <w:i/>
              </w:rPr>
              <w:t>xample</w:t>
            </w:r>
            <w:r w:rsidRPr="00BB1E65">
              <w:t>:</w:t>
            </w:r>
            <w:r w:rsidR="00F22AF6" w:rsidRPr="00BB1E65">
              <w:t xml:space="preserve"> </w:t>
            </w:r>
            <w:r w:rsidR="00D84D48" w:rsidRPr="00BB1E65">
              <w:t xml:space="preserve"> A</w:t>
            </w:r>
            <w:r w:rsidR="00F22AF6" w:rsidRPr="00BB1E65">
              <w:t xml:space="preserve"> search for zip code 78550 produces the following statement: </w:t>
            </w:r>
            <w:r w:rsidR="00F22AF6" w:rsidRPr="00BB1E65">
              <w:rPr>
                <w:i/>
              </w:rPr>
              <w:lastRenderedPageBreak/>
              <w:t xml:space="preserve">According to the </w:t>
            </w:r>
            <w:hyperlink r:id="rId18" w:history="1">
              <w:r w:rsidR="00F22AF6" w:rsidRPr="00BB1E65">
                <w:rPr>
                  <w:i/>
                  <w:color w:val="0000FF"/>
                  <w:u w:val="single"/>
                </w:rPr>
                <w:t>Contract Exam Scheduling Assistant</w:t>
              </w:r>
            </w:hyperlink>
            <w:r w:rsidR="00F22AF6" w:rsidRPr="00BB1E65">
              <w:rPr>
                <w:i/>
              </w:rPr>
              <w:t>, ZIP code 78550 is associated with QTC.</w:t>
            </w:r>
          </w:p>
          <w:p w14:paraId="1990D9EE" w14:textId="77777777" w:rsidR="003814ED" w:rsidRPr="00BB1E65" w:rsidRDefault="003814ED" w:rsidP="003814ED"/>
          <w:p w14:paraId="0B93C829" w14:textId="2B48AB3D" w:rsidR="00F22AF6" w:rsidRPr="00BB1E65" w:rsidRDefault="00F22AF6" w:rsidP="00D83BC8">
            <w:r w:rsidRPr="00BB1E65">
              <w:rPr>
                <w:b/>
                <w:i/>
              </w:rPr>
              <w:t>Reference</w:t>
            </w:r>
            <w:r w:rsidRPr="00BB1E65">
              <w:t>:</w:t>
            </w:r>
            <w:r w:rsidR="00755263" w:rsidRPr="00BB1E65">
              <w:t xml:space="preserve"> </w:t>
            </w:r>
            <w:r w:rsidR="00D84D48" w:rsidRPr="00BB1E65">
              <w:t xml:space="preserve"> </w:t>
            </w:r>
            <w:r w:rsidR="006E7A17" w:rsidRPr="00BB1E65">
              <w:t>F</w:t>
            </w:r>
            <w:r w:rsidR="00755263" w:rsidRPr="00BB1E65">
              <w:t xml:space="preserve">or more information on the ERRA tool, see </w:t>
            </w:r>
            <w:hyperlink r:id="rId19" w:history="1">
              <w:r w:rsidRPr="00BB1E65">
                <w:rPr>
                  <w:rStyle w:val="Hyperlink"/>
                </w:rPr>
                <w:t>ERRA Quick Search Internet Explorer Accelerator Guide</w:t>
              </w:r>
            </w:hyperlink>
            <w:r w:rsidR="008E6257" w:rsidRPr="00BB1E65">
              <w:rPr>
                <w:rStyle w:val="Hyperlink"/>
              </w:rPr>
              <w:t>.</w:t>
            </w:r>
          </w:p>
        </w:tc>
      </w:tr>
    </w:tbl>
    <w:p w14:paraId="53629DB3" w14:textId="0AEA9D41" w:rsidR="003814ED" w:rsidRPr="00BB1E65" w:rsidRDefault="00F22AF6" w:rsidP="00F22AF6">
      <w:pPr>
        <w:tabs>
          <w:tab w:val="left" w:pos="9360"/>
        </w:tabs>
        <w:ind w:left="1714"/>
      </w:pPr>
      <w:r w:rsidRPr="00BB1E65">
        <w:rPr>
          <w:u w:val="single"/>
        </w:rPr>
        <w:lastRenderedPageBreak/>
        <w:tab/>
      </w:r>
    </w:p>
    <w:p w14:paraId="06BE8DD0" w14:textId="38A9830F" w:rsidR="00F22AF6" w:rsidRPr="00BB1E65" w:rsidRDefault="00F22AF6" w:rsidP="00F22AF6"/>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F22AF6" w:rsidRPr="00BB1E65" w14:paraId="1D8C1AC8" w14:textId="77777777" w:rsidTr="00755263">
        <w:tc>
          <w:tcPr>
            <w:tcW w:w="1710" w:type="dxa"/>
            <w:shd w:val="clear" w:color="auto" w:fill="auto"/>
          </w:tcPr>
          <w:p w14:paraId="6C6B8771" w14:textId="1620D520" w:rsidR="00F22AF6" w:rsidRPr="00BB1E65" w:rsidRDefault="0028569F" w:rsidP="00F22AF6">
            <w:pPr>
              <w:rPr>
                <w:b/>
                <w:sz w:val="22"/>
              </w:rPr>
            </w:pPr>
            <w:r w:rsidRPr="00BB1E65">
              <w:rPr>
                <w:b/>
                <w:sz w:val="22"/>
              </w:rPr>
              <w:t>c</w:t>
            </w:r>
            <w:r w:rsidR="00E5121D" w:rsidRPr="00BB1E65">
              <w:rPr>
                <w:b/>
                <w:sz w:val="22"/>
              </w:rPr>
              <w:t xml:space="preserve">. </w:t>
            </w:r>
            <w:r w:rsidR="00AE782F" w:rsidRPr="00BB1E65">
              <w:rPr>
                <w:b/>
                <w:sz w:val="22"/>
              </w:rPr>
              <w:t xml:space="preserve"> </w:t>
            </w:r>
            <w:r w:rsidR="00F22AF6" w:rsidRPr="00BB1E65">
              <w:rPr>
                <w:b/>
                <w:sz w:val="22"/>
              </w:rPr>
              <w:t>Index of DBQ/Exams by Disability Tool</w:t>
            </w:r>
          </w:p>
        </w:tc>
        <w:tc>
          <w:tcPr>
            <w:tcW w:w="7740" w:type="dxa"/>
            <w:shd w:val="clear" w:color="auto" w:fill="auto"/>
          </w:tcPr>
          <w:p w14:paraId="7437D8FB" w14:textId="384E8BBC" w:rsidR="00F22AF6" w:rsidRPr="00BB1E65" w:rsidRDefault="00E5121D" w:rsidP="0028569F">
            <w:r w:rsidRPr="00BB1E65">
              <w:t xml:space="preserve">The </w:t>
            </w:r>
            <w:hyperlink r:id="rId20" w:history="1">
              <w:r w:rsidRPr="00BB1E65">
                <w:rPr>
                  <w:rStyle w:val="Hyperlink"/>
                </w:rPr>
                <w:t>Index of DBQ/Exams by Disability tool</w:t>
              </w:r>
            </w:hyperlink>
            <w:r w:rsidRPr="00BB1E65">
              <w:t xml:space="preserve"> allows </w:t>
            </w:r>
            <w:r w:rsidR="0028569F" w:rsidRPr="00BB1E65">
              <w:t xml:space="preserve">users to </w:t>
            </w:r>
            <w:r w:rsidR="00F22AF6" w:rsidRPr="00BB1E65">
              <w:t xml:space="preserve">search </w:t>
            </w:r>
            <w:r w:rsidR="0028569F" w:rsidRPr="00BB1E65">
              <w:t xml:space="preserve">by </w:t>
            </w:r>
            <w:r w:rsidR="00F22AF6" w:rsidRPr="00BB1E65">
              <w:t xml:space="preserve">a particular word, phrase, or </w:t>
            </w:r>
            <w:r w:rsidR="0028569F" w:rsidRPr="00BB1E65">
              <w:t xml:space="preserve">diagnostic code </w:t>
            </w:r>
            <w:r w:rsidR="00FB2849" w:rsidRPr="00BB1E65">
              <w:t>(</w:t>
            </w:r>
            <w:r w:rsidR="00F22AF6" w:rsidRPr="00BB1E65">
              <w:t>DC</w:t>
            </w:r>
            <w:r w:rsidR="00FB2849" w:rsidRPr="00BB1E65">
              <w:t>)</w:t>
            </w:r>
            <w:r w:rsidR="00F22AF6" w:rsidRPr="00BB1E65">
              <w:t xml:space="preserve">.  </w:t>
            </w:r>
            <w:r w:rsidR="00D7755F" w:rsidRPr="00BB1E65">
              <w:t>I</w:t>
            </w:r>
            <w:r w:rsidR="00F22AF6" w:rsidRPr="00BB1E65">
              <w:t xml:space="preserve">nput </w:t>
            </w:r>
            <w:r w:rsidR="006F4499" w:rsidRPr="00BB1E65">
              <w:t>information</w:t>
            </w:r>
            <w:r w:rsidR="00F22AF6" w:rsidRPr="00BB1E65">
              <w:t xml:space="preserve"> in the </w:t>
            </w:r>
            <w:r w:rsidR="00FB2849" w:rsidRPr="00BB1E65">
              <w:t>SEARCH CRITERIA</w:t>
            </w:r>
            <w:r w:rsidR="00F22AF6" w:rsidRPr="00BB1E65">
              <w:t xml:space="preserve"> text box</w:t>
            </w:r>
            <w:r w:rsidR="00D7755F" w:rsidRPr="00BB1E65">
              <w:t>,</w:t>
            </w:r>
            <w:r w:rsidR="006B3A4B" w:rsidRPr="00BB1E65">
              <w:t xml:space="preserve"> and the tool will generate suggested DBQs</w:t>
            </w:r>
            <w:r w:rsidR="00D7755F" w:rsidRPr="00BB1E65">
              <w:t>, DCs,</w:t>
            </w:r>
            <w:r w:rsidR="006B3A4B" w:rsidRPr="00BB1E65">
              <w:t xml:space="preserve"> and relevant legacy examination worksheets</w:t>
            </w:r>
            <w:r w:rsidR="00F22AF6" w:rsidRPr="00BB1E65">
              <w:t>.</w:t>
            </w:r>
          </w:p>
        </w:tc>
      </w:tr>
    </w:tbl>
    <w:p w14:paraId="2D1823EC" w14:textId="7C9CB08C" w:rsidR="002135EC" w:rsidRPr="00BB1E65" w:rsidRDefault="00E5121D" w:rsidP="00E5121D">
      <w:pPr>
        <w:tabs>
          <w:tab w:val="left" w:pos="9360"/>
        </w:tabs>
        <w:ind w:left="1714"/>
      </w:pPr>
      <w:r w:rsidRPr="00BB1E65">
        <w:rPr>
          <w:u w:val="single"/>
        </w:rPr>
        <w:tab/>
      </w:r>
    </w:p>
    <w:p w14:paraId="222DE60B" w14:textId="55DEFF26" w:rsidR="00E5121D" w:rsidRPr="00BB1E65" w:rsidRDefault="00E5121D" w:rsidP="00E5121D">
      <w:pPr>
        <w:ind w:left="1714"/>
      </w:pPr>
    </w:p>
    <w:tbl>
      <w:tblPr>
        <w:tblW w:w="0" w:type="auto"/>
        <w:tblLayout w:type="fixed"/>
        <w:tblLook w:val="0000" w:firstRow="0" w:lastRow="0" w:firstColumn="0" w:lastColumn="0" w:noHBand="0" w:noVBand="0"/>
      </w:tblPr>
      <w:tblGrid>
        <w:gridCol w:w="1638"/>
        <w:gridCol w:w="7830"/>
      </w:tblGrid>
      <w:tr w:rsidR="00E5121D" w:rsidRPr="00BB1E65" w14:paraId="298ADF45" w14:textId="77777777" w:rsidTr="00DF1F30">
        <w:tc>
          <w:tcPr>
            <w:tcW w:w="1638" w:type="dxa"/>
            <w:shd w:val="clear" w:color="auto" w:fill="auto"/>
          </w:tcPr>
          <w:p w14:paraId="2F4C490A" w14:textId="049CEF51" w:rsidR="00E5121D" w:rsidRPr="00BB1E65" w:rsidRDefault="0028569F" w:rsidP="0028569F">
            <w:pPr>
              <w:pStyle w:val="Heading5"/>
            </w:pPr>
            <w:r w:rsidRPr="00BB1E65">
              <w:t>d</w:t>
            </w:r>
            <w:r w:rsidR="00E5121D" w:rsidRPr="00BB1E65">
              <w:t xml:space="preserve">.  </w:t>
            </w:r>
            <w:r w:rsidR="00B620D3" w:rsidRPr="00BB1E65">
              <w:t>ERB</w:t>
            </w:r>
            <w:r w:rsidR="00E5121D" w:rsidRPr="00BB1E65">
              <w:t xml:space="preserve"> </w:t>
            </w:r>
            <w:r w:rsidR="0062777D" w:rsidRPr="00BB1E65">
              <w:t>Tool</w:t>
            </w:r>
          </w:p>
        </w:tc>
        <w:tc>
          <w:tcPr>
            <w:tcW w:w="7830" w:type="dxa"/>
            <w:shd w:val="clear" w:color="auto" w:fill="auto"/>
          </w:tcPr>
          <w:p w14:paraId="653B1C9F" w14:textId="16C9A4A0" w:rsidR="0028569F" w:rsidRPr="00BB1E65" w:rsidRDefault="006F4499" w:rsidP="00DF1F30">
            <w:pPr>
              <w:pStyle w:val="BlockText"/>
            </w:pPr>
            <w:r w:rsidRPr="00BB1E65">
              <w:t xml:space="preserve">The primary purpose of the </w:t>
            </w:r>
            <w:hyperlink r:id="rId21" w:history="1">
              <w:r w:rsidR="0028569F" w:rsidRPr="00BB1E65">
                <w:rPr>
                  <w:rStyle w:val="Hyperlink"/>
                </w:rPr>
                <w:t>Exam Request Builder</w:t>
              </w:r>
            </w:hyperlink>
            <w:r w:rsidR="0028569F" w:rsidRPr="00BB1E65">
              <w:rPr>
                <w:rStyle w:val="Hyperlink"/>
              </w:rPr>
              <w:t xml:space="preserve"> </w:t>
            </w:r>
            <w:r w:rsidR="00BB07DC" w:rsidRPr="00BB1E65">
              <w:rPr>
                <w:rStyle w:val="Hyperlink"/>
              </w:rPr>
              <w:t>(ERB)</w:t>
            </w:r>
            <w:r w:rsidR="00BB07DC" w:rsidRPr="00BB1E65">
              <w:rPr>
                <w:rStyle w:val="Hyperlink"/>
                <w:u w:val="none"/>
              </w:rPr>
              <w:t xml:space="preserve"> </w:t>
            </w:r>
            <w:r w:rsidRPr="00BB1E65">
              <w:t xml:space="preserve">tool is to standardize the format for exam requests.  </w:t>
            </w:r>
          </w:p>
          <w:p w14:paraId="6CE352FC" w14:textId="77777777" w:rsidR="0028569F" w:rsidRPr="00BB1E65" w:rsidRDefault="0028569F" w:rsidP="00DF1F30">
            <w:pPr>
              <w:pStyle w:val="BlockText"/>
            </w:pPr>
          </w:p>
          <w:p w14:paraId="4FE529CF" w14:textId="77777777" w:rsidR="006654E6" w:rsidRPr="00BB1E65" w:rsidRDefault="0028569F" w:rsidP="00DF1F30">
            <w:pPr>
              <w:pStyle w:val="BlockText"/>
            </w:pPr>
            <w:r w:rsidRPr="00BB1E65">
              <w:rPr>
                <w:b/>
                <w:i/>
              </w:rPr>
              <w:t>Important</w:t>
            </w:r>
            <w:r w:rsidRPr="00BB1E65">
              <w:t xml:space="preserve">:  </w:t>
            </w:r>
          </w:p>
          <w:p w14:paraId="247374FD" w14:textId="28F22AFC" w:rsidR="006654E6" w:rsidRPr="00BB1E65" w:rsidRDefault="0028569F" w:rsidP="00CA1389">
            <w:pPr>
              <w:pStyle w:val="ListParagraph"/>
              <w:numPr>
                <w:ilvl w:val="0"/>
                <w:numId w:val="93"/>
              </w:numPr>
              <w:ind w:left="158" w:hanging="187"/>
            </w:pPr>
            <w:r w:rsidRPr="00BB1E65">
              <w:t>U</w:t>
            </w:r>
            <w:r w:rsidR="009750EA" w:rsidRPr="00BB1E65">
              <w:t>se of the</w:t>
            </w:r>
            <w:r w:rsidR="00E5121D" w:rsidRPr="00BB1E65">
              <w:t xml:space="preserve"> </w:t>
            </w:r>
            <w:hyperlink r:id="rId22" w:history="1">
              <w:r w:rsidR="00BB07DC" w:rsidRPr="00BB1E65">
                <w:rPr>
                  <w:rStyle w:val="Hyperlink"/>
                </w:rPr>
                <w:t>ERB</w:t>
              </w:r>
              <w:r w:rsidR="00E5121D" w:rsidRPr="00BB1E65">
                <w:rPr>
                  <w:rStyle w:val="Hyperlink"/>
                </w:rPr>
                <w:t xml:space="preserve"> </w:t>
              </w:r>
              <w:r w:rsidRPr="00BB1E65">
                <w:rPr>
                  <w:rStyle w:val="Hyperlink"/>
                </w:rPr>
                <w:t>tool</w:t>
              </w:r>
            </w:hyperlink>
            <w:r w:rsidRPr="00BB1E65">
              <w:t xml:space="preserve"> </w:t>
            </w:r>
            <w:r w:rsidR="00DF1F30" w:rsidRPr="00BB1E65">
              <w:t xml:space="preserve">is </w:t>
            </w:r>
            <w:r w:rsidR="009750EA" w:rsidRPr="00BB1E65">
              <w:t xml:space="preserve">mandatory </w:t>
            </w:r>
            <w:r w:rsidR="00E5121D" w:rsidRPr="00BB1E65">
              <w:t>when creating a</w:t>
            </w:r>
            <w:r w:rsidR="006654E6" w:rsidRPr="00BB1E65">
              <w:t>(</w:t>
            </w:r>
            <w:r w:rsidR="00E5121D" w:rsidRPr="00BB1E65">
              <w:t>n</w:t>
            </w:r>
            <w:r w:rsidR="006654E6" w:rsidRPr="00BB1E65">
              <w:t>)</w:t>
            </w:r>
            <w:r w:rsidR="00E5121D" w:rsidRPr="00BB1E65">
              <w:t xml:space="preserve"> </w:t>
            </w:r>
          </w:p>
          <w:p w14:paraId="36C3CA5B" w14:textId="6709B9BB" w:rsidR="006654E6" w:rsidRPr="00BB1E65" w:rsidRDefault="00E5121D" w:rsidP="00CA1389">
            <w:pPr>
              <w:pStyle w:val="ListParagraph"/>
              <w:numPr>
                <w:ilvl w:val="0"/>
                <w:numId w:val="94"/>
              </w:numPr>
              <w:ind w:left="346" w:hanging="187"/>
            </w:pPr>
            <w:r w:rsidRPr="00BB1E65">
              <w:t>examination or medical opinion request</w:t>
            </w:r>
            <w:r w:rsidR="00DB1E1B" w:rsidRPr="00BB1E65">
              <w:t xml:space="preserve"> in </w:t>
            </w:r>
            <w:r w:rsidR="00042F57" w:rsidRPr="00BB1E65">
              <w:t>CAPRI</w:t>
            </w:r>
            <w:r w:rsidR="006654E6" w:rsidRPr="00BB1E65">
              <w:t>, or</w:t>
            </w:r>
          </w:p>
          <w:p w14:paraId="5108725F" w14:textId="2D8AFC6D" w:rsidR="006654E6" w:rsidRPr="00BB1E65" w:rsidRDefault="006654E6" w:rsidP="00CA1389">
            <w:pPr>
              <w:pStyle w:val="ListParagraph"/>
              <w:numPr>
                <w:ilvl w:val="0"/>
                <w:numId w:val="94"/>
              </w:numPr>
              <w:ind w:left="346" w:hanging="187"/>
            </w:pPr>
            <w:r w:rsidRPr="00BB1E65">
              <w:t xml:space="preserve">medical opinion for a claim based on </w:t>
            </w:r>
          </w:p>
          <w:p w14:paraId="0CB15E15" w14:textId="6D67DC3D" w:rsidR="006654E6" w:rsidRPr="00BB1E65" w:rsidRDefault="006654E6" w:rsidP="00CA1389">
            <w:pPr>
              <w:pStyle w:val="ListParagraph"/>
              <w:numPr>
                <w:ilvl w:val="0"/>
                <w:numId w:val="95"/>
              </w:numPr>
              <w:ind w:left="518" w:hanging="158"/>
            </w:pPr>
            <w:r w:rsidRPr="00BB1E65">
              <w:t>combat experiences</w:t>
            </w:r>
          </w:p>
          <w:p w14:paraId="0B730195" w14:textId="6E9EA932" w:rsidR="006654E6" w:rsidRPr="00BB1E65" w:rsidRDefault="006654E6" w:rsidP="00CA1389">
            <w:pPr>
              <w:pStyle w:val="ListParagraph"/>
              <w:numPr>
                <w:ilvl w:val="0"/>
                <w:numId w:val="95"/>
              </w:numPr>
              <w:ind w:left="518" w:hanging="158"/>
            </w:pPr>
            <w:r w:rsidRPr="00BB1E65">
              <w:t>Military Sexual Trauma (MST), or</w:t>
            </w:r>
          </w:p>
          <w:p w14:paraId="4FA57ACC" w14:textId="27FB2315" w:rsidR="006654E6" w:rsidRPr="00BB1E65" w:rsidRDefault="006654E6" w:rsidP="00CA1389">
            <w:pPr>
              <w:pStyle w:val="ListParagraph"/>
              <w:numPr>
                <w:ilvl w:val="0"/>
                <w:numId w:val="95"/>
              </w:numPr>
              <w:ind w:left="518" w:hanging="158"/>
            </w:pPr>
            <w:r w:rsidRPr="00BB1E65">
              <w:t>SC death</w:t>
            </w:r>
            <w:r w:rsidR="00E5121D" w:rsidRPr="00BB1E65">
              <w:t xml:space="preserve">. </w:t>
            </w:r>
            <w:r w:rsidR="00A65CB2" w:rsidRPr="00BB1E65">
              <w:t xml:space="preserve"> </w:t>
            </w:r>
          </w:p>
          <w:p w14:paraId="1C9AD017" w14:textId="1A64B4A9" w:rsidR="00E5121D" w:rsidRPr="00BB1E65" w:rsidRDefault="00A65CB2" w:rsidP="00CA1389">
            <w:pPr>
              <w:pStyle w:val="ListParagraph"/>
              <w:numPr>
                <w:ilvl w:val="0"/>
                <w:numId w:val="96"/>
              </w:numPr>
              <w:ind w:left="158" w:hanging="187"/>
            </w:pPr>
            <w:r w:rsidRPr="00BB1E65">
              <w:t>As with all automated tools, users should ensure the suggested language and examinations are adequate before inputting the exam requests.</w:t>
            </w:r>
          </w:p>
          <w:p w14:paraId="7ED0E657" w14:textId="77777777" w:rsidR="006F4499" w:rsidRPr="00BB1E65" w:rsidRDefault="006F4499" w:rsidP="00DF1F30">
            <w:pPr>
              <w:pStyle w:val="BlockText"/>
            </w:pPr>
          </w:p>
          <w:p w14:paraId="7B3ECD38" w14:textId="2245E9E8" w:rsidR="00DF1F30" w:rsidRPr="00BB1E65" w:rsidRDefault="0028569F" w:rsidP="00DF1F30">
            <w:pPr>
              <w:pStyle w:val="BlockText"/>
            </w:pPr>
            <w:r w:rsidRPr="00BB1E65">
              <w:rPr>
                <w:b/>
                <w:i/>
              </w:rPr>
              <w:t>Note</w:t>
            </w:r>
            <w:r w:rsidRPr="00BB1E65">
              <w:t xml:space="preserve">:  </w:t>
            </w:r>
            <w:r w:rsidR="00DF1F30" w:rsidRPr="00BB1E65">
              <w:t xml:space="preserve">Report any corrected information needed by e-mail to </w:t>
            </w:r>
            <w:hyperlink r:id="rId23" w:history="1">
              <w:r w:rsidR="00DF1F30" w:rsidRPr="00BB1E65">
                <w:rPr>
                  <w:rStyle w:val="Hyperlink"/>
                </w:rPr>
                <w:t>VAVBAWAS/CO/CAPRI</w:t>
              </w:r>
            </w:hyperlink>
            <w:r w:rsidR="00AF6AA4" w:rsidRPr="00BB1E65">
              <w:rPr>
                <w:rStyle w:val="Hyperlink"/>
              </w:rPr>
              <w:t>.</w:t>
            </w:r>
          </w:p>
          <w:p w14:paraId="1BC8A3C0" w14:textId="77777777" w:rsidR="00DF1F30" w:rsidRPr="00BB1E65" w:rsidRDefault="00DF1F30" w:rsidP="00DF1F30">
            <w:pPr>
              <w:pStyle w:val="BlockText"/>
            </w:pPr>
          </w:p>
          <w:p w14:paraId="29C945E3" w14:textId="1204F925" w:rsidR="00E5121D" w:rsidRPr="00BB1E65" w:rsidRDefault="00E5121D" w:rsidP="00A65CB2">
            <w:pPr>
              <w:pStyle w:val="BlockText"/>
            </w:pPr>
            <w:r w:rsidRPr="00BB1E65">
              <w:rPr>
                <w:b/>
                <w:i/>
              </w:rPr>
              <w:t>Reference</w:t>
            </w:r>
            <w:r w:rsidR="006E7A17" w:rsidRPr="00BB1E65">
              <w:t xml:space="preserve">: </w:t>
            </w:r>
            <w:r w:rsidRPr="00BB1E65">
              <w:t xml:space="preserve"> For more information on </w:t>
            </w:r>
            <w:r w:rsidR="009107E0" w:rsidRPr="00BB1E65">
              <w:t>ERB functionality and training</w:t>
            </w:r>
            <w:r w:rsidRPr="00BB1E65">
              <w:t>,</w:t>
            </w:r>
            <w:r w:rsidR="0028569F" w:rsidRPr="00BB1E65">
              <w:t xml:space="preserve"> see the</w:t>
            </w:r>
            <w:r w:rsidRPr="00BB1E65">
              <w:t xml:space="preserve"> </w:t>
            </w:r>
            <w:hyperlink r:id="rId24" w:history="1">
              <w:r w:rsidRPr="00BB1E65">
                <w:rPr>
                  <w:rStyle w:val="Hyperlink"/>
                  <w:i/>
                </w:rPr>
                <w:t>Exam Request Builder Training Guide</w:t>
              </w:r>
            </w:hyperlink>
            <w:r w:rsidRPr="00BB1E65">
              <w:t xml:space="preserve">. </w:t>
            </w:r>
          </w:p>
        </w:tc>
      </w:tr>
    </w:tbl>
    <w:p w14:paraId="66EF35C3" w14:textId="4C188213" w:rsidR="00E5121D" w:rsidRPr="00BB1E65" w:rsidRDefault="00E5121D" w:rsidP="00E5121D">
      <w:pPr>
        <w:tabs>
          <w:tab w:val="left" w:pos="9360"/>
        </w:tabs>
        <w:ind w:left="1714"/>
      </w:pPr>
      <w:r w:rsidRPr="00BB1E65">
        <w:rPr>
          <w:u w:val="single"/>
        </w:rPr>
        <w:tab/>
      </w:r>
    </w:p>
    <w:p w14:paraId="16B721D1" w14:textId="5E51BF49" w:rsidR="00CD05B3" w:rsidRPr="00BB1E65" w:rsidRDefault="00CD05B3" w:rsidP="00CD05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CD05B3" w:rsidRPr="00BB1E65" w14:paraId="25352A3B" w14:textId="77777777" w:rsidTr="0028569F">
        <w:tc>
          <w:tcPr>
            <w:tcW w:w="1638" w:type="dxa"/>
            <w:shd w:val="clear" w:color="auto" w:fill="auto"/>
          </w:tcPr>
          <w:p w14:paraId="3C22C356" w14:textId="13959CDE" w:rsidR="00CD05B3" w:rsidRPr="00BB1E65" w:rsidRDefault="0028569F" w:rsidP="0028569F">
            <w:pPr>
              <w:pStyle w:val="Heading5"/>
            </w:pPr>
            <w:r w:rsidRPr="00BB1E65">
              <w:t>e</w:t>
            </w:r>
            <w:r w:rsidR="00090B75" w:rsidRPr="00BB1E65">
              <w:t xml:space="preserve">. </w:t>
            </w:r>
            <w:r w:rsidR="00AE782F" w:rsidRPr="00BB1E65">
              <w:t xml:space="preserve"> </w:t>
            </w:r>
            <w:r w:rsidRPr="00BB1E65">
              <w:t xml:space="preserve">Requesting Examinations in </w:t>
            </w:r>
            <w:r w:rsidR="00CD05B3" w:rsidRPr="00BB1E65">
              <w:t>CAPRI</w:t>
            </w:r>
            <w:r w:rsidRPr="00BB1E65">
              <w:t xml:space="preserve"> </w:t>
            </w:r>
          </w:p>
        </w:tc>
        <w:tc>
          <w:tcPr>
            <w:tcW w:w="7830" w:type="dxa"/>
            <w:shd w:val="clear" w:color="auto" w:fill="auto"/>
          </w:tcPr>
          <w:p w14:paraId="702BAB18" w14:textId="33FF6E19" w:rsidR="00CD05B3" w:rsidRPr="00BB1E65" w:rsidRDefault="00C22C28" w:rsidP="00CD05B3">
            <w:r w:rsidRPr="00BB1E65">
              <w:t xml:space="preserve">Use </w:t>
            </w:r>
            <w:r w:rsidR="00CD05B3" w:rsidRPr="00BB1E65">
              <w:t>CAPRI</w:t>
            </w:r>
            <w:r w:rsidR="00E37320" w:rsidRPr="00BB1E65">
              <w:t xml:space="preserve"> </w:t>
            </w:r>
            <w:r w:rsidRPr="00BB1E65">
              <w:t>to request examinations from</w:t>
            </w:r>
            <w:r w:rsidR="00CD05B3" w:rsidRPr="00BB1E65">
              <w:t xml:space="preserve"> VHA.</w:t>
            </w:r>
          </w:p>
          <w:p w14:paraId="6F111432" w14:textId="77777777" w:rsidR="00CD05B3" w:rsidRPr="00BB1E65" w:rsidRDefault="00CD05B3" w:rsidP="00CD05B3"/>
          <w:p w14:paraId="509ED335" w14:textId="3C8F3136" w:rsidR="00B13D11" w:rsidRPr="00BB1E65" w:rsidRDefault="00B13D11" w:rsidP="00B13D11">
            <w:pPr>
              <w:rPr>
                <w:b/>
              </w:rPr>
            </w:pPr>
            <w:r w:rsidRPr="00BB1E65">
              <w:rPr>
                <w:b/>
                <w:i/>
              </w:rPr>
              <w:t>Note</w:t>
            </w:r>
            <w:r w:rsidRPr="00BB1E65">
              <w:t>:</w:t>
            </w:r>
            <w:r w:rsidRPr="00BB1E65">
              <w:rPr>
                <w:b/>
                <w:i/>
              </w:rPr>
              <w:t xml:space="preserve"> </w:t>
            </w:r>
            <w:r w:rsidR="008C3080" w:rsidRPr="00BB1E65">
              <w:rPr>
                <w:b/>
                <w:i/>
              </w:rPr>
              <w:t xml:space="preserve"> </w:t>
            </w:r>
            <w:r w:rsidRPr="00BB1E65">
              <w:t>CAPRI may also be used to request observation and examination or social surveys.</w:t>
            </w:r>
          </w:p>
          <w:p w14:paraId="1F13C329" w14:textId="77777777" w:rsidR="008410D7" w:rsidRPr="00BB1E65" w:rsidRDefault="008410D7" w:rsidP="00753763">
            <w:pPr>
              <w:ind w:left="-29"/>
            </w:pPr>
          </w:p>
          <w:p w14:paraId="0C5D8676" w14:textId="77777777" w:rsidR="00C22C28" w:rsidRPr="00BB1E65" w:rsidRDefault="008410D7" w:rsidP="00753763">
            <w:pPr>
              <w:ind w:left="-29"/>
            </w:pPr>
            <w:r w:rsidRPr="00BB1E65">
              <w:rPr>
                <w:b/>
                <w:i/>
              </w:rPr>
              <w:t>Reference</w:t>
            </w:r>
            <w:r w:rsidR="005E6C01" w:rsidRPr="00BB1E65">
              <w:rPr>
                <w:b/>
                <w:i/>
              </w:rPr>
              <w:t>s</w:t>
            </w:r>
            <w:r w:rsidRPr="00BB1E65">
              <w:t xml:space="preserve">: </w:t>
            </w:r>
            <w:r w:rsidR="006E7A17" w:rsidRPr="00BB1E65">
              <w:t xml:space="preserve"> F</w:t>
            </w:r>
            <w:r w:rsidRPr="00BB1E65">
              <w:t xml:space="preserve">or additional information on </w:t>
            </w:r>
          </w:p>
          <w:p w14:paraId="5FF596A1" w14:textId="7AFC0417" w:rsidR="00982AA1" w:rsidRPr="00BB1E65" w:rsidRDefault="008410D7" w:rsidP="00661A60">
            <w:pPr>
              <w:pStyle w:val="ListParagraph"/>
              <w:numPr>
                <w:ilvl w:val="0"/>
                <w:numId w:val="36"/>
              </w:numPr>
              <w:ind w:left="158" w:hanging="187"/>
            </w:pPr>
            <w:r w:rsidRPr="00BB1E65">
              <w:t>exam requests in CAPRI</w:t>
            </w:r>
            <w:r w:rsidR="009750EA" w:rsidRPr="00BB1E65">
              <w:t>, see</w:t>
            </w:r>
            <w:r w:rsidR="007C0328" w:rsidRPr="00BB1E65">
              <w:t xml:space="preserve"> </w:t>
            </w:r>
          </w:p>
          <w:p w14:paraId="7D810958" w14:textId="5CF67BC8" w:rsidR="00C22C28" w:rsidRPr="00BB1E65" w:rsidRDefault="0028569F" w:rsidP="00661A60">
            <w:pPr>
              <w:pStyle w:val="ListParagraph"/>
              <w:numPr>
                <w:ilvl w:val="0"/>
                <w:numId w:val="37"/>
              </w:numPr>
              <w:ind w:left="346" w:hanging="187"/>
            </w:pPr>
            <w:r w:rsidRPr="00BB1E65">
              <w:t>M21-1, Part III, Subpart v, 6.G</w:t>
            </w:r>
            <w:r w:rsidR="00C22C28" w:rsidRPr="00BB1E65">
              <w:t>, and</w:t>
            </w:r>
            <w:r w:rsidRPr="00BB1E65">
              <w:t xml:space="preserve"> </w:t>
            </w:r>
          </w:p>
          <w:p w14:paraId="416BDAF8" w14:textId="2EEF857E" w:rsidR="0028569F" w:rsidRPr="00BB1E65" w:rsidRDefault="00BB1E65" w:rsidP="00661A60">
            <w:pPr>
              <w:pStyle w:val="ListParagraph"/>
              <w:numPr>
                <w:ilvl w:val="0"/>
                <w:numId w:val="37"/>
              </w:numPr>
              <w:ind w:left="346" w:hanging="187"/>
              <w:rPr>
                <w:rStyle w:val="Hyperlink"/>
                <w:color w:val="000000"/>
                <w:u w:val="none"/>
              </w:rPr>
            </w:pPr>
            <w:hyperlink r:id="rId25" w:history="1">
              <w:r w:rsidR="00C22C28" w:rsidRPr="00BB1E65">
                <w:rPr>
                  <w:rStyle w:val="Hyperlink"/>
                </w:rPr>
                <w:t>Compensation Service CAPRI Intranet Web</w:t>
              </w:r>
              <w:r w:rsidR="004F230A" w:rsidRPr="00BB1E65">
                <w:rPr>
                  <w:rStyle w:val="Hyperlink"/>
                </w:rPr>
                <w:t xml:space="preserve"> </w:t>
              </w:r>
              <w:r w:rsidR="00C22C28" w:rsidRPr="00BB1E65">
                <w:rPr>
                  <w:rStyle w:val="Hyperlink"/>
                </w:rPr>
                <w:t>site</w:t>
              </w:r>
            </w:hyperlink>
          </w:p>
          <w:p w14:paraId="14B51C31" w14:textId="240742F5" w:rsidR="00A73A29" w:rsidRPr="00BB1E65" w:rsidRDefault="00A73A29" w:rsidP="00CA1389">
            <w:pPr>
              <w:pStyle w:val="ListParagraph"/>
              <w:numPr>
                <w:ilvl w:val="0"/>
                <w:numId w:val="88"/>
              </w:numPr>
              <w:ind w:left="158" w:hanging="187"/>
            </w:pPr>
            <w:r w:rsidRPr="00BB1E65">
              <w:t>completing medical opinion requests in CAPRI, see M21-1, Part III, Subpart iv, 3.A.7.c</w:t>
            </w:r>
          </w:p>
          <w:p w14:paraId="14749480" w14:textId="58DAED99" w:rsidR="008410D7" w:rsidRPr="00BB1E65" w:rsidRDefault="006E7A17" w:rsidP="00661A60">
            <w:pPr>
              <w:pStyle w:val="ListParagraph"/>
              <w:numPr>
                <w:ilvl w:val="0"/>
                <w:numId w:val="17"/>
              </w:numPr>
              <w:ind w:left="162" w:hanging="162"/>
            </w:pPr>
            <w:r w:rsidRPr="00BB1E65">
              <w:t xml:space="preserve">steps to inputting exam requests, </w:t>
            </w:r>
            <w:r w:rsidR="003B592C" w:rsidRPr="00BB1E65">
              <w:t xml:space="preserve">see </w:t>
            </w:r>
            <w:r w:rsidR="008410D7" w:rsidRPr="00BB1E65">
              <w:t xml:space="preserve">M21-1, Part III, </w:t>
            </w:r>
            <w:r w:rsidR="00B340D8" w:rsidRPr="00BB1E65">
              <w:t xml:space="preserve">Subpart </w:t>
            </w:r>
            <w:r w:rsidR="008410D7" w:rsidRPr="00BB1E65">
              <w:t>iv</w:t>
            </w:r>
            <w:r w:rsidR="00B340D8" w:rsidRPr="00BB1E65">
              <w:t xml:space="preserve">, </w:t>
            </w:r>
            <w:r w:rsidR="008410D7" w:rsidRPr="00BB1E65">
              <w:t>3.A.</w:t>
            </w:r>
            <w:r w:rsidR="00B340D8" w:rsidRPr="00BB1E65">
              <w:t>16.a</w:t>
            </w:r>
            <w:r w:rsidR="00C22C28" w:rsidRPr="00BB1E65">
              <w:t>, and</w:t>
            </w:r>
          </w:p>
          <w:p w14:paraId="1CAC9DF9" w14:textId="687DA887" w:rsidR="005E6C01" w:rsidRPr="00BB1E65" w:rsidRDefault="00C22C28" w:rsidP="007F4C69">
            <w:pPr>
              <w:pStyle w:val="ListParagraph"/>
              <w:numPr>
                <w:ilvl w:val="0"/>
                <w:numId w:val="18"/>
              </w:numPr>
              <w:ind w:left="158" w:hanging="187"/>
            </w:pPr>
            <w:r w:rsidRPr="00BB1E65">
              <w:t xml:space="preserve">VHA’s </w:t>
            </w:r>
            <w:r w:rsidR="00982AA1" w:rsidRPr="00BB1E65">
              <w:rPr>
                <w:bCs/>
              </w:rPr>
              <w:t>C</w:t>
            </w:r>
            <w:r w:rsidR="007F4C69" w:rsidRPr="00BB1E65">
              <w:rPr>
                <w:bCs/>
              </w:rPr>
              <w:t xml:space="preserve">&amp;P </w:t>
            </w:r>
            <w:r w:rsidR="00982AA1" w:rsidRPr="00BB1E65">
              <w:rPr>
                <w:bCs/>
              </w:rPr>
              <w:t xml:space="preserve">Clinic </w:t>
            </w:r>
            <w:r w:rsidRPr="00BB1E65">
              <w:rPr>
                <w:bCs/>
              </w:rPr>
              <w:t>points of contact</w:t>
            </w:r>
            <w:r w:rsidRPr="00BB1E65">
              <w:t>, see the</w:t>
            </w:r>
            <w:r w:rsidR="00982AA1" w:rsidRPr="00BB1E65">
              <w:t xml:space="preserve"> </w:t>
            </w:r>
            <w:hyperlink r:id="rId26" w:history="1">
              <w:r w:rsidR="00982AA1" w:rsidRPr="00BB1E65">
                <w:rPr>
                  <w:rStyle w:val="Hyperlink"/>
                </w:rPr>
                <w:t>C&amp;P Clinic POC List</w:t>
              </w:r>
            </w:hyperlink>
            <w:r w:rsidR="00982AA1" w:rsidRPr="00BB1E65">
              <w:t>.</w:t>
            </w:r>
          </w:p>
        </w:tc>
      </w:tr>
    </w:tbl>
    <w:p w14:paraId="7B67453F" w14:textId="4778DE4D" w:rsidR="008410D7" w:rsidRPr="00BB1E65" w:rsidRDefault="008410D7" w:rsidP="008410D7">
      <w:pPr>
        <w:tabs>
          <w:tab w:val="left" w:pos="9360"/>
        </w:tabs>
        <w:ind w:left="1714"/>
      </w:pPr>
      <w:r w:rsidRPr="00BB1E65">
        <w:rPr>
          <w:u w:val="single"/>
        </w:rPr>
        <w:tab/>
      </w:r>
    </w:p>
    <w:p w14:paraId="38049CE2" w14:textId="77777777" w:rsidR="008410D7" w:rsidRPr="00BB1E65" w:rsidRDefault="008410D7" w:rsidP="008410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8410D7" w:rsidRPr="00BB1E65" w14:paraId="6AC5B892" w14:textId="77777777" w:rsidTr="00F37E15">
        <w:tc>
          <w:tcPr>
            <w:tcW w:w="1638" w:type="dxa"/>
            <w:shd w:val="clear" w:color="auto" w:fill="auto"/>
          </w:tcPr>
          <w:p w14:paraId="7C833FF0" w14:textId="6DAFAB17" w:rsidR="008410D7" w:rsidRPr="00BB1E65" w:rsidRDefault="0028569F" w:rsidP="00DC6C05">
            <w:pPr>
              <w:pStyle w:val="Heading5"/>
            </w:pPr>
            <w:bookmarkStart w:id="3" w:name="Topic2f"/>
            <w:bookmarkEnd w:id="3"/>
            <w:r w:rsidRPr="00BB1E65">
              <w:lastRenderedPageBreak/>
              <w:t>f</w:t>
            </w:r>
            <w:r w:rsidR="00090B75" w:rsidRPr="00BB1E65">
              <w:t xml:space="preserve">. </w:t>
            </w:r>
            <w:r w:rsidR="00AE782F" w:rsidRPr="00BB1E65">
              <w:t xml:space="preserve"> </w:t>
            </w:r>
            <w:r w:rsidRPr="00BB1E65">
              <w:t xml:space="preserve">Requesting Examinations in </w:t>
            </w:r>
            <w:r w:rsidR="008410D7" w:rsidRPr="00BB1E65">
              <w:t>CAATS</w:t>
            </w:r>
          </w:p>
        </w:tc>
        <w:tc>
          <w:tcPr>
            <w:tcW w:w="7830" w:type="dxa"/>
            <w:shd w:val="clear" w:color="auto" w:fill="auto"/>
          </w:tcPr>
          <w:p w14:paraId="49BB3673" w14:textId="4276D408" w:rsidR="008410D7" w:rsidRPr="00BB1E65" w:rsidRDefault="0028569F" w:rsidP="008410D7">
            <w:r w:rsidRPr="00BB1E65">
              <w:t xml:space="preserve">Use the </w:t>
            </w:r>
            <w:r w:rsidR="008410D7" w:rsidRPr="00BB1E65">
              <w:t>Centralized Administrative Accounting Transaction System (CAATS)</w:t>
            </w:r>
            <w:r w:rsidRPr="00BB1E65">
              <w:t xml:space="preserve"> to request examinations from contract examiners.</w:t>
            </w:r>
          </w:p>
          <w:p w14:paraId="476012DB" w14:textId="77777777" w:rsidR="003A0D0E" w:rsidRPr="00BB1E65" w:rsidRDefault="003A0D0E" w:rsidP="008410D7"/>
          <w:p w14:paraId="35CBF88D" w14:textId="39AF51E2" w:rsidR="003A0D0E" w:rsidRPr="00BB1E65" w:rsidRDefault="0028569F" w:rsidP="008410D7">
            <w:r w:rsidRPr="00BB1E65">
              <w:rPr>
                <w:b/>
                <w:i/>
              </w:rPr>
              <w:t>Note</w:t>
            </w:r>
            <w:r w:rsidRPr="00BB1E65">
              <w:t xml:space="preserve">:  </w:t>
            </w:r>
            <w:r w:rsidR="003A0D0E" w:rsidRPr="00BB1E65">
              <w:t xml:space="preserve">The </w:t>
            </w:r>
            <w:r w:rsidR="004567FF" w:rsidRPr="00BB1E65">
              <w:t xml:space="preserve">contract exam </w:t>
            </w:r>
            <w:r w:rsidR="003A0D0E" w:rsidRPr="00BB1E65">
              <w:t xml:space="preserve">sub-module of CAATS replaced the Veterans Examination Request Information System (VERIS).  </w:t>
            </w:r>
          </w:p>
          <w:p w14:paraId="66D90B3E" w14:textId="77777777" w:rsidR="00FE42EC" w:rsidRPr="00BB1E65" w:rsidRDefault="00FE42EC" w:rsidP="008410D7"/>
          <w:p w14:paraId="37AB584B" w14:textId="77777777" w:rsidR="00A73A29" w:rsidRPr="00BB1E65" w:rsidRDefault="00982AA1" w:rsidP="008410D7">
            <w:r w:rsidRPr="00BB1E65">
              <w:rPr>
                <w:b/>
                <w:i/>
              </w:rPr>
              <w:t>Reference</w:t>
            </w:r>
            <w:r w:rsidR="00A73A29" w:rsidRPr="00BB1E65">
              <w:rPr>
                <w:b/>
                <w:i/>
              </w:rPr>
              <w:t>s</w:t>
            </w:r>
            <w:r w:rsidRPr="00BB1E65">
              <w:t xml:space="preserve">: </w:t>
            </w:r>
            <w:r w:rsidR="006E7A17" w:rsidRPr="00BB1E65">
              <w:t xml:space="preserve"> F</w:t>
            </w:r>
            <w:r w:rsidRPr="00BB1E65">
              <w:t xml:space="preserve">or more information about </w:t>
            </w:r>
          </w:p>
          <w:p w14:paraId="44972F53" w14:textId="38F43CE4" w:rsidR="00B340D8" w:rsidRPr="00BB1E65" w:rsidRDefault="00B340D8" w:rsidP="00CA1389">
            <w:pPr>
              <w:pStyle w:val="ListParagraph"/>
              <w:numPr>
                <w:ilvl w:val="0"/>
                <w:numId w:val="88"/>
              </w:numPr>
              <w:ind w:left="158" w:hanging="187"/>
            </w:pPr>
            <w:r w:rsidRPr="00BB1E65">
              <w:t>steps to inputting exam requests, see M21-1, Part III, Subpart iv, 3.A.16.a</w:t>
            </w:r>
          </w:p>
          <w:p w14:paraId="4470266E" w14:textId="76FF62D5" w:rsidR="00A73A29" w:rsidRPr="00BB1E65" w:rsidRDefault="00A73A29" w:rsidP="00CA1389">
            <w:pPr>
              <w:pStyle w:val="ListParagraph"/>
              <w:numPr>
                <w:ilvl w:val="0"/>
                <w:numId w:val="88"/>
              </w:numPr>
              <w:ind w:left="158" w:hanging="187"/>
            </w:pPr>
            <w:r w:rsidRPr="00BB1E65">
              <w:t>completing medical opinion requests in CAATS, see M21-1, Part III, Subpart iv, 3.A.7.b, and</w:t>
            </w:r>
          </w:p>
          <w:p w14:paraId="76751CDA" w14:textId="436702B9" w:rsidR="00982AA1" w:rsidRPr="00BB1E65" w:rsidRDefault="00982AA1" w:rsidP="00CA1389">
            <w:pPr>
              <w:pStyle w:val="ListParagraph"/>
              <w:numPr>
                <w:ilvl w:val="0"/>
                <w:numId w:val="89"/>
              </w:numPr>
              <w:ind w:left="158" w:hanging="187"/>
            </w:pPr>
            <w:r w:rsidRPr="00BB1E65">
              <w:t>CAATS,</w:t>
            </w:r>
            <w:r w:rsidR="004567FF" w:rsidRPr="00BB1E65">
              <w:t xml:space="preserve"> see the</w:t>
            </w:r>
          </w:p>
          <w:p w14:paraId="7EA26F59" w14:textId="102C18CD" w:rsidR="00982AA1" w:rsidRPr="00BB1E65" w:rsidRDefault="00BB1E65" w:rsidP="00CA1389">
            <w:pPr>
              <w:pStyle w:val="ListParagraph"/>
              <w:numPr>
                <w:ilvl w:val="0"/>
                <w:numId w:val="90"/>
              </w:numPr>
              <w:ind w:left="346" w:hanging="187"/>
              <w:rPr>
                <w:color w:val="auto"/>
              </w:rPr>
            </w:pPr>
            <w:hyperlink r:id="rId27" w:history="1">
              <w:r w:rsidR="00982AA1" w:rsidRPr="00BB1E65">
                <w:rPr>
                  <w:rStyle w:val="Hyperlink"/>
                </w:rPr>
                <w:t xml:space="preserve"> CAATS Web</w:t>
              </w:r>
              <w:r w:rsidR="00DD5195" w:rsidRPr="00BB1E65">
                <w:rPr>
                  <w:rStyle w:val="Hyperlink"/>
                </w:rPr>
                <w:t xml:space="preserve"> </w:t>
              </w:r>
              <w:r w:rsidR="00982AA1" w:rsidRPr="00BB1E65">
                <w:rPr>
                  <w:rStyle w:val="Hyperlink"/>
                </w:rPr>
                <w:t>site</w:t>
              </w:r>
            </w:hyperlink>
            <w:r w:rsidR="004567FF" w:rsidRPr="00BB1E65">
              <w:rPr>
                <w:rStyle w:val="Hyperlink"/>
                <w:color w:val="auto"/>
                <w:u w:val="none"/>
              </w:rPr>
              <w:t>, and</w:t>
            </w:r>
          </w:p>
          <w:p w14:paraId="5238DEBC" w14:textId="73C4582C" w:rsidR="005E6C01" w:rsidRPr="00BB1E65" w:rsidRDefault="00FE42EC" w:rsidP="00CA1389">
            <w:pPr>
              <w:pStyle w:val="ListParagraph"/>
              <w:numPr>
                <w:ilvl w:val="0"/>
                <w:numId w:val="90"/>
              </w:numPr>
              <w:ind w:left="346" w:hanging="187"/>
            </w:pPr>
            <w:r w:rsidRPr="00BB1E65">
              <w:t xml:space="preserve"> </w:t>
            </w:r>
            <w:hyperlink r:id="rId28" w:history="1">
              <w:r w:rsidRPr="00BB1E65">
                <w:rPr>
                  <w:rStyle w:val="Hyperlink"/>
                  <w:i/>
                </w:rPr>
                <w:t>CAATS User Guide</w:t>
              </w:r>
            </w:hyperlink>
            <w:r w:rsidR="004567FF" w:rsidRPr="00BB1E65">
              <w:rPr>
                <w:rStyle w:val="Hyperlink"/>
                <w:color w:val="auto"/>
                <w:u w:val="none"/>
              </w:rPr>
              <w:t>.</w:t>
            </w:r>
            <w:r w:rsidR="005E6C01" w:rsidRPr="00BB1E65">
              <w:rPr>
                <w:i/>
              </w:rPr>
              <w:t xml:space="preserve"> </w:t>
            </w:r>
          </w:p>
        </w:tc>
      </w:tr>
    </w:tbl>
    <w:p w14:paraId="7F56120A" w14:textId="3A109929" w:rsidR="008410D7" w:rsidRPr="00BB1E65" w:rsidRDefault="008410D7" w:rsidP="008410D7">
      <w:pPr>
        <w:tabs>
          <w:tab w:val="left" w:pos="9360"/>
        </w:tabs>
        <w:ind w:left="1714"/>
      </w:pPr>
      <w:r w:rsidRPr="00BB1E65">
        <w:rPr>
          <w:u w:val="single"/>
        </w:rPr>
        <w:tab/>
      </w:r>
    </w:p>
    <w:p w14:paraId="0A62EA59" w14:textId="77777777" w:rsidR="008410D7" w:rsidRPr="00BB1E65" w:rsidRDefault="008410D7" w:rsidP="00753763"/>
    <w:p w14:paraId="3F72D146" w14:textId="77777777" w:rsidR="00E91F31" w:rsidRPr="00BB1E65" w:rsidRDefault="00E91F31">
      <w:pPr>
        <w:rPr>
          <w:rFonts w:ascii="Arial" w:hAnsi="Arial" w:cs="Arial"/>
          <w:b/>
          <w:bCs/>
          <w:sz w:val="32"/>
          <w:szCs w:val="32"/>
        </w:rPr>
      </w:pPr>
      <w:r w:rsidRPr="00BB1E65">
        <w:br w:type="page"/>
      </w:r>
    </w:p>
    <w:p w14:paraId="1226E523" w14:textId="74FC9A58" w:rsidR="002135EC" w:rsidRPr="00BB1E65" w:rsidRDefault="002135EC" w:rsidP="00753763">
      <w:pPr>
        <w:pStyle w:val="Heading4"/>
        <w:spacing w:after="0"/>
      </w:pPr>
      <w:bookmarkStart w:id="4" w:name="_3._Disability_Benefits"/>
      <w:bookmarkEnd w:id="4"/>
      <w:r w:rsidRPr="00BB1E65">
        <w:lastRenderedPageBreak/>
        <w:t xml:space="preserve">3. </w:t>
      </w:r>
      <w:r w:rsidR="00F55485" w:rsidRPr="00BB1E65">
        <w:t xml:space="preserve"> </w:t>
      </w:r>
      <w:r w:rsidR="00581CF6" w:rsidRPr="00BB1E65">
        <w:t>DBQs</w:t>
      </w:r>
      <w:r w:rsidRPr="00BB1E65">
        <w:t xml:space="preserve"> </w:t>
      </w:r>
    </w:p>
    <w:p w14:paraId="54488713" w14:textId="516FA8C1" w:rsidR="002135EC" w:rsidRPr="00BB1E65" w:rsidRDefault="002135EC" w:rsidP="002135EC">
      <w:pPr>
        <w:tabs>
          <w:tab w:val="left" w:pos="9360"/>
        </w:tabs>
        <w:ind w:left="1714"/>
      </w:pPr>
      <w:r w:rsidRPr="00BB1E65">
        <w:rPr>
          <w:u w:val="single"/>
        </w:rPr>
        <w:tab/>
      </w:r>
    </w:p>
    <w:p w14:paraId="4DDDFE7A" w14:textId="148AF6F8" w:rsidR="002135EC" w:rsidRPr="00BB1E65" w:rsidRDefault="002135EC" w:rsidP="002135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2135EC" w:rsidRPr="00BB1E65" w14:paraId="77D4A03B" w14:textId="77777777" w:rsidTr="00753763">
        <w:tc>
          <w:tcPr>
            <w:tcW w:w="1638" w:type="dxa"/>
            <w:shd w:val="clear" w:color="auto" w:fill="auto"/>
          </w:tcPr>
          <w:p w14:paraId="683A042B" w14:textId="3313EAAD" w:rsidR="002135EC" w:rsidRPr="00BB1E65" w:rsidRDefault="002135EC" w:rsidP="00E218F8">
            <w:pPr>
              <w:pStyle w:val="Heading5"/>
            </w:pPr>
            <w:r w:rsidRPr="00BB1E65">
              <w:t>Introduction</w:t>
            </w:r>
          </w:p>
        </w:tc>
        <w:tc>
          <w:tcPr>
            <w:tcW w:w="7830" w:type="dxa"/>
            <w:shd w:val="clear" w:color="auto" w:fill="auto"/>
          </w:tcPr>
          <w:p w14:paraId="6AEB2938" w14:textId="4F3960DB" w:rsidR="002135EC" w:rsidRPr="00BB1E65" w:rsidRDefault="002135EC" w:rsidP="002135EC">
            <w:r w:rsidRPr="00BB1E65">
              <w:t>This topic contains information about</w:t>
            </w:r>
            <w:r w:rsidR="00F37E15" w:rsidRPr="00BB1E65">
              <w:t xml:space="preserve"> DBQs, including</w:t>
            </w:r>
          </w:p>
          <w:p w14:paraId="62E7C09F" w14:textId="77777777" w:rsidR="002135EC" w:rsidRPr="00BB1E65" w:rsidRDefault="002135EC" w:rsidP="002135EC"/>
          <w:p w14:paraId="3ECE6793" w14:textId="7DC030B5" w:rsidR="002135EC" w:rsidRPr="00BB1E65" w:rsidRDefault="00F37E15" w:rsidP="002135EC">
            <w:pPr>
              <w:pStyle w:val="BulletText1"/>
            </w:pPr>
            <w:r w:rsidRPr="00BB1E65">
              <w:t xml:space="preserve">the definition of </w:t>
            </w:r>
            <w:r w:rsidR="002135EC" w:rsidRPr="00BB1E65">
              <w:t>DBQs</w:t>
            </w:r>
          </w:p>
          <w:p w14:paraId="0F684ABF" w14:textId="7218B8B2" w:rsidR="002135EC" w:rsidRPr="00BB1E65" w:rsidRDefault="002135EC" w:rsidP="002135EC">
            <w:pPr>
              <w:pStyle w:val="BulletText1"/>
            </w:pPr>
            <w:r w:rsidRPr="00BB1E65">
              <w:t>use and acceptance of DBQs for VA examinations and opinions</w:t>
            </w:r>
            <w:r w:rsidR="00083BCD" w:rsidRPr="00BB1E65">
              <w:t>, and</w:t>
            </w:r>
          </w:p>
          <w:p w14:paraId="14BED3EB" w14:textId="346C29D2" w:rsidR="002135EC" w:rsidRPr="00BB1E65" w:rsidRDefault="002135EC" w:rsidP="00661A60">
            <w:pPr>
              <w:pStyle w:val="ListParagraph"/>
              <w:numPr>
                <w:ilvl w:val="0"/>
                <w:numId w:val="79"/>
              </w:numPr>
              <w:ind w:left="158" w:hanging="187"/>
            </w:pPr>
            <w:r w:rsidRPr="00BB1E65">
              <w:t>DBQs and exam cancellations</w:t>
            </w:r>
            <w:r w:rsidR="00083BCD" w:rsidRPr="00BB1E65">
              <w:t>.</w:t>
            </w:r>
          </w:p>
        </w:tc>
      </w:tr>
    </w:tbl>
    <w:p w14:paraId="13D60503" w14:textId="0E83E0A4" w:rsidR="002135EC" w:rsidRPr="00BB1E65" w:rsidRDefault="008621E8" w:rsidP="008621E8">
      <w:pPr>
        <w:tabs>
          <w:tab w:val="left" w:pos="9360"/>
        </w:tabs>
        <w:ind w:left="1714"/>
      </w:pPr>
      <w:r w:rsidRPr="00BB1E65">
        <w:rPr>
          <w:u w:val="single"/>
        </w:rPr>
        <w:tab/>
      </w:r>
    </w:p>
    <w:p w14:paraId="6E54BB66" w14:textId="77777777" w:rsidR="008621E8" w:rsidRPr="00BB1E65" w:rsidRDefault="008621E8" w:rsidP="00753763"/>
    <w:tbl>
      <w:tblPr>
        <w:tblW w:w="0" w:type="auto"/>
        <w:tblInd w:w="-106" w:type="dxa"/>
        <w:tblLayout w:type="fixed"/>
        <w:tblLook w:val="0000" w:firstRow="0" w:lastRow="0" w:firstColumn="0" w:lastColumn="0" w:noHBand="0" w:noVBand="0"/>
      </w:tblPr>
      <w:tblGrid>
        <w:gridCol w:w="1728"/>
        <w:gridCol w:w="7740"/>
      </w:tblGrid>
      <w:tr w:rsidR="003814ED" w:rsidRPr="00BB1E65" w14:paraId="485102B3" w14:textId="77777777" w:rsidTr="00DF1F30">
        <w:trPr>
          <w:cantSplit/>
        </w:trPr>
        <w:tc>
          <w:tcPr>
            <w:tcW w:w="1728" w:type="dxa"/>
            <w:tcBorders>
              <w:top w:val="nil"/>
              <w:left w:val="nil"/>
              <w:bottom w:val="nil"/>
              <w:right w:val="nil"/>
            </w:tcBorders>
          </w:tcPr>
          <w:p w14:paraId="6F99D819" w14:textId="77777777" w:rsidR="003814ED" w:rsidRPr="00BB1E65" w:rsidRDefault="003814ED" w:rsidP="00DF1F30">
            <w:pPr>
              <w:pStyle w:val="Heading5"/>
            </w:pPr>
            <w:r w:rsidRPr="00BB1E65">
              <w:t>Change Date</w:t>
            </w:r>
          </w:p>
        </w:tc>
        <w:tc>
          <w:tcPr>
            <w:tcW w:w="7740" w:type="dxa"/>
            <w:tcBorders>
              <w:top w:val="nil"/>
              <w:left w:val="nil"/>
              <w:bottom w:val="nil"/>
              <w:right w:val="nil"/>
            </w:tcBorders>
          </w:tcPr>
          <w:p w14:paraId="7C043422" w14:textId="61D9FE77" w:rsidR="003814ED" w:rsidRPr="00BB1E65" w:rsidRDefault="00381D0E" w:rsidP="00DF1F30">
            <w:pPr>
              <w:pStyle w:val="BlockText"/>
            </w:pPr>
            <w:r w:rsidRPr="00BB1E65">
              <w:t>October 9, 2015</w:t>
            </w:r>
          </w:p>
        </w:tc>
      </w:tr>
    </w:tbl>
    <w:p w14:paraId="084C3BAC" w14:textId="52D334E4" w:rsidR="003814ED" w:rsidRPr="00BB1E65" w:rsidRDefault="003814ED" w:rsidP="003814ED">
      <w:pPr>
        <w:tabs>
          <w:tab w:val="left" w:pos="9360"/>
        </w:tabs>
        <w:ind w:left="1714"/>
      </w:pPr>
      <w:r w:rsidRPr="00BB1E65">
        <w:rPr>
          <w:u w:val="single"/>
        </w:rPr>
        <w:tab/>
      </w:r>
    </w:p>
    <w:p w14:paraId="0D6F779B" w14:textId="77777777" w:rsidR="003814ED" w:rsidRPr="00BB1E65" w:rsidRDefault="003814ED" w:rsidP="00753763"/>
    <w:tbl>
      <w:tblPr>
        <w:tblW w:w="0" w:type="auto"/>
        <w:tblInd w:w="-72" w:type="dxa"/>
        <w:tblLayout w:type="fixed"/>
        <w:tblLook w:val="0000" w:firstRow="0" w:lastRow="0" w:firstColumn="0" w:lastColumn="0" w:noHBand="0" w:noVBand="0"/>
      </w:tblPr>
      <w:tblGrid>
        <w:gridCol w:w="1710"/>
        <w:gridCol w:w="7740"/>
      </w:tblGrid>
      <w:tr w:rsidR="008621E8" w:rsidRPr="00BB1E65" w14:paraId="0A9CA2DA" w14:textId="77777777" w:rsidTr="00753763">
        <w:tc>
          <w:tcPr>
            <w:tcW w:w="1710" w:type="dxa"/>
            <w:tcBorders>
              <w:top w:val="nil"/>
              <w:left w:val="nil"/>
              <w:bottom w:val="nil"/>
              <w:right w:val="nil"/>
            </w:tcBorders>
          </w:tcPr>
          <w:p w14:paraId="331E4EE2" w14:textId="6745A03A" w:rsidR="008621E8" w:rsidRPr="00BB1E65" w:rsidRDefault="00890BDC" w:rsidP="00890BDC">
            <w:pPr>
              <w:pStyle w:val="Heading5"/>
              <w:rPr>
                <w:lang w:val="fr-CA"/>
              </w:rPr>
            </w:pPr>
            <w:r w:rsidRPr="00BB1E65">
              <w:t xml:space="preserve">a.  </w:t>
            </w:r>
            <w:r w:rsidR="00F37E15" w:rsidRPr="00BB1E65">
              <w:t xml:space="preserve">Definition:  </w:t>
            </w:r>
            <w:r w:rsidR="008621E8" w:rsidRPr="00BB1E65">
              <w:t xml:space="preserve">DBQs </w:t>
            </w:r>
          </w:p>
        </w:tc>
        <w:tc>
          <w:tcPr>
            <w:tcW w:w="7740" w:type="dxa"/>
            <w:tcBorders>
              <w:top w:val="nil"/>
              <w:left w:val="nil"/>
              <w:bottom w:val="nil"/>
              <w:right w:val="nil"/>
            </w:tcBorders>
          </w:tcPr>
          <w:p w14:paraId="2CC51117" w14:textId="666BF20E" w:rsidR="008621E8" w:rsidRPr="00BB1E65" w:rsidRDefault="008621E8" w:rsidP="00DF1F30">
            <w:pPr>
              <w:pStyle w:val="BlockText"/>
            </w:pPr>
            <w:r w:rsidRPr="00BB1E65">
              <w:rPr>
                <w:b/>
                <w:i/>
              </w:rPr>
              <w:t>DBQs</w:t>
            </w:r>
            <w:r w:rsidRPr="00BB1E65">
              <w:t xml:space="preserve"> are documents used to</w:t>
            </w:r>
          </w:p>
          <w:p w14:paraId="5631E0F8" w14:textId="77777777" w:rsidR="00F37E15" w:rsidRPr="00BB1E65" w:rsidRDefault="00F37E15" w:rsidP="00DF1F30">
            <w:pPr>
              <w:pStyle w:val="BlockText"/>
            </w:pPr>
          </w:p>
          <w:p w14:paraId="1F2D62CB" w14:textId="77777777" w:rsidR="008621E8" w:rsidRPr="00BB1E65" w:rsidRDefault="008621E8" w:rsidP="00DF1F30">
            <w:pPr>
              <w:pStyle w:val="BulletText1"/>
            </w:pPr>
            <w:r w:rsidRPr="00BB1E65">
              <w:t>elicit medical information needed to make decisions on claims, and</w:t>
            </w:r>
          </w:p>
          <w:p w14:paraId="2B33CB82" w14:textId="77777777" w:rsidR="008621E8" w:rsidRPr="00BB1E65" w:rsidRDefault="008621E8" w:rsidP="00DF1F30">
            <w:pPr>
              <w:pStyle w:val="BulletText1"/>
            </w:pPr>
            <w:r w:rsidRPr="00BB1E65">
              <w:t>provide a standardized report format for medical examinations and opinions.</w:t>
            </w:r>
          </w:p>
          <w:p w14:paraId="7D12F1D2" w14:textId="77777777" w:rsidR="008621E8" w:rsidRPr="00BB1E65" w:rsidRDefault="008621E8" w:rsidP="00DF1F30">
            <w:pPr>
              <w:pStyle w:val="BlockText"/>
            </w:pPr>
          </w:p>
          <w:p w14:paraId="5AD3FCF3" w14:textId="7F9F420B" w:rsidR="008621E8" w:rsidRPr="00BB1E65" w:rsidRDefault="008621E8" w:rsidP="00DF1F30">
            <w:pPr>
              <w:pStyle w:val="BlockText"/>
            </w:pPr>
            <w:r w:rsidRPr="00BB1E65">
              <w:t xml:space="preserve">DBQs are designed for both </w:t>
            </w:r>
            <w:r w:rsidR="00F37E15" w:rsidRPr="00BB1E65">
              <w:t xml:space="preserve">internal use by </w:t>
            </w:r>
            <w:r w:rsidRPr="00BB1E65">
              <w:t>the VHA and contract examiners</w:t>
            </w:r>
            <w:r w:rsidR="00F37E15" w:rsidRPr="00BB1E65">
              <w:t>.  The majority of DBQs are also approved for</w:t>
            </w:r>
            <w:r w:rsidRPr="00BB1E65">
              <w:t xml:space="preserve"> </w:t>
            </w:r>
            <w:r w:rsidR="00F37E15" w:rsidRPr="00BB1E65">
              <w:t xml:space="preserve">public use by </w:t>
            </w:r>
            <w:r w:rsidRPr="00BB1E65">
              <w:t xml:space="preserve">private providers. </w:t>
            </w:r>
          </w:p>
          <w:p w14:paraId="119BD344" w14:textId="77777777" w:rsidR="008621E8" w:rsidRPr="00BB1E65" w:rsidRDefault="008621E8" w:rsidP="00DF1F30">
            <w:pPr>
              <w:pStyle w:val="BlockText"/>
            </w:pPr>
          </w:p>
          <w:p w14:paraId="56DCB127" w14:textId="77777777" w:rsidR="00F37E15" w:rsidRPr="00BB1E65" w:rsidRDefault="008621E8" w:rsidP="00D65FA5">
            <w:pPr>
              <w:pStyle w:val="BlockText"/>
            </w:pPr>
            <w:r w:rsidRPr="00BB1E65">
              <w:rPr>
                <w:b/>
                <w:bCs/>
                <w:i/>
                <w:iCs/>
              </w:rPr>
              <w:t>Reference</w:t>
            </w:r>
            <w:r w:rsidR="00F37E15" w:rsidRPr="00BB1E65">
              <w:rPr>
                <w:b/>
                <w:bCs/>
                <w:i/>
                <w:iCs/>
              </w:rPr>
              <w:t>s</w:t>
            </w:r>
            <w:r w:rsidRPr="00BB1E65">
              <w:t xml:space="preserve">:  For more information on </w:t>
            </w:r>
          </w:p>
          <w:p w14:paraId="25C079D7" w14:textId="6B850573" w:rsidR="008621E8" w:rsidRPr="00BB1E65" w:rsidRDefault="008621E8" w:rsidP="00661A60">
            <w:pPr>
              <w:pStyle w:val="ListParagraph"/>
              <w:numPr>
                <w:ilvl w:val="0"/>
                <w:numId w:val="39"/>
              </w:numPr>
              <w:ind w:left="158" w:hanging="187"/>
            </w:pPr>
            <w:r w:rsidRPr="00BB1E65">
              <w:t>DBQs, see</w:t>
            </w:r>
          </w:p>
          <w:p w14:paraId="640EE4B3" w14:textId="06C01AE3" w:rsidR="008621E8" w:rsidRPr="00BB1E65" w:rsidRDefault="008621E8" w:rsidP="00661A60">
            <w:pPr>
              <w:pStyle w:val="ListParagraph"/>
              <w:numPr>
                <w:ilvl w:val="0"/>
                <w:numId w:val="38"/>
              </w:numPr>
              <w:ind w:left="346" w:hanging="187"/>
            </w:pPr>
            <w:r w:rsidRPr="00BB1E65">
              <w:t xml:space="preserve">VA’s </w:t>
            </w:r>
            <w:hyperlink r:id="rId29" w:history="1">
              <w:r w:rsidRPr="00BB1E65">
                <w:rPr>
                  <w:rStyle w:val="Hyperlink"/>
                </w:rPr>
                <w:t>Forms web</w:t>
              </w:r>
              <w:r w:rsidR="00DD5195" w:rsidRPr="00BB1E65">
                <w:rPr>
                  <w:rStyle w:val="Hyperlink"/>
                </w:rPr>
                <w:t xml:space="preserve"> </w:t>
              </w:r>
              <w:r w:rsidRPr="00BB1E65">
                <w:rPr>
                  <w:rStyle w:val="Hyperlink"/>
                </w:rPr>
                <w:t>site</w:t>
              </w:r>
            </w:hyperlink>
            <w:r w:rsidRPr="00BB1E65">
              <w:t>, and</w:t>
            </w:r>
          </w:p>
          <w:p w14:paraId="54B0A685" w14:textId="17C2443C" w:rsidR="00F37E15" w:rsidRPr="00BB1E65" w:rsidRDefault="008621E8" w:rsidP="00661A60">
            <w:pPr>
              <w:pStyle w:val="ListParagraph"/>
              <w:numPr>
                <w:ilvl w:val="0"/>
                <w:numId w:val="38"/>
              </w:numPr>
              <w:ind w:left="346" w:hanging="187"/>
              <w:rPr>
                <w:rStyle w:val="Hyperlink"/>
                <w:color w:val="000000"/>
                <w:u w:val="none"/>
                <w:lang w:val="fr-CA"/>
              </w:rPr>
            </w:pPr>
            <w:r w:rsidRPr="00BB1E65">
              <w:t xml:space="preserve">VA’s </w:t>
            </w:r>
            <w:hyperlink r:id="rId30" w:history="1">
              <w:r w:rsidRPr="00BB1E65">
                <w:rPr>
                  <w:rStyle w:val="Hyperlink"/>
                </w:rPr>
                <w:t>DBQ switchboard</w:t>
              </w:r>
            </w:hyperlink>
            <w:r w:rsidR="00F37E15" w:rsidRPr="00BB1E65">
              <w:rPr>
                <w:rStyle w:val="Hyperlink"/>
                <w:color w:val="auto"/>
                <w:u w:val="none"/>
              </w:rPr>
              <w:t>, and</w:t>
            </w:r>
          </w:p>
          <w:p w14:paraId="2A689EB1" w14:textId="35E10126" w:rsidR="008621E8" w:rsidRPr="00BB1E65" w:rsidRDefault="00F37E15" w:rsidP="00661A60">
            <w:pPr>
              <w:pStyle w:val="ListParagraph"/>
              <w:numPr>
                <w:ilvl w:val="0"/>
                <w:numId w:val="40"/>
              </w:numPr>
              <w:ind w:left="158" w:hanging="187"/>
              <w:rPr>
                <w:lang w:val="fr-CA"/>
              </w:rPr>
            </w:pPr>
            <w:r w:rsidRPr="00BB1E65">
              <w:t>DBQs</w:t>
            </w:r>
            <w:r w:rsidR="00083BCD" w:rsidRPr="00BB1E65">
              <w:t xml:space="preserve"> submitted from a health</w:t>
            </w:r>
            <w:r w:rsidR="004F230A" w:rsidRPr="00BB1E65">
              <w:t xml:space="preserve"> </w:t>
            </w:r>
            <w:r w:rsidR="00083BCD" w:rsidRPr="00BB1E65">
              <w:t>care provider</w:t>
            </w:r>
            <w:r w:rsidRPr="00BB1E65">
              <w:t>, see M21-1, Part III, Subpart iv, 3.</w:t>
            </w:r>
            <w:r w:rsidR="00083BCD" w:rsidRPr="00BB1E65">
              <w:t>D.2</w:t>
            </w:r>
            <w:r w:rsidR="008621E8" w:rsidRPr="00BB1E65">
              <w:t>.</w:t>
            </w:r>
            <w:r w:rsidR="00083BCD" w:rsidRPr="00BB1E65">
              <w:t>d.</w:t>
            </w:r>
          </w:p>
        </w:tc>
      </w:tr>
    </w:tbl>
    <w:p w14:paraId="69091C0F" w14:textId="17F119E8" w:rsidR="008621E8" w:rsidRPr="00BB1E65" w:rsidRDefault="00E91F31" w:rsidP="00E91F31">
      <w:pPr>
        <w:tabs>
          <w:tab w:val="left" w:pos="9360"/>
        </w:tabs>
        <w:ind w:left="1714"/>
      </w:pPr>
      <w:r w:rsidRPr="00BB1E65">
        <w:rPr>
          <w:u w:val="single"/>
        </w:rPr>
        <w:tab/>
      </w:r>
    </w:p>
    <w:p w14:paraId="0BCC671A" w14:textId="77777777" w:rsidR="008621E8" w:rsidRPr="00BB1E65" w:rsidRDefault="008621E8" w:rsidP="00753763"/>
    <w:tbl>
      <w:tblPr>
        <w:tblW w:w="0" w:type="auto"/>
        <w:tblInd w:w="-106" w:type="dxa"/>
        <w:tblLayout w:type="fixed"/>
        <w:tblLook w:val="0000" w:firstRow="0" w:lastRow="0" w:firstColumn="0" w:lastColumn="0" w:noHBand="0" w:noVBand="0"/>
      </w:tblPr>
      <w:tblGrid>
        <w:gridCol w:w="1728"/>
        <w:gridCol w:w="7740"/>
      </w:tblGrid>
      <w:tr w:rsidR="008621E8" w:rsidRPr="00BB1E65" w14:paraId="52650FBD" w14:textId="77777777" w:rsidTr="00DF1F30">
        <w:trPr>
          <w:trHeight w:val="450"/>
        </w:trPr>
        <w:tc>
          <w:tcPr>
            <w:tcW w:w="1728" w:type="dxa"/>
            <w:tcBorders>
              <w:top w:val="nil"/>
              <w:left w:val="nil"/>
              <w:bottom w:val="nil"/>
              <w:right w:val="nil"/>
            </w:tcBorders>
          </w:tcPr>
          <w:p w14:paraId="6345C4BF" w14:textId="5CC4AE9B" w:rsidR="008621E8" w:rsidRPr="00BB1E65" w:rsidRDefault="008621E8" w:rsidP="00DF1F30">
            <w:pPr>
              <w:pStyle w:val="Heading5"/>
              <w:rPr>
                <w:lang w:val="fr-CA"/>
              </w:rPr>
            </w:pPr>
            <w:r w:rsidRPr="00BB1E65">
              <w:t>b.  Use and Acceptance of DBQs for VA Examinations and Opinions</w:t>
            </w:r>
          </w:p>
        </w:tc>
        <w:tc>
          <w:tcPr>
            <w:tcW w:w="7740" w:type="dxa"/>
            <w:tcBorders>
              <w:top w:val="nil"/>
              <w:left w:val="nil"/>
              <w:bottom w:val="nil"/>
              <w:right w:val="nil"/>
            </w:tcBorders>
          </w:tcPr>
          <w:p w14:paraId="0699B4DF" w14:textId="77777777" w:rsidR="008621E8" w:rsidRPr="00BB1E65" w:rsidRDefault="008621E8" w:rsidP="00DF1F30">
            <w:pPr>
              <w:pStyle w:val="BlockText"/>
            </w:pPr>
            <w:r w:rsidRPr="00BB1E65">
              <w:t xml:space="preserve">Use of DBQs to record the results of VA examinations and medical opinions is required.  </w:t>
            </w:r>
          </w:p>
          <w:p w14:paraId="51BC8E8D" w14:textId="77777777" w:rsidR="008621E8" w:rsidRPr="00BB1E65" w:rsidRDefault="008621E8" w:rsidP="00DF1F30">
            <w:pPr>
              <w:pStyle w:val="BlockText"/>
            </w:pPr>
          </w:p>
          <w:p w14:paraId="49B59243" w14:textId="77777777" w:rsidR="008621E8" w:rsidRPr="00BB1E65" w:rsidRDefault="008621E8" w:rsidP="00DF1F30">
            <w:pPr>
              <w:pStyle w:val="BlockText"/>
            </w:pPr>
            <w:r w:rsidRPr="00BB1E65">
              <w:t xml:space="preserve">However, if there is not a DBQ appropriate for a particular type of examination, or examination results or an opinion are submitted in another format, </w:t>
            </w:r>
            <w:r w:rsidRPr="00BB1E65">
              <w:rPr>
                <w:b/>
                <w:bCs/>
                <w:i/>
                <w:iCs/>
              </w:rPr>
              <w:t>do not</w:t>
            </w:r>
            <w:r w:rsidRPr="00BB1E65">
              <w:t xml:space="preserve"> return the report as insufficient for rating purposes </w:t>
            </w:r>
            <w:r w:rsidRPr="00BB1E65">
              <w:rPr>
                <w:b/>
                <w:bCs/>
                <w:i/>
                <w:iCs/>
              </w:rPr>
              <w:t>on that basis alone</w:t>
            </w:r>
            <w:r w:rsidRPr="00BB1E65">
              <w:t xml:space="preserve">. </w:t>
            </w:r>
          </w:p>
          <w:p w14:paraId="55B8E26A" w14:textId="77777777" w:rsidR="008621E8" w:rsidRPr="00BB1E65" w:rsidRDefault="008621E8" w:rsidP="00DF1F30">
            <w:pPr>
              <w:pStyle w:val="BlockText"/>
            </w:pPr>
          </w:p>
          <w:p w14:paraId="0E083A48" w14:textId="597A77A5" w:rsidR="00DF3F52" w:rsidRPr="00BB1E65" w:rsidRDefault="006B14D3" w:rsidP="00DF3F52">
            <w:r w:rsidRPr="00BB1E65">
              <w:t>In lieu of a DBQ completed by a VA exam</w:t>
            </w:r>
            <w:r w:rsidR="0005187B" w:rsidRPr="00BB1E65">
              <w:t>iner or contract examiner</w:t>
            </w:r>
            <w:r w:rsidRPr="00BB1E65">
              <w:t>, d</w:t>
            </w:r>
            <w:r w:rsidR="00DF3F52" w:rsidRPr="00BB1E65">
              <w:t xml:space="preserve">ecision makers </w:t>
            </w:r>
            <w:r w:rsidRPr="00BB1E65">
              <w:t xml:space="preserve">can accept </w:t>
            </w:r>
          </w:p>
          <w:p w14:paraId="4EB9520C" w14:textId="77777777" w:rsidR="00DF3F52" w:rsidRPr="00BB1E65" w:rsidRDefault="00DF3F52" w:rsidP="00DF3F52"/>
          <w:p w14:paraId="13C5C5FD" w14:textId="009155BA" w:rsidR="00DF3F52" w:rsidRPr="00BB1E65" w:rsidRDefault="00DF3F52" w:rsidP="00CA1389">
            <w:pPr>
              <w:pStyle w:val="ListParagraph"/>
              <w:numPr>
                <w:ilvl w:val="0"/>
                <w:numId w:val="91"/>
              </w:numPr>
              <w:ind w:left="158" w:hanging="187"/>
            </w:pPr>
            <w:r w:rsidRPr="00BB1E65">
              <w:t>a DBQ</w:t>
            </w:r>
            <w:r w:rsidR="006B14D3" w:rsidRPr="00BB1E65">
              <w:t>,</w:t>
            </w:r>
            <w:r w:rsidRPr="00BB1E65">
              <w:t xml:space="preserve"> other </w:t>
            </w:r>
            <w:r w:rsidR="0005187B" w:rsidRPr="00BB1E65">
              <w:t>medical</w:t>
            </w:r>
            <w:r w:rsidRPr="00BB1E65">
              <w:t xml:space="preserve"> report</w:t>
            </w:r>
            <w:r w:rsidR="006B14D3" w:rsidRPr="00BB1E65">
              <w:t xml:space="preserve">, or </w:t>
            </w:r>
            <w:r w:rsidRPr="00BB1E65">
              <w:t xml:space="preserve">medical opinion completed by a VA or private health care provider, </w:t>
            </w:r>
            <w:r w:rsidR="006B14D3" w:rsidRPr="00BB1E65">
              <w:t>or</w:t>
            </w:r>
            <w:r w:rsidRPr="00BB1E65">
              <w:t xml:space="preserve"> </w:t>
            </w:r>
          </w:p>
          <w:p w14:paraId="2CAE5C7F" w14:textId="37B74352" w:rsidR="00083BCD" w:rsidRPr="00BB1E65" w:rsidRDefault="008621E8" w:rsidP="00CA1389">
            <w:pPr>
              <w:pStyle w:val="ListParagraph"/>
              <w:numPr>
                <w:ilvl w:val="0"/>
                <w:numId w:val="92"/>
              </w:numPr>
              <w:ind w:left="158" w:hanging="187"/>
            </w:pPr>
            <w:r w:rsidRPr="00BB1E65">
              <w:t xml:space="preserve">examination results </w:t>
            </w:r>
            <w:r w:rsidR="00DF3F52" w:rsidRPr="00BB1E65">
              <w:t xml:space="preserve">not </w:t>
            </w:r>
            <w:r w:rsidRPr="00BB1E65">
              <w:t>reported using a DBQ</w:t>
            </w:r>
            <w:r w:rsidR="006B14D3" w:rsidRPr="00BB1E65">
              <w:t xml:space="preserve"> if </w:t>
            </w:r>
            <w:r w:rsidR="00DF3F52" w:rsidRPr="00BB1E65">
              <w:t xml:space="preserve">the </w:t>
            </w:r>
            <w:r w:rsidR="0005187B" w:rsidRPr="00BB1E65">
              <w:t xml:space="preserve">DBQ, </w:t>
            </w:r>
            <w:r w:rsidRPr="00BB1E65">
              <w:t>examination</w:t>
            </w:r>
            <w:r w:rsidR="00DF3F52" w:rsidRPr="00BB1E65">
              <w:t>, medical report, or opinion</w:t>
            </w:r>
            <w:r w:rsidRPr="00BB1E65">
              <w:t xml:space="preserve"> includes the findings and conclusions necessary to make the needed regulatory determinations on the issues</w:t>
            </w:r>
            <w:r w:rsidR="007D0EFC" w:rsidRPr="00BB1E65">
              <w:t xml:space="preserve"> as described in</w:t>
            </w:r>
            <w:r w:rsidRPr="00BB1E65">
              <w:t xml:space="preserve"> </w:t>
            </w:r>
            <w:hyperlink r:id="rId31" w:history="1">
              <w:r w:rsidRPr="00BB1E65">
                <w:rPr>
                  <w:rStyle w:val="Hyperlink"/>
                </w:rPr>
                <w:t>38 CFR 3.326</w:t>
              </w:r>
            </w:hyperlink>
            <w:r w:rsidR="00B340D8" w:rsidRPr="00BB1E65">
              <w:t xml:space="preserve"> and</w:t>
            </w:r>
            <w:r w:rsidRPr="00BB1E65">
              <w:t xml:space="preserve"> </w:t>
            </w:r>
            <w:hyperlink r:id="rId32" w:history="1">
              <w:r w:rsidRPr="00BB1E65">
                <w:rPr>
                  <w:rStyle w:val="Hyperlink"/>
                </w:rPr>
                <w:t>38 CFR 4.2</w:t>
              </w:r>
            </w:hyperlink>
            <w:r w:rsidRPr="00BB1E65">
              <w:t>.</w:t>
            </w:r>
          </w:p>
          <w:p w14:paraId="25029429" w14:textId="77777777" w:rsidR="008621E8" w:rsidRPr="00BB1E65" w:rsidRDefault="008621E8" w:rsidP="00DF1F30">
            <w:pPr>
              <w:pStyle w:val="BlockText"/>
            </w:pPr>
          </w:p>
          <w:p w14:paraId="6EFAA2A9" w14:textId="5494DA29" w:rsidR="008621E8" w:rsidRPr="00BB1E65" w:rsidRDefault="008621E8" w:rsidP="00DF1F30">
            <w:pPr>
              <w:pStyle w:val="BlockText"/>
            </w:pPr>
            <w:r w:rsidRPr="00BB1E65">
              <w:rPr>
                <w:b/>
                <w:bCs/>
                <w:i/>
                <w:iCs/>
              </w:rPr>
              <w:lastRenderedPageBreak/>
              <w:t>References</w:t>
            </w:r>
            <w:r w:rsidRPr="00BB1E65">
              <w:t>:  For more information on</w:t>
            </w:r>
          </w:p>
          <w:p w14:paraId="203F2F53" w14:textId="05376A8B" w:rsidR="008621E8" w:rsidRPr="00BB1E65" w:rsidRDefault="008621E8" w:rsidP="00DF1F30">
            <w:pPr>
              <w:pStyle w:val="BulletText1"/>
            </w:pPr>
            <w:r w:rsidRPr="00BB1E65">
              <w:t xml:space="preserve">examination requirements and insufficient exams, see </w:t>
            </w:r>
            <w:r w:rsidR="003B592C" w:rsidRPr="00BB1E65">
              <w:t>M21-1, Part III, Subpart iv, 3.D</w:t>
            </w:r>
          </w:p>
          <w:p w14:paraId="650CA7EF" w14:textId="5D2F08F8" w:rsidR="00B340D8" w:rsidRPr="00BB1E65" w:rsidRDefault="00B340D8" w:rsidP="00DF1F30">
            <w:pPr>
              <w:pStyle w:val="BulletText1"/>
            </w:pPr>
            <w:r w:rsidRPr="00BB1E65">
              <w:rPr>
                <w:bCs/>
              </w:rPr>
              <w:t>DBQs completed by VA or non-VA health care providers, see M21-1, Part III, Subpart iv, 3.D.2.d</w:t>
            </w:r>
          </w:p>
          <w:p w14:paraId="5FFEDC40" w14:textId="1D485A6F" w:rsidR="008621E8" w:rsidRPr="00BB1E65" w:rsidRDefault="008621E8" w:rsidP="00661A60">
            <w:pPr>
              <w:pStyle w:val="ListParagraph"/>
              <w:numPr>
                <w:ilvl w:val="0"/>
                <w:numId w:val="41"/>
              </w:numPr>
              <w:ind w:left="158" w:hanging="187"/>
            </w:pPr>
            <w:r w:rsidRPr="00BB1E65">
              <w:t>returning examination reports as insufficient for rating purposes in CAPRI, see</w:t>
            </w:r>
            <w:r w:rsidR="00F37E15" w:rsidRPr="00BB1E65">
              <w:t xml:space="preserve"> </w:t>
            </w:r>
            <w:r w:rsidRPr="00BB1E65">
              <w:t xml:space="preserve">the </w:t>
            </w:r>
            <w:hyperlink r:id="rId33" w:history="1">
              <w:r w:rsidRPr="00BB1E65">
                <w:rPr>
                  <w:rStyle w:val="Hyperlink"/>
                  <w:i/>
                </w:rPr>
                <w:t>CAPRI User’s Guide</w:t>
              </w:r>
            </w:hyperlink>
          </w:p>
          <w:p w14:paraId="4F547118" w14:textId="7AE7A3A2" w:rsidR="008621E8" w:rsidRPr="00BB1E65" w:rsidRDefault="008621E8" w:rsidP="00DF1F30">
            <w:pPr>
              <w:pStyle w:val="BulletText1"/>
            </w:pPr>
            <w:r w:rsidRPr="00BB1E65">
              <w:t xml:space="preserve">evaluating evidence generally, see </w:t>
            </w:r>
            <w:r w:rsidR="008D5202" w:rsidRPr="00BB1E65">
              <w:t>M21-1, Part III, Subpart iv, 5</w:t>
            </w:r>
            <w:r w:rsidRPr="00BB1E65">
              <w:t>, and</w:t>
            </w:r>
          </w:p>
          <w:p w14:paraId="75838A7F" w14:textId="1020CED3" w:rsidR="008621E8" w:rsidRPr="00BB1E65" w:rsidRDefault="008621E8" w:rsidP="008C3080">
            <w:pPr>
              <w:pStyle w:val="BulletText1"/>
            </w:pPr>
            <w:r w:rsidRPr="00BB1E65">
              <w:t xml:space="preserve">VA’s authority to develop for all evidence sufficient to render an informed decision, see </w:t>
            </w:r>
            <w:hyperlink r:id="rId34" w:anchor="bmd" w:history="1">
              <w:r w:rsidRPr="00BB1E65">
                <w:rPr>
                  <w:rStyle w:val="Hyperlink"/>
                  <w:i/>
                  <w:iCs/>
                </w:rPr>
                <w:t>Douglas v. Shinseki</w:t>
              </w:r>
            </w:hyperlink>
            <w:r w:rsidRPr="00BB1E65">
              <w:rPr>
                <w:i/>
                <w:iCs/>
              </w:rPr>
              <w:t>,</w:t>
            </w:r>
            <w:r w:rsidRPr="00BB1E65">
              <w:t xml:space="preserve"> 23 </w:t>
            </w:r>
            <w:proofErr w:type="spellStart"/>
            <w:r w:rsidRPr="00BB1E65">
              <w:t>Vet.App</w:t>
            </w:r>
            <w:proofErr w:type="spellEnd"/>
            <w:r w:rsidRPr="00BB1E65">
              <w:t xml:space="preserve">. 19, 24, 25-26 (2009).  </w:t>
            </w:r>
          </w:p>
        </w:tc>
      </w:tr>
    </w:tbl>
    <w:p w14:paraId="0A19AB31" w14:textId="51B5D3A8" w:rsidR="008621E8" w:rsidRPr="00BB1E65" w:rsidRDefault="008621E8" w:rsidP="008621E8">
      <w:pPr>
        <w:tabs>
          <w:tab w:val="left" w:pos="9360"/>
        </w:tabs>
        <w:ind w:left="1714"/>
      </w:pPr>
      <w:r w:rsidRPr="00BB1E65">
        <w:rPr>
          <w:u w:val="single"/>
        </w:rPr>
        <w:lastRenderedPageBreak/>
        <w:tab/>
      </w:r>
    </w:p>
    <w:p w14:paraId="15C92F00" w14:textId="77777777" w:rsidR="008621E8" w:rsidRPr="00BB1E65" w:rsidRDefault="008621E8" w:rsidP="008621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8621E8" w:rsidRPr="00BB1E65" w14:paraId="686F43C2" w14:textId="77777777" w:rsidTr="00DF1F30">
        <w:tc>
          <w:tcPr>
            <w:tcW w:w="1638" w:type="dxa"/>
            <w:shd w:val="clear" w:color="auto" w:fill="auto"/>
          </w:tcPr>
          <w:p w14:paraId="621CCF51" w14:textId="55AB364A" w:rsidR="008621E8" w:rsidRPr="00BB1E65" w:rsidRDefault="008621E8" w:rsidP="008C3080">
            <w:pPr>
              <w:rPr>
                <w:b/>
                <w:sz w:val="22"/>
              </w:rPr>
            </w:pPr>
            <w:r w:rsidRPr="00BB1E65">
              <w:rPr>
                <w:b/>
                <w:sz w:val="22"/>
              </w:rPr>
              <w:t>c.  DBQs and Exam Cancellations</w:t>
            </w:r>
            <w:r w:rsidRPr="00BB1E65">
              <w:rPr>
                <w:b/>
                <w:sz w:val="22"/>
              </w:rPr>
              <w:tab/>
            </w:r>
          </w:p>
        </w:tc>
        <w:tc>
          <w:tcPr>
            <w:tcW w:w="7830" w:type="dxa"/>
            <w:shd w:val="clear" w:color="auto" w:fill="auto"/>
          </w:tcPr>
          <w:p w14:paraId="064A38BC" w14:textId="6E1FE075" w:rsidR="008621E8" w:rsidRPr="00BB1E65" w:rsidRDefault="008621E8" w:rsidP="00890BDC">
            <w:r w:rsidRPr="00BB1E65">
              <w:t>Use the table below for information on how to handle cases when notified by VHA that a scheduled examination(s) has been cancelled because the claimant intends on submitting a DBQ completed from his/her primary physician.  RO personnel must attempt to contact the claimant, via telephone, prior to making a rating decision.</w:t>
            </w:r>
          </w:p>
        </w:tc>
      </w:tr>
    </w:tbl>
    <w:p w14:paraId="0F8763EA" w14:textId="77777777" w:rsidR="008621E8" w:rsidRPr="00BB1E65" w:rsidRDefault="008621E8" w:rsidP="008621E8"/>
    <w:tbl>
      <w:tblPr>
        <w:tblStyle w:val="TableGrid"/>
        <w:tblW w:w="7830" w:type="dxa"/>
        <w:tblInd w:w="1638" w:type="dxa"/>
        <w:tblLook w:val="04A0" w:firstRow="1" w:lastRow="0" w:firstColumn="1" w:lastColumn="0" w:noHBand="0" w:noVBand="1"/>
      </w:tblPr>
      <w:tblGrid>
        <w:gridCol w:w="2610"/>
        <w:gridCol w:w="5220"/>
      </w:tblGrid>
      <w:tr w:rsidR="008621E8" w:rsidRPr="00BB1E65" w14:paraId="32D81C63" w14:textId="77777777" w:rsidTr="00DF1F30">
        <w:tc>
          <w:tcPr>
            <w:tcW w:w="2610" w:type="dxa"/>
          </w:tcPr>
          <w:p w14:paraId="5810B3D7" w14:textId="77777777" w:rsidR="008621E8" w:rsidRPr="00BB1E65" w:rsidRDefault="008621E8" w:rsidP="00DF1F30">
            <w:pPr>
              <w:rPr>
                <w:b/>
              </w:rPr>
            </w:pPr>
            <w:r w:rsidRPr="00BB1E65">
              <w:rPr>
                <w:b/>
              </w:rPr>
              <w:t>If telephone contact ...</w:t>
            </w:r>
          </w:p>
        </w:tc>
        <w:tc>
          <w:tcPr>
            <w:tcW w:w="5220" w:type="dxa"/>
          </w:tcPr>
          <w:p w14:paraId="13D022EA" w14:textId="77777777" w:rsidR="008621E8" w:rsidRPr="00BB1E65" w:rsidRDefault="008621E8" w:rsidP="00DF1F30">
            <w:pPr>
              <w:rPr>
                <w:b/>
              </w:rPr>
            </w:pPr>
            <w:r w:rsidRPr="00BB1E65">
              <w:rPr>
                <w:b/>
              </w:rPr>
              <w:t>Then ...</w:t>
            </w:r>
          </w:p>
        </w:tc>
      </w:tr>
      <w:tr w:rsidR="008621E8" w:rsidRPr="00BB1E65" w14:paraId="4011EE58" w14:textId="77777777" w:rsidTr="00DF1F30">
        <w:tc>
          <w:tcPr>
            <w:tcW w:w="2610" w:type="dxa"/>
          </w:tcPr>
          <w:p w14:paraId="27C5D057" w14:textId="77777777" w:rsidR="008621E8" w:rsidRPr="00BB1E65" w:rsidRDefault="008621E8" w:rsidP="00DF1F30">
            <w:r w:rsidRPr="00BB1E65">
              <w:t>is made</w:t>
            </w:r>
          </w:p>
        </w:tc>
        <w:tc>
          <w:tcPr>
            <w:tcW w:w="5220" w:type="dxa"/>
          </w:tcPr>
          <w:p w14:paraId="1A7D06D1" w14:textId="1A54C508" w:rsidR="00AB2B06" w:rsidRPr="00BB1E65" w:rsidRDefault="008621E8" w:rsidP="00661A60">
            <w:pPr>
              <w:pStyle w:val="ListParagraph"/>
              <w:numPr>
                <w:ilvl w:val="0"/>
                <w:numId w:val="42"/>
              </w:numPr>
              <w:ind w:left="158" w:hanging="187"/>
            </w:pPr>
            <w:r w:rsidRPr="00BB1E65">
              <w:t xml:space="preserve">document the call </w:t>
            </w:r>
            <w:r w:rsidR="00AB2B06" w:rsidRPr="00BB1E65">
              <w:t xml:space="preserve">on </w:t>
            </w:r>
            <w:r w:rsidR="00AB2B06" w:rsidRPr="00BB1E65">
              <w:rPr>
                <w:i/>
              </w:rPr>
              <w:t xml:space="preserve">VA Form 27-0820, </w:t>
            </w:r>
            <w:r w:rsidR="00AB2B06" w:rsidRPr="00BB1E65">
              <w:rPr>
                <w:bCs/>
                <w:i/>
              </w:rPr>
              <w:t>Report of General Information</w:t>
            </w:r>
            <w:r w:rsidR="00AB2B06" w:rsidRPr="00BB1E65">
              <w:rPr>
                <w:bCs/>
              </w:rPr>
              <w:t xml:space="preserve">, </w:t>
            </w:r>
            <w:r w:rsidRPr="00BB1E65">
              <w:t xml:space="preserve">and </w:t>
            </w:r>
          </w:p>
          <w:p w14:paraId="6AD6734B" w14:textId="497B2F5B" w:rsidR="008621E8" w:rsidRPr="00BB1E65" w:rsidRDefault="008621E8" w:rsidP="00661A60">
            <w:pPr>
              <w:pStyle w:val="ListParagraph"/>
              <w:numPr>
                <w:ilvl w:val="0"/>
                <w:numId w:val="42"/>
              </w:numPr>
              <w:ind w:left="158" w:hanging="187"/>
            </w:pPr>
            <w:r w:rsidRPr="00BB1E65">
              <w:t>inform the Veteran that he/she has 30 days to provide the DBQ.</w:t>
            </w:r>
          </w:p>
        </w:tc>
      </w:tr>
      <w:tr w:rsidR="008621E8" w:rsidRPr="00BB1E65" w14:paraId="34A44E04" w14:textId="77777777" w:rsidTr="00DF1F30">
        <w:tc>
          <w:tcPr>
            <w:tcW w:w="2610" w:type="dxa"/>
          </w:tcPr>
          <w:p w14:paraId="0AF1879B" w14:textId="77777777" w:rsidR="008621E8" w:rsidRPr="00BB1E65" w:rsidRDefault="008621E8" w:rsidP="00DF1F30">
            <w:r w:rsidRPr="00BB1E65">
              <w:t>is not made</w:t>
            </w:r>
          </w:p>
        </w:tc>
        <w:tc>
          <w:tcPr>
            <w:tcW w:w="5220" w:type="dxa"/>
          </w:tcPr>
          <w:p w14:paraId="6EEBEC6B" w14:textId="28BF3D08" w:rsidR="008621E8" w:rsidRPr="00BB1E65" w:rsidRDefault="008621E8" w:rsidP="00DF1F30">
            <w:r w:rsidRPr="00BB1E65">
              <w:t>send a follow-up letter explaining that we are giving him/her 30 days to submit the DBQ.  Include the following text in the letter</w:t>
            </w:r>
            <w:r w:rsidR="003653AB" w:rsidRPr="00BB1E65">
              <w:t>:</w:t>
            </w:r>
          </w:p>
          <w:p w14:paraId="6BD9BE07" w14:textId="77777777" w:rsidR="008621E8" w:rsidRPr="00BB1E65" w:rsidRDefault="008621E8" w:rsidP="00DF1F30"/>
          <w:p w14:paraId="1B5C07CF" w14:textId="77777777" w:rsidR="008621E8" w:rsidRPr="00BB1E65" w:rsidRDefault="008621E8" w:rsidP="00AB2B06">
            <w:pPr>
              <w:ind w:left="720"/>
              <w:rPr>
                <w:i/>
              </w:rPr>
            </w:pPr>
            <w:r w:rsidRPr="00BB1E65">
              <w:rPr>
                <w:b/>
              </w:rPr>
              <w:t>[Insert name of VAMC]</w:t>
            </w:r>
            <w:r w:rsidRPr="00BB1E65">
              <w:rPr>
                <w:i/>
              </w:rPr>
              <w:t xml:space="preserve"> advised us that they attempted to schedule you for an examination.  However, you informed them that you would be submitting a DBQ from your primary care provider and would not be attending an examination.  Please provide this information within 30 days.  If we do not receive the evidence within 30 days from the date of this letter, we will rate your claim with the evidence we have.  If this is incorrect information, please notify us and we will reschedule your examination.</w:t>
            </w:r>
          </w:p>
        </w:tc>
      </w:tr>
    </w:tbl>
    <w:p w14:paraId="581E23E3" w14:textId="24431F14" w:rsidR="008621E8" w:rsidRPr="00BB1E65" w:rsidRDefault="008621E8" w:rsidP="008621E8">
      <w:pPr>
        <w:pStyle w:val="BlockLine"/>
        <w:rPr>
          <w:i/>
        </w:rPr>
      </w:pPr>
    </w:p>
    <w:p w14:paraId="6CB95FFE" w14:textId="5F5B335F" w:rsidR="00E91F31" w:rsidRPr="00BB1E65" w:rsidRDefault="00E91F31">
      <w:pPr>
        <w:rPr>
          <w:rFonts w:ascii="Arial" w:hAnsi="Arial" w:cs="Arial"/>
          <w:b/>
          <w:bCs/>
          <w:sz w:val="32"/>
          <w:szCs w:val="32"/>
        </w:rPr>
      </w:pPr>
      <w:r w:rsidRPr="00BB1E65">
        <w:tab/>
      </w:r>
      <w:r w:rsidRPr="00BB1E65">
        <w:br w:type="page"/>
      </w:r>
    </w:p>
    <w:p w14:paraId="26BABDDB" w14:textId="4C3D468F" w:rsidR="004E4037" w:rsidRPr="00BB1E65" w:rsidRDefault="004E4037" w:rsidP="00753763">
      <w:pPr>
        <w:pStyle w:val="Heading4"/>
        <w:spacing w:after="0"/>
      </w:pPr>
      <w:bookmarkStart w:id="5" w:name="_4._Acceptable_Clinical"/>
      <w:bookmarkEnd w:id="5"/>
      <w:r w:rsidRPr="00BB1E65">
        <w:lastRenderedPageBreak/>
        <w:t xml:space="preserve">4. </w:t>
      </w:r>
      <w:r w:rsidR="00F55485" w:rsidRPr="00BB1E65">
        <w:t xml:space="preserve"> </w:t>
      </w:r>
      <w:r w:rsidRPr="00BB1E65">
        <w:t>ACE Examinations</w:t>
      </w:r>
    </w:p>
    <w:p w14:paraId="44878F76" w14:textId="15D14023" w:rsidR="004E4037" w:rsidRPr="00BB1E65" w:rsidRDefault="004E4037" w:rsidP="004E4037">
      <w:pPr>
        <w:tabs>
          <w:tab w:val="left" w:pos="9360"/>
        </w:tabs>
        <w:ind w:left="1714"/>
      </w:pPr>
      <w:r w:rsidRPr="00BB1E65">
        <w:rPr>
          <w:u w:val="single"/>
        </w:rPr>
        <w:tab/>
      </w:r>
    </w:p>
    <w:p w14:paraId="547A59C9" w14:textId="2F6527F3" w:rsidR="004E4037" w:rsidRPr="00BB1E65" w:rsidRDefault="004E4037" w:rsidP="004E4037"/>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830"/>
      </w:tblGrid>
      <w:tr w:rsidR="004E4037" w:rsidRPr="00BB1E65" w14:paraId="7446A6B5" w14:textId="77777777" w:rsidTr="00753763">
        <w:tc>
          <w:tcPr>
            <w:tcW w:w="1710" w:type="dxa"/>
            <w:shd w:val="clear" w:color="auto" w:fill="auto"/>
          </w:tcPr>
          <w:p w14:paraId="5D343352" w14:textId="557666E9" w:rsidR="004E4037" w:rsidRPr="00BB1E65" w:rsidRDefault="004E4037" w:rsidP="00621D24">
            <w:pPr>
              <w:pStyle w:val="Heading5"/>
            </w:pPr>
            <w:r w:rsidRPr="00BB1E65">
              <w:t>Introduction</w:t>
            </w:r>
          </w:p>
        </w:tc>
        <w:tc>
          <w:tcPr>
            <w:tcW w:w="7830" w:type="dxa"/>
            <w:shd w:val="clear" w:color="auto" w:fill="auto"/>
          </w:tcPr>
          <w:p w14:paraId="66674C14" w14:textId="61EFA12A" w:rsidR="004E4037" w:rsidRPr="00BB1E65" w:rsidRDefault="00E91F31" w:rsidP="00753763">
            <w:pPr>
              <w:pStyle w:val="BulletText1"/>
              <w:numPr>
                <w:ilvl w:val="0"/>
                <w:numId w:val="0"/>
              </w:numPr>
            </w:pPr>
            <w:r w:rsidRPr="00BB1E65">
              <w:t>This topic contains information on</w:t>
            </w:r>
            <w:r w:rsidR="00A70850" w:rsidRPr="00BB1E65">
              <w:t xml:space="preserve"> ACE examinations, including</w:t>
            </w:r>
          </w:p>
          <w:p w14:paraId="7F9F7077" w14:textId="77777777" w:rsidR="00E91F31" w:rsidRPr="00BB1E65" w:rsidRDefault="00E91F31" w:rsidP="00753763">
            <w:pPr>
              <w:pStyle w:val="BulletText1"/>
              <w:numPr>
                <w:ilvl w:val="0"/>
                <w:numId w:val="0"/>
              </w:numPr>
            </w:pPr>
          </w:p>
          <w:p w14:paraId="7E41E0DA" w14:textId="3A0D7D4B" w:rsidR="004E4037" w:rsidRPr="00BB1E65" w:rsidRDefault="004E4037" w:rsidP="004E4037">
            <w:pPr>
              <w:pStyle w:val="BulletText1"/>
            </w:pPr>
            <w:r w:rsidRPr="00BB1E65">
              <w:t>examinations based on ACE</w:t>
            </w:r>
          </w:p>
          <w:p w14:paraId="405C0195" w14:textId="77777777" w:rsidR="004E4037" w:rsidRPr="00BB1E65" w:rsidRDefault="004E4037" w:rsidP="004E4037">
            <w:pPr>
              <w:pStyle w:val="BulletText1"/>
            </w:pPr>
            <w:r w:rsidRPr="00BB1E65">
              <w:t>categories of examinations where the ACE process is prohibited, and</w:t>
            </w:r>
          </w:p>
          <w:p w14:paraId="36A1B26C" w14:textId="24B58AAC" w:rsidR="004E4037" w:rsidRPr="00BB1E65" w:rsidRDefault="004E4037" w:rsidP="00171AC4">
            <w:pPr>
              <w:pStyle w:val="ListParagraph"/>
              <w:numPr>
                <w:ilvl w:val="0"/>
                <w:numId w:val="14"/>
              </w:numPr>
              <w:ind w:left="158" w:hanging="187"/>
            </w:pPr>
            <w:r w:rsidRPr="00BB1E65">
              <w:t>examination requests and ACE</w:t>
            </w:r>
          </w:p>
        </w:tc>
      </w:tr>
    </w:tbl>
    <w:p w14:paraId="0A0CEB13" w14:textId="22AA77F3" w:rsidR="00E17723" w:rsidRPr="00BB1E65" w:rsidRDefault="00E17723" w:rsidP="00E17723">
      <w:pPr>
        <w:tabs>
          <w:tab w:val="left" w:pos="9360"/>
        </w:tabs>
        <w:ind w:left="1714"/>
      </w:pPr>
      <w:r w:rsidRPr="00BB1E65">
        <w:rPr>
          <w:u w:val="single"/>
        </w:rPr>
        <w:tab/>
      </w:r>
    </w:p>
    <w:p w14:paraId="64B28354" w14:textId="2CA2E935" w:rsidR="004E4037" w:rsidRPr="00BB1E65" w:rsidRDefault="004E4037" w:rsidP="00621D24">
      <w:pPr>
        <w:tabs>
          <w:tab w:val="left" w:pos="9360"/>
        </w:tabs>
      </w:pPr>
    </w:p>
    <w:tbl>
      <w:tblPr>
        <w:tblW w:w="0" w:type="auto"/>
        <w:tblInd w:w="-106" w:type="dxa"/>
        <w:tblLayout w:type="fixed"/>
        <w:tblLook w:val="0000" w:firstRow="0" w:lastRow="0" w:firstColumn="0" w:lastColumn="0" w:noHBand="0" w:noVBand="0"/>
      </w:tblPr>
      <w:tblGrid>
        <w:gridCol w:w="1728"/>
        <w:gridCol w:w="7740"/>
      </w:tblGrid>
      <w:tr w:rsidR="00040270" w:rsidRPr="00BB1E65" w14:paraId="4F03F1AA" w14:textId="77777777" w:rsidTr="00B50AC5">
        <w:trPr>
          <w:cantSplit/>
        </w:trPr>
        <w:tc>
          <w:tcPr>
            <w:tcW w:w="1728" w:type="dxa"/>
            <w:tcBorders>
              <w:top w:val="nil"/>
              <w:left w:val="nil"/>
              <w:bottom w:val="nil"/>
              <w:right w:val="nil"/>
            </w:tcBorders>
          </w:tcPr>
          <w:p w14:paraId="0CE20671" w14:textId="77777777" w:rsidR="00040270" w:rsidRPr="00BB1E65" w:rsidRDefault="00040270" w:rsidP="00B50AC5">
            <w:pPr>
              <w:pStyle w:val="Heading5"/>
            </w:pPr>
            <w:r w:rsidRPr="00BB1E65">
              <w:t>Change Date</w:t>
            </w:r>
          </w:p>
        </w:tc>
        <w:tc>
          <w:tcPr>
            <w:tcW w:w="7740" w:type="dxa"/>
            <w:tcBorders>
              <w:top w:val="nil"/>
              <w:left w:val="nil"/>
              <w:bottom w:val="nil"/>
              <w:right w:val="nil"/>
            </w:tcBorders>
          </w:tcPr>
          <w:p w14:paraId="561DC463" w14:textId="39EA2F65" w:rsidR="00040270" w:rsidRPr="00BB1E65" w:rsidRDefault="00892D5C" w:rsidP="00B50AC5">
            <w:pPr>
              <w:pStyle w:val="BlockText"/>
            </w:pPr>
            <w:r w:rsidRPr="00BB1E65">
              <w:t>July 30, 2015</w:t>
            </w:r>
          </w:p>
        </w:tc>
      </w:tr>
    </w:tbl>
    <w:p w14:paraId="31617DFF" w14:textId="52466387" w:rsidR="00040270" w:rsidRPr="00BB1E65" w:rsidRDefault="00040270" w:rsidP="00040270">
      <w:pPr>
        <w:tabs>
          <w:tab w:val="left" w:pos="9360"/>
        </w:tabs>
        <w:ind w:left="1714"/>
      </w:pPr>
      <w:r w:rsidRPr="00BB1E65">
        <w:rPr>
          <w:u w:val="single"/>
        </w:rPr>
        <w:tab/>
      </w:r>
    </w:p>
    <w:p w14:paraId="1B99A476" w14:textId="77777777" w:rsidR="00040270" w:rsidRPr="00BB1E65" w:rsidRDefault="00040270" w:rsidP="00621D24">
      <w:pPr>
        <w:tabs>
          <w:tab w:val="left" w:pos="9360"/>
        </w:tabs>
      </w:pPr>
    </w:p>
    <w:tbl>
      <w:tblPr>
        <w:tblW w:w="0" w:type="auto"/>
        <w:tblInd w:w="-72" w:type="dxa"/>
        <w:tblLayout w:type="fixed"/>
        <w:tblLook w:val="0000" w:firstRow="0" w:lastRow="0" w:firstColumn="0" w:lastColumn="0" w:noHBand="0" w:noVBand="0"/>
      </w:tblPr>
      <w:tblGrid>
        <w:gridCol w:w="1710"/>
        <w:gridCol w:w="7830"/>
      </w:tblGrid>
      <w:tr w:rsidR="00E17723" w:rsidRPr="00BB1E65" w14:paraId="1F5B0C66" w14:textId="77777777" w:rsidTr="00753763">
        <w:tc>
          <w:tcPr>
            <w:tcW w:w="1710" w:type="dxa"/>
            <w:shd w:val="clear" w:color="auto" w:fill="auto"/>
          </w:tcPr>
          <w:p w14:paraId="6BD6ABA8" w14:textId="4DC762B2" w:rsidR="00E17723" w:rsidRPr="00BB1E65" w:rsidRDefault="00090B75" w:rsidP="00DF1F30">
            <w:pPr>
              <w:pStyle w:val="Heading5"/>
            </w:pPr>
            <w:r w:rsidRPr="00BB1E65">
              <w:t>a</w:t>
            </w:r>
            <w:r w:rsidR="00E17723" w:rsidRPr="00BB1E65">
              <w:t xml:space="preserve">. </w:t>
            </w:r>
            <w:r w:rsidR="00AE782F" w:rsidRPr="00BB1E65">
              <w:t xml:space="preserve"> </w:t>
            </w:r>
            <w:r w:rsidR="00E17723" w:rsidRPr="00BB1E65">
              <w:t>Examinations Based on ACE</w:t>
            </w:r>
          </w:p>
        </w:tc>
        <w:tc>
          <w:tcPr>
            <w:tcW w:w="7830" w:type="dxa"/>
            <w:shd w:val="clear" w:color="auto" w:fill="auto"/>
          </w:tcPr>
          <w:p w14:paraId="25844FD5" w14:textId="36A5463B" w:rsidR="00E17723" w:rsidRPr="00BB1E65" w:rsidRDefault="00E17723" w:rsidP="00DF1F30">
            <w:pPr>
              <w:pStyle w:val="BlockText"/>
            </w:pPr>
            <w:r w:rsidRPr="00BB1E65">
              <w:t xml:space="preserve">In lieu of scheduling an in-person examination, VHA examiners generally (subject to some limitations) have the option to complete a DBQ based on review of existing paper and/or electronic medical evidence.  They may also conduct a telephone interview with the claimant. </w:t>
            </w:r>
            <w:r w:rsidR="00D83BC8" w:rsidRPr="00BB1E65">
              <w:t xml:space="preserve"> </w:t>
            </w:r>
            <w:r w:rsidRPr="00BB1E65">
              <w:t xml:space="preserve">Examinations based upon medical records and history without an in-person clinical examination or testing are known as </w:t>
            </w:r>
            <w:r w:rsidRPr="00BB1E65">
              <w:rPr>
                <w:b/>
                <w:i/>
              </w:rPr>
              <w:t xml:space="preserve">Acceptable Clinical Evidence </w:t>
            </w:r>
            <w:r w:rsidR="007A776E" w:rsidRPr="00BB1E65">
              <w:rPr>
                <w:b/>
                <w:i/>
              </w:rPr>
              <w:t>(</w:t>
            </w:r>
            <w:r w:rsidRPr="00BB1E65">
              <w:rPr>
                <w:b/>
                <w:i/>
              </w:rPr>
              <w:t>ACE</w:t>
            </w:r>
            <w:r w:rsidR="007A776E" w:rsidRPr="00BB1E65">
              <w:rPr>
                <w:b/>
                <w:i/>
              </w:rPr>
              <w:t>)</w:t>
            </w:r>
            <w:r w:rsidRPr="00BB1E65">
              <w:rPr>
                <w:b/>
                <w:i/>
              </w:rPr>
              <w:t xml:space="preserve"> examinations</w:t>
            </w:r>
            <w:r w:rsidRPr="00BB1E65">
              <w:t xml:space="preserve"> or the </w:t>
            </w:r>
            <w:r w:rsidRPr="00BB1E65">
              <w:rPr>
                <w:b/>
                <w:i/>
              </w:rPr>
              <w:t>ACE process</w:t>
            </w:r>
            <w:r w:rsidRPr="00BB1E65">
              <w:t xml:space="preserve">.  </w:t>
            </w:r>
          </w:p>
          <w:p w14:paraId="5FF76556" w14:textId="77777777" w:rsidR="00E17723" w:rsidRPr="00BB1E65" w:rsidRDefault="00E17723" w:rsidP="00DF1F30">
            <w:pPr>
              <w:pStyle w:val="BlockText"/>
            </w:pPr>
          </w:p>
          <w:p w14:paraId="30F76E9B" w14:textId="56B73EFB" w:rsidR="00E17723" w:rsidRPr="00BB1E65" w:rsidRDefault="00E17723" w:rsidP="00321163">
            <w:pPr>
              <w:pStyle w:val="BulletText1"/>
              <w:numPr>
                <w:ilvl w:val="0"/>
                <w:numId w:val="0"/>
              </w:numPr>
            </w:pPr>
            <w:r w:rsidRPr="00BB1E65">
              <w:rPr>
                <w:b/>
                <w:i/>
              </w:rPr>
              <w:t>Reference</w:t>
            </w:r>
            <w:r w:rsidRPr="00BB1E65">
              <w:t xml:space="preserve">: </w:t>
            </w:r>
            <w:r w:rsidR="00321163" w:rsidRPr="00BB1E65">
              <w:t xml:space="preserve"> F</w:t>
            </w:r>
            <w:r w:rsidRPr="00BB1E65">
              <w:t xml:space="preserve">or more information on categories of examinations where the ACE process is prohibited, see </w:t>
            </w:r>
            <w:r w:rsidRPr="00BB1E65">
              <w:rPr>
                <w:color w:val="auto"/>
              </w:rPr>
              <w:t>M21</w:t>
            </w:r>
            <w:r w:rsidR="001020AE" w:rsidRPr="00BB1E65">
              <w:rPr>
                <w:color w:val="auto"/>
              </w:rPr>
              <w:t>-1, Part III, Subpart iv, 3.A.4.b</w:t>
            </w:r>
            <w:r w:rsidRPr="00BB1E65">
              <w:rPr>
                <w:color w:val="0000FF"/>
              </w:rPr>
              <w:t>.</w:t>
            </w:r>
          </w:p>
        </w:tc>
      </w:tr>
    </w:tbl>
    <w:p w14:paraId="02F7619A" w14:textId="77777777" w:rsidR="00E17723" w:rsidRPr="00BB1E65" w:rsidRDefault="00E17723" w:rsidP="00E17723">
      <w:pPr>
        <w:pStyle w:val="BlockLine"/>
      </w:pPr>
      <w:r w:rsidRPr="00BB1E65">
        <w:fldChar w:fldCharType="begin"/>
      </w:r>
      <w:r w:rsidRPr="00BB1E65">
        <w:instrText xml:space="preserve"> PRIVATE INFOTYPE="PRINCIPLE" </w:instrText>
      </w:r>
      <w:r w:rsidRPr="00BB1E65">
        <w:fldChar w:fldCharType="end"/>
      </w:r>
    </w:p>
    <w:tbl>
      <w:tblPr>
        <w:tblW w:w="0" w:type="auto"/>
        <w:tblLayout w:type="fixed"/>
        <w:tblLook w:val="0000" w:firstRow="0" w:lastRow="0" w:firstColumn="0" w:lastColumn="0" w:noHBand="0" w:noVBand="0"/>
      </w:tblPr>
      <w:tblGrid>
        <w:gridCol w:w="1638"/>
        <w:gridCol w:w="7830"/>
      </w:tblGrid>
      <w:tr w:rsidR="00E17723" w:rsidRPr="00BB1E65" w14:paraId="65957613" w14:textId="77777777" w:rsidTr="00DF1F30">
        <w:tc>
          <w:tcPr>
            <w:tcW w:w="1638" w:type="dxa"/>
            <w:shd w:val="clear" w:color="auto" w:fill="auto"/>
          </w:tcPr>
          <w:p w14:paraId="6767FB6D" w14:textId="75221E1A" w:rsidR="00E17723" w:rsidRPr="00BB1E65" w:rsidRDefault="00090B75" w:rsidP="00DF1F30">
            <w:pPr>
              <w:pStyle w:val="Heading5"/>
            </w:pPr>
            <w:r w:rsidRPr="00BB1E65">
              <w:t>b</w:t>
            </w:r>
            <w:r w:rsidR="00E17723" w:rsidRPr="00BB1E65">
              <w:t xml:space="preserve">. </w:t>
            </w:r>
            <w:r w:rsidR="00AE782F" w:rsidRPr="00BB1E65">
              <w:t xml:space="preserve"> </w:t>
            </w:r>
            <w:r w:rsidR="00E17723" w:rsidRPr="00BB1E65">
              <w:t>Categories of Examinations  Where the ACE Process is Prohibited</w:t>
            </w:r>
          </w:p>
        </w:tc>
        <w:tc>
          <w:tcPr>
            <w:tcW w:w="7830" w:type="dxa"/>
            <w:shd w:val="clear" w:color="auto" w:fill="auto"/>
          </w:tcPr>
          <w:p w14:paraId="1B25846E" w14:textId="613F87F5" w:rsidR="00E17723" w:rsidRPr="00BB1E65" w:rsidRDefault="00E17723" w:rsidP="00DF1F30">
            <w:pPr>
              <w:pStyle w:val="BlockText"/>
            </w:pPr>
            <w:r w:rsidRPr="00BB1E65">
              <w:t xml:space="preserve">The ACE process is </w:t>
            </w:r>
            <w:r w:rsidRPr="00BB1E65">
              <w:rPr>
                <w:i/>
              </w:rPr>
              <w:t>not</w:t>
            </w:r>
            <w:r w:rsidRPr="00BB1E65">
              <w:t xml:space="preserve"> available in the following categories of examinations</w:t>
            </w:r>
            <w:r w:rsidR="00131414" w:rsidRPr="00BB1E65">
              <w:t>:</w:t>
            </w:r>
          </w:p>
          <w:p w14:paraId="4EF7FC33" w14:textId="77777777" w:rsidR="00861F0A" w:rsidRPr="00BB1E65" w:rsidRDefault="00861F0A" w:rsidP="00DF1F30">
            <w:pPr>
              <w:pStyle w:val="BlockText"/>
            </w:pPr>
          </w:p>
          <w:p w14:paraId="095635CC" w14:textId="77777777" w:rsidR="00E17723" w:rsidRPr="00BB1E65" w:rsidRDefault="00E17723" w:rsidP="00DF1F30">
            <w:pPr>
              <w:pStyle w:val="BulletText1"/>
            </w:pPr>
            <w:r w:rsidRPr="00BB1E65">
              <w:t>exams by contract examiners (who do not have electronic access to VHA treatment records)</w:t>
            </w:r>
          </w:p>
          <w:p w14:paraId="4B5A91AD" w14:textId="77777777" w:rsidR="00E17723" w:rsidRPr="00BB1E65" w:rsidRDefault="00E17723" w:rsidP="00DF1F30">
            <w:pPr>
              <w:pStyle w:val="BulletText1"/>
            </w:pPr>
            <w:r w:rsidRPr="00BB1E65">
              <w:t>exams by VHA examiners when necessary electronic medical records are not available for their review</w:t>
            </w:r>
          </w:p>
          <w:p w14:paraId="6C936705" w14:textId="039FBD3D" w:rsidR="00E17723" w:rsidRPr="00BB1E65" w:rsidRDefault="00E17723" w:rsidP="00DF1F30">
            <w:pPr>
              <w:pStyle w:val="BulletText1"/>
            </w:pPr>
            <w:r w:rsidRPr="00BB1E65">
              <w:t xml:space="preserve">IDES, Quick Start or </w:t>
            </w:r>
            <w:r w:rsidR="003C28F8" w:rsidRPr="00BB1E65">
              <w:t>Benefits Delivery at Discharge (</w:t>
            </w:r>
            <w:r w:rsidRPr="00BB1E65">
              <w:t>BDD</w:t>
            </w:r>
            <w:r w:rsidR="003C28F8" w:rsidRPr="00BB1E65">
              <w:t>)</w:t>
            </w:r>
            <w:r w:rsidRPr="00BB1E65">
              <w:t xml:space="preserve"> pre-discharge programs</w:t>
            </w:r>
          </w:p>
          <w:p w14:paraId="0529313F" w14:textId="1C18F09B" w:rsidR="00E65A61" w:rsidRPr="00BB1E65" w:rsidRDefault="00E17723" w:rsidP="00DF1F30">
            <w:pPr>
              <w:pStyle w:val="BulletText1"/>
            </w:pPr>
            <w:r w:rsidRPr="00BB1E65">
              <w:t xml:space="preserve">exams required by </w:t>
            </w:r>
            <w:r w:rsidR="00E917FB" w:rsidRPr="00BB1E65">
              <w:t>BVA</w:t>
            </w:r>
            <w:r w:rsidRPr="00BB1E65">
              <w:t xml:space="preserve"> remands</w:t>
            </w:r>
          </w:p>
          <w:p w14:paraId="0170ABFF" w14:textId="5843D5FF" w:rsidR="00C66462" w:rsidRPr="00BB1E65" w:rsidRDefault="00E65A61" w:rsidP="00DF1F30">
            <w:pPr>
              <w:pStyle w:val="BulletText1"/>
            </w:pPr>
            <w:r w:rsidRPr="00BB1E65">
              <w:t xml:space="preserve">general medical examinations </w:t>
            </w:r>
          </w:p>
          <w:p w14:paraId="6DE42E77" w14:textId="3D757E84" w:rsidR="00E17723" w:rsidRPr="00BB1E65" w:rsidRDefault="00C66462" w:rsidP="00DF1F30">
            <w:pPr>
              <w:pStyle w:val="BulletText1"/>
            </w:pPr>
            <w:r w:rsidRPr="00BB1E65">
              <w:t>female sexual arousal disorder (FSAD)</w:t>
            </w:r>
            <w:r w:rsidR="00E917FB" w:rsidRPr="00BB1E65">
              <w:t xml:space="preserve"> exams</w:t>
            </w:r>
            <w:r w:rsidRPr="00BB1E65">
              <w:t xml:space="preserve">, </w:t>
            </w:r>
            <w:r w:rsidR="00E17723" w:rsidRPr="00BB1E65">
              <w:t xml:space="preserve">and </w:t>
            </w:r>
          </w:p>
          <w:p w14:paraId="5C145117" w14:textId="222B898E" w:rsidR="00A646F0" w:rsidRPr="00BB1E65" w:rsidRDefault="00E17723" w:rsidP="00224F60">
            <w:pPr>
              <w:pStyle w:val="BulletText1"/>
            </w:pPr>
            <w:r w:rsidRPr="00BB1E65">
              <w:t>mental disorder examinations</w:t>
            </w:r>
            <w:r w:rsidR="00271B37" w:rsidRPr="00BB1E65">
              <w:t xml:space="preserve">, including </w:t>
            </w:r>
            <w:r w:rsidR="00FC7C7B" w:rsidRPr="00BB1E65">
              <w:t xml:space="preserve">medical opinions for </w:t>
            </w:r>
            <w:r w:rsidR="00A646F0" w:rsidRPr="00BB1E65">
              <w:t>claim</w:t>
            </w:r>
            <w:r w:rsidR="00FC7C7B" w:rsidRPr="00BB1E65">
              <w:t>ed</w:t>
            </w:r>
            <w:r w:rsidR="00A646F0" w:rsidRPr="00BB1E65">
              <w:t xml:space="preserve"> conditions secondary to a</w:t>
            </w:r>
            <w:r w:rsidR="00381D0E" w:rsidRPr="00BB1E65">
              <w:t>n</w:t>
            </w:r>
            <w:r w:rsidR="00A646F0" w:rsidRPr="00BB1E65">
              <w:t xml:space="preserve"> </w:t>
            </w:r>
            <w:r w:rsidR="00E917FB" w:rsidRPr="00BB1E65">
              <w:t xml:space="preserve">SC </w:t>
            </w:r>
            <w:r w:rsidR="00A646F0" w:rsidRPr="00BB1E65">
              <w:t>mental disorder</w:t>
            </w:r>
            <w:r w:rsidR="00514AF9" w:rsidRPr="00BB1E65">
              <w:t>.</w:t>
            </w:r>
            <w:r w:rsidR="00A646F0" w:rsidRPr="00BB1E65">
              <w:t xml:space="preserve"> </w:t>
            </w:r>
            <w:r w:rsidR="00D83BC8" w:rsidRPr="00BB1E65">
              <w:t xml:space="preserve"> </w:t>
            </w:r>
            <w:r w:rsidR="00A646F0" w:rsidRPr="00BB1E65">
              <w:t xml:space="preserve">This specifically applies to </w:t>
            </w:r>
            <w:r w:rsidR="00A646F0" w:rsidRPr="00BB1E65">
              <w:rPr>
                <w:i/>
              </w:rPr>
              <w:t>physical</w:t>
            </w:r>
            <w:r w:rsidR="00A646F0" w:rsidRPr="00BB1E65">
              <w:t xml:space="preserve"> secondary conditions related to </w:t>
            </w:r>
            <w:r w:rsidR="00E917FB" w:rsidRPr="00BB1E65">
              <w:t>SC</w:t>
            </w:r>
            <w:r w:rsidR="00A646F0" w:rsidRPr="00BB1E65">
              <w:t xml:space="preserve"> mental disorders</w:t>
            </w:r>
            <w:r w:rsidR="00E917FB" w:rsidRPr="00BB1E65">
              <w:t>,</w:t>
            </w:r>
            <w:r w:rsidR="00A646F0" w:rsidRPr="00BB1E65">
              <w:t xml:space="preserve"> such as bruxism.</w:t>
            </w:r>
          </w:p>
          <w:p w14:paraId="7A9F70BE" w14:textId="77777777" w:rsidR="00772977" w:rsidRPr="00BB1E65" w:rsidRDefault="00772977" w:rsidP="00772977">
            <w:pPr>
              <w:pStyle w:val="BlockText"/>
            </w:pPr>
          </w:p>
          <w:p w14:paraId="65D76A9D" w14:textId="68FA49E0" w:rsidR="00E17723" w:rsidRPr="00BB1E65" w:rsidRDefault="00F33436" w:rsidP="00772977">
            <w:pPr>
              <w:pStyle w:val="BlockText"/>
            </w:pPr>
            <w:r w:rsidRPr="00BB1E65">
              <w:rPr>
                <w:b/>
                <w:i/>
              </w:rPr>
              <w:t>E</w:t>
            </w:r>
            <w:r w:rsidR="00271B37" w:rsidRPr="00BB1E65">
              <w:rPr>
                <w:b/>
                <w:i/>
              </w:rPr>
              <w:t>xample</w:t>
            </w:r>
            <w:r w:rsidR="00271B37" w:rsidRPr="00BB1E65">
              <w:t xml:space="preserve">:  A claimant who is </w:t>
            </w:r>
            <w:r w:rsidR="00E917FB" w:rsidRPr="00BB1E65">
              <w:t>SC</w:t>
            </w:r>
            <w:r w:rsidR="00271B37" w:rsidRPr="00BB1E65">
              <w:t xml:space="preserve"> for</w:t>
            </w:r>
            <w:r w:rsidR="00CB5641" w:rsidRPr="00BB1E65">
              <w:t xml:space="preserve"> posttraumatic stress disorder (</w:t>
            </w:r>
            <w:r w:rsidR="00271B37" w:rsidRPr="00BB1E65">
              <w:t>PTSD</w:t>
            </w:r>
            <w:r w:rsidR="00CB5641" w:rsidRPr="00BB1E65">
              <w:t>)</w:t>
            </w:r>
            <w:r w:rsidR="00271B37" w:rsidRPr="00BB1E65">
              <w:t xml:space="preserve"> due to MST files a claim for FSAD se</w:t>
            </w:r>
            <w:r w:rsidR="00A646F0" w:rsidRPr="00BB1E65">
              <w:t>condary to PTSD. Both t</w:t>
            </w:r>
            <w:r w:rsidR="00271B37" w:rsidRPr="00BB1E65">
              <w:t xml:space="preserve">he </w:t>
            </w:r>
            <w:r w:rsidR="00AD40F4" w:rsidRPr="00BB1E65">
              <w:t xml:space="preserve">Gynecological DBQ and </w:t>
            </w:r>
            <w:r w:rsidR="00A646F0" w:rsidRPr="00BB1E65">
              <w:t xml:space="preserve">PTSD </w:t>
            </w:r>
            <w:r w:rsidR="00224F60" w:rsidRPr="00BB1E65">
              <w:t>medical opinions will require</w:t>
            </w:r>
            <w:r w:rsidR="00A646F0" w:rsidRPr="00BB1E65">
              <w:t xml:space="preserve"> in</w:t>
            </w:r>
            <w:r w:rsidR="00E917FB" w:rsidRPr="00BB1E65">
              <w:t>-</w:t>
            </w:r>
            <w:r w:rsidR="00A646F0" w:rsidRPr="00BB1E65">
              <w:t>person examination</w:t>
            </w:r>
            <w:r w:rsidR="00224F60" w:rsidRPr="00BB1E65">
              <w:t>s</w:t>
            </w:r>
            <w:r w:rsidR="00A646F0" w:rsidRPr="00BB1E65">
              <w:t>.</w:t>
            </w:r>
          </w:p>
          <w:p w14:paraId="1421EBB8" w14:textId="77777777" w:rsidR="00E17723" w:rsidRPr="00BB1E65" w:rsidRDefault="00E17723" w:rsidP="00772977">
            <w:pPr>
              <w:pStyle w:val="BlockText"/>
            </w:pPr>
          </w:p>
          <w:p w14:paraId="745CADC9" w14:textId="7E094B16" w:rsidR="00E17723" w:rsidRPr="00BB1E65" w:rsidRDefault="00E17723" w:rsidP="00DF1F30">
            <w:pPr>
              <w:pStyle w:val="BlockText"/>
            </w:pPr>
            <w:r w:rsidRPr="00BB1E65">
              <w:t>VBA may also specifically require an in-person examination</w:t>
            </w:r>
            <w:r w:rsidR="00E917FB" w:rsidRPr="00BB1E65">
              <w:t>,</w:t>
            </w:r>
            <w:r w:rsidRPr="00BB1E65">
              <w:t xml:space="preserve"> but in the interest of expediting the claims process, </w:t>
            </w:r>
            <w:r w:rsidR="00E917FB" w:rsidRPr="00BB1E65">
              <w:t xml:space="preserve">RO </w:t>
            </w:r>
            <w:r w:rsidRPr="00BB1E65">
              <w:t xml:space="preserve">employees should not routinely exclude the use of the ACE process absent a compelling reason, particularly </w:t>
            </w:r>
            <w:r w:rsidRPr="00BB1E65">
              <w:lastRenderedPageBreak/>
              <w:t>for the following conditions</w:t>
            </w:r>
          </w:p>
          <w:p w14:paraId="40ADB5BA" w14:textId="77777777" w:rsidR="00514AF9" w:rsidRPr="00BB1E65" w:rsidRDefault="00514AF9" w:rsidP="00DF1F30">
            <w:pPr>
              <w:pStyle w:val="BlockText"/>
            </w:pPr>
          </w:p>
          <w:p w14:paraId="2283DDD9" w14:textId="177ADC63" w:rsidR="00E17723" w:rsidRPr="00BB1E65" w:rsidRDefault="00E17723" w:rsidP="00DF1F30">
            <w:pPr>
              <w:pStyle w:val="BulletText1"/>
            </w:pPr>
            <w:r w:rsidRPr="00BB1E65">
              <w:t>hearing loss</w:t>
            </w:r>
          </w:p>
          <w:p w14:paraId="37E2A1FA" w14:textId="5279C02B" w:rsidR="00E17723" w:rsidRPr="00BB1E65" w:rsidRDefault="00E17723" w:rsidP="00DF1F30">
            <w:pPr>
              <w:pStyle w:val="BulletText1"/>
            </w:pPr>
            <w:r w:rsidRPr="00BB1E65">
              <w:t>tinnitus</w:t>
            </w:r>
          </w:p>
          <w:p w14:paraId="0C6CCCFD" w14:textId="23CE2649" w:rsidR="00E17723" w:rsidRPr="00BB1E65" w:rsidRDefault="00E17723" w:rsidP="00DF1F30">
            <w:pPr>
              <w:pStyle w:val="BulletText1"/>
            </w:pPr>
            <w:r w:rsidRPr="00BB1E65">
              <w:t>cardiac conditions</w:t>
            </w:r>
          </w:p>
          <w:p w14:paraId="4500BF3B" w14:textId="77777777" w:rsidR="00E17723" w:rsidRPr="00BB1E65" w:rsidRDefault="00E17723" w:rsidP="00DF1F30">
            <w:pPr>
              <w:pStyle w:val="BulletText1"/>
            </w:pPr>
            <w:r w:rsidRPr="00BB1E65">
              <w:t>amyotrophic lateral sclerosis, and</w:t>
            </w:r>
          </w:p>
          <w:p w14:paraId="48B5128D" w14:textId="77777777" w:rsidR="00E17723" w:rsidRPr="00BB1E65" w:rsidRDefault="00E17723" w:rsidP="00DF1F30">
            <w:pPr>
              <w:pStyle w:val="BulletText1"/>
            </w:pPr>
            <w:r w:rsidRPr="00BB1E65">
              <w:t>any terminal condition.</w:t>
            </w:r>
          </w:p>
        </w:tc>
      </w:tr>
    </w:tbl>
    <w:p w14:paraId="31DFA25A" w14:textId="77777777" w:rsidR="00E17723" w:rsidRPr="00BB1E65" w:rsidRDefault="00E17723" w:rsidP="00E17723">
      <w:pPr>
        <w:pStyle w:val="BlockLine"/>
      </w:pPr>
      <w:r w:rsidRPr="00BB1E65">
        <w:lastRenderedPageBreak/>
        <w:fldChar w:fldCharType="begin"/>
      </w:r>
      <w:r w:rsidRPr="00BB1E65">
        <w:instrText xml:space="preserve"> PRIVATE INFOTYPE="PROCEDURE" </w:instrText>
      </w:r>
      <w:r w:rsidRPr="00BB1E65">
        <w:fldChar w:fldCharType="end"/>
      </w:r>
    </w:p>
    <w:tbl>
      <w:tblPr>
        <w:tblW w:w="0" w:type="auto"/>
        <w:tblLayout w:type="fixed"/>
        <w:tblLook w:val="0000" w:firstRow="0" w:lastRow="0" w:firstColumn="0" w:lastColumn="0" w:noHBand="0" w:noVBand="0"/>
      </w:tblPr>
      <w:tblGrid>
        <w:gridCol w:w="1638"/>
        <w:gridCol w:w="7830"/>
      </w:tblGrid>
      <w:tr w:rsidR="00E17723" w:rsidRPr="00BB1E65" w14:paraId="25BAE5C7" w14:textId="77777777" w:rsidTr="00DF1F30">
        <w:tc>
          <w:tcPr>
            <w:tcW w:w="1638" w:type="dxa"/>
            <w:shd w:val="clear" w:color="auto" w:fill="auto"/>
          </w:tcPr>
          <w:p w14:paraId="6B641C4D" w14:textId="38E9CAAD" w:rsidR="00E17723" w:rsidRPr="00BB1E65" w:rsidRDefault="00090B75" w:rsidP="00DF1F30">
            <w:pPr>
              <w:pStyle w:val="Heading5"/>
            </w:pPr>
            <w:r w:rsidRPr="00BB1E65">
              <w:t>c</w:t>
            </w:r>
            <w:r w:rsidR="00E17723" w:rsidRPr="00BB1E65">
              <w:t xml:space="preserve">. </w:t>
            </w:r>
            <w:r w:rsidR="00AE782F" w:rsidRPr="00BB1E65">
              <w:t xml:space="preserve"> </w:t>
            </w:r>
            <w:r w:rsidR="00E17723" w:rsidRPr="00BB1E65">
              <w:t>Examination Requests and ACE</w:t>
            </w:r>
          </w:p>
        </w:tc>
        <w:tc>
          <w:tcPr>
            <w:tcW w:w="7830" w:type="dxa"/>
            <w:shd w:val="clear" w:color="auto" w:fill="auto"/>
          </w:tcPr>
          <w:p w14:paraId="7A9EAC5B" w14:textId="13D8491C" w:rsidR="00E17723" w:rsidRPr="00BB1E65" w:rsidRDefault="00E17723" w:rsidP="00DF1F30">
            <w:pPr>
              <w:pStyle w:val="BlockText"/>
            </w:pPr>
            <w:r w:rsidRPr="00BB1E65">
              <w:t>When entering an examination request</w:t>
            </w:r>
            <w:r w:rsidR="00E917FB" w:rsidRPr="00BB1E65">
              <w:t xml:space="preserve"> in CAPRI</w:t>
            </w:r>
            <w:r w:rsidRPr="00BB1E65">
              <w:t xml:space="preserve">, ensure that the examination request </w:t>
            </w:r>
          </w:p>
          <w:p w14:paraId="34471EF6" w14:textId="77777777" w:rsidR="00E17723" w:rsidRPr="00BB1E65" w:rsidRDefault="00E17723" w:rsidP="00DF1F30">
            <w:pPr>
              <w:pStyle w:val="BlockText"/>
            </w:pPr>
          </w:p>
          <w:p w14:paraId="277B9F9B" w14:textId="369F913E" w:rsidR="00E17723" w:rsidRPr="00BB1E65" w:rsidRDefault="00E17723" w:rsidP="00DF1F30">
            <w:pPr>
              <w:pStyle w:val="BulletText1"/>
            </w:pPr>
            <w:r w:rsidRPr="00BB1E65">
              <w:t>specifies that the ACE process is permitted</w:t>
            </w:r>
            <w:r w:rsidR="00C15C19" w:rsidRPr="00BB1E65">
              <w:t>,</w:t>
            </w:r>
            <w:r w:rsidRPr="00BB1E65">
              <w:t xml:space="preserve"> or </w:t>
            </w:r>
          </w:p>
          <w:p w14:paraId="4CA6C7C9" w14:textId="77777777" w:rsidR="00E17723" w:rsidRPr="00BB1E65" w:rsidRDefault="00E17723" w:rsidP="00DF1F30">
            <w:pPr>
              <w:pStyle w:val="BulletText1"/>
            </w:pPr>
            <w:r w:rsidRPr="00BB1E65">
              <w:t xml:space="preserve">clearly states that the ACE process may not be used and an in-person examination is required to complete the DBQ.  </w:t>
            </w:r>
          </w:p>
          <w:p w14:paraId="354B58FD" w14:textId="77777777" w:rsidR="00E17723" w:rsidRPr="00BB1E65" w:rsidRDefault="00E17723" w:rsidP="00DF1F30">
            <w:pPr>
              <w:pStyle w:val="BlockText"/>
            </w:pPr>
          </w:p>
          <w:p w14:paraId="2D5D5F6A" w14:textId="4C4D0D79" w:rsidR="00271F50" w:rsidRPr="00BB1E65" w:rsidRDefault="00271F50" w:rsidP="00DF1F30">
            <w:pPr>
              <w:pStyle w:val="BlockText"/>
            </w:pPr>
            <w:r w:rsidRPr="00BB1E65">
              <w:rPr>
                <w:b/>
                <w:i/>
              </w:rPr>
              <w:t>Notes</w:t>
            </w:r>
            <w:r w:rsidRPr="00BB1E65">
              <w:t xml:space="preserve">: </w:t>
            </w:r>
          </w:p>
          <w:p w14:paraId="22617EFF" w14:textId="66A97376" w:rsidR="00271F50" w:rsidRPr="00BB1E65" w:rsidRDefault="00271F50" w:rsidP="00661A60">
            <w:pPr>
              <w:pStyle w:val="ListParagraph"/>
              <w:numPr>
                <w:ilvl w:val="0"/>
                <w:numId w:val="25"/>
              </w:numPr>
              <w:ind w:left="158" w:hanging="187"/>
            </w:pPr>
            <w:r w:rsidRPr="00BB1E65">
              <w:t>VBA has updated the DBQ templates in CAPRI to include the ACE check boxes that contain the rationale for the use of ACE, requiring the clinician to identify the materials relied on when using ACE to prepare the DBQ.</w:t>
            </w:r>
          </w:p>
          <w:p w14:paraId="33F3917E" w14:textId="6CC3D295" w:rsidR="00E17723" w:rsidRPr="00BB1E65" w:rsidRDefault="00271F50" w:rsidP="00661A60">
            <w:pPr>
              <w:pStyle w:val="ListParagraph"/>
              <w:numPr>
                <w:ilvl w:val="0"/>
                <w:numId w:val="25"/>
              </w:numPr>
              <w:ind w:left="158" w:hanging="187"/>
            </w:pPr>
            <w:r w:rsidRPr="00BB1E65">
              <w:t xml:space="preserve">The ERB contains the appropriate </w:t>
            </w:r>
            <w:r w:rsidR="00AC6C95" w:rsidRPr="00BB1E65">
              <w:t xml:space="preserve">ACE </w:t>
            </w:r>
            <w:r w:rsidRPr="00BB1E65">
              <w:t>language to include in the CAPRI examination request.</w:t>
            </w:r>
          </w:p>
          <w:p w14:paraId="694A0AFD" w14:textId="77777777" w:rsidR="002A7FC7" w:rsidRPr="00BB1E65" w:rsidRDefault="002A7FC7" w:rsidP="00621D24">
            <w:pPr>
              <w:ind w:left="-29"/>
            </w:pPr>
          </w:p>
          <w:p w14:paraId="26A1BC20" w14:textId="64F0F77B" w:rsidR="002A7FC7" w:rsidRPr="00BB1E65" w:rsidRDefault="002A7FC7" w:rsidP="00435150">
            <w:pPr>
              <w:ind w:left="-29"/>
            </w:pPr>
            <w:r w:rsidRPr="00BB1E65">
              <w:rPr>
                <w:b/>
                <w:i/>
              </w:rPr>
              <w:t>Reference</w:t>
            </w:r>
            <w:r w:rsidRPr="00BB1E65">
              <w:t xml:space="preserve">: </w:t>
            </w:r>
            <w:r w:rsidR="00321163" w:rsidRPr="00BB1E65">
              <w:t xml:space="preserve"> F</w:t>
            </w:r>
            <w:r w:rsidRPr="00BB1E65">
              <w:t xml:space="preserve">or more information on </w:t>
            </w:r>
            <w:r w:rsidR="00AC6C95" w:rsidRPr="00BB1E65">
              <w:t xml:space="preserve">requirements of </w:t>
            </w:r>
            <w:r w:rsidRPr="00BB1E65">
              <w:t xml:space="preserve">ACE examinations, see M21-1 Part III, </w:t>
            </w:r>
            <w:r w:rsidR="006B68DE" w:rsidRPr="00BB1E65">
              <w:t>S</w:t>
            </w:r>
            <w:r w:rsidRPr="00BB1E65">
              <w:t>ubpart iv</w:t>
            </w:r>
            <w:r w:rsidR="006B68DE" w:rsidRPr="00BB1E65">
              <w:t xml:space="preserve">, </w:t>
            </w:r>
            <w:r w:rsidRPr="00BB1E65">
              <w:t>3.D.</w:t>
            </w:r>
            <w:r w:rsidR="00AC6C95" w:rsidRPr="00BB1E65">
              <w:t>2.k</w:t>
            </w:r>
            <w:r w:rsidRPr="00BB1E65">
              <w:t>.</w:t>
            </w:r>
          </w:p>
        </w:tc>
      </w:tr>
    </w:tbl>
    <w:p w14:paraId="70C14F69" w14:textId="61EA5193" w:rsidR="004E4037" w:rsidRPr="00BB1E65" w:rsidRDefault="00E17723" w:rsidP="00E17723">
      <w:pPr>
        <w:tabs>
          <w:tab w:val="left" w:pos="9360"/>
        </w:tabs>
        <w:ind w:left="1714"/>
      </w:pPr>
      <w:r w:rsidRPr="00BB1E65">
        <w:rPr>
          <w:u w:val="single"/>
        </w:rPr>
        <w:tab/>
      </w:r>
    </w:p>
    <w:p w14:paraId="13984ACD" w14:textId="77777777" w:rsidR="004E4037" w:rsidRPr="00BB1E65" w:rsidRDefault="004E4037" w:rsidP="00753763"/>
    <w:p w14:paraId="07DEDD73" w14:textId="77777777" w:rsidR="00E91F31" w:rsidRPr="00BB1E65" w:rsidRDefault="00E91F31">
      <w:pPr>
        <w:rPr>
          <w:rFonts w:ascii="Arial" w:hAnsi="Arial" w:cs="Arial"/>
          <w:b/>
          <w:bCs/>
          <w:sz w:val="32"/>
          <w:szCs w:val="32"/>
        </w:rPr>
      </w:pPr>
      <w:r w:rsidRPr="00BB1E65">
        <w:br w:type="page"/>
      </w:r>
    </w:p>
    <w:p w14:paraId="787A6DC1" w14:textId="1DDDFE81" w:rsidR="00121758" w:rsidRPr="00BB1E65" w:rsidRDefault="00861F0A" w:rsidP="00121758">
      <w:pPr>
        <w:pStyle w:val="Heading4"/>
      </w:pPr>
      <w:bookmarkStart w:id="6" w:name="_5.__General"/>
      <w:bookmarkEnd w:id="6"/>
      <w:r w:rsidRPr="00BB1E65">
        <w:lastRenderedPageBreak/>
        <w:t>5.</w:t>
      </w:r>
      <w:r w:rsidR="00121758" w:rsidRPr="00BB1E65">
        <w:t xml:space="preserve">  General Medical Examinations</w:t>
      </w:r>
    </w:p>
    <w:p w14:paraId="0BD18E63" w14:textId="77777777" w:rsidR="00121758" w:rsidRPr="00BB1E65" w:rsidRDefault="00121758" w:rsidP="00121758">
      <w:pPr>
        <w:pStyle w:val="BlockLine"/>
      </w:pPr>
      <w:r w:rsidRPr="00BB1E65">
        <w:fldChar w:fldCharType="begin"/>
      </w:r>
      <w:r w:rsidRPr="00BB1E65">
        <w:instrText xml:space="preserve"> PRIVATE INFOTYPE="OTHER"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BB1E65" w14:paraId="4ACA99A3" w14:textId="77777777" w:rsidTr="00FB1164">
        <w:trPr>
          <w:cantSplit/>
        </w:trPr>
        <w:tc>
          <w:tcPr>
            <w:tcW w:w="1728" w:type="dxa"/>
            <w:tcBorders>
              <w:top w:val="nil"/>
              <w:left w:val="nil"/>
              <w:bottom w:val="nil"/>
              <w:right w:val="nil"/>
            </w:tcBorders>
          </w:tcPr>
          <w:p w14:paraId="01501674" w14:textId="77777777" w:rsidR="00121758" w:rsidRPr="00BB1E65" w:rsidRDefault="00121758" w:rsidP="00FB1164">
            <w:pPr>
              <w:pStyle w:val="Heading5"/>
            </w:pPr>
            <w:r w:rsidRPr="00BB1E65">
              <w:t>Introduction</w:t>
            </w:r>
          </w:p>
        </w:tc>
        <w:tc>
          <w:tcPr>
            <w:tcW w:w="7740" w:type="dxa"/>
            <w:tcBorders>
              <w:top w:val="nil"/>
              <w:left w:val="nil"/>
              <w:bottom w:val="nil"/>
              <w:right w:val="nil"/>
            </w:tcBorders>
          </w:tcPr>
          <w:p w14:paraId="787A133D" w14:textId="77777777" w:rsidR="00121758" w:rsidRPr="00BB1E65" w:rsidRDefault="00121758" w:rsidP="00FB1164">
            <w:pPr>
              <w:pStyle w:val="BlockText"/>
            </w:pPr>
            <w:r w:rsidRPr="00BB1E65">
              <w:t>This topic contains information about general medical examinations, including</w:t>
            </w:r>
          </w:p>
          <w:p w14:paraId="7E4106B7" w14:textId="77777777" w:rsidR="00121758" w:rsidRPr="00BB1E65" w:rsidRDefault="00121758" w:rsidP="00FB1164">
            <w:pPr>
              <w:pStyle w:val="BlockText"/>
            </w:pPr>
          </w:p>
          <w:p w14:paraId="1FAB93F1" w14:textId="77777777" w:rsidR="00121758" w:rsidRPr="00BB1E65" w:rsidRDefault="00121758" w:rsidP="00FB1164">
            <w:pPr>
              <w:pStyle w:val="BulletText1"/>
            </w:pPr>
            <w:r w:rsidRPr="00BB1E65">
              <w:t>when to request a general medical examination</w:t>
            </w:r>
          </w:p>
          <w:p w14:paraId="145748F7" w14:textId="77777777" w:rsidR="00121758" w:rsidRPr="00BB1E65" w:rsidRDefault="00121758" w:rsidP="00FB1164">
            <w:pPr>
              <w:pStyle w:val="BulletText1"/>
            </w:pPr>
            <w:r w:rsidRPr="00BB1E65">
              <w:t>when a general medical examination is not necessary</w:t>
            </w:r>
          </w:p>
          <w:p w14:paraId="7396D8FC" w14:textId="77777777" w:rsidR="00121758" w:rsidRPr="00BB1E65" w:rsidRDefault="00121758" w:rsidP="00FB1164">
            <w:pPr>
              <w:pStyle w:val="BulletText1"/>
            </w:pPr>
            <w:r w:rsidRPr="00BB1E65">
              <w:t>conducting a general medical examination, and</w:t>
            </w:r>
          </w:p>
          <w:p w14:paraId="7D0F30A8" w14:textId="77777777" w:rsidR="00121758" w:rsidRPr="00BB1E65" w:rsidRDefault="00121758" w:rsidP="00FB1164">
            <w:pPr>
              <w:pStyle w:val="BulletText1"/>
            </w:pPr>
            <w:r w:rsidRPr="00BB1E65">
              <w:t>citing medical conditions to be examined.</w:t>
            </w:r>
          </w:p>
        </w:tc>
      </w:tr>
    </w:tbl>
    <w:p w14:paraId="5974DEC0" w14:textId="77777777" w:rsidR="00121758" w:rsidRPr="00BB1E65" w:rsidRDefault="00121758" w:rsidP="00121758">
      <w:pPr>
        <w:pStyle w:val="BlockLine"/>
      </w:pPr>
    </w:p>
    <w:tbl>
      <w:tblPr>
        <w:tblW w:w="0" w:type="auto"/>
        <w:tblInd w:w="-106" w:type="dxa"/>
        <w:tblLayout w:type="fixed"/>
        <w:tblLook w:val="0000" w:firstRow="0" w:lastRow="0" w:firstColumn="0" w:lastColumn="0" w:noHBand="0" w:noVBand="0"/>
      </w:tblPr>
      <w:tblGrid>
        <w:gridCol w:w="1728"/>
        <w:gridCol w:w="7740"/>
      </w:tblGrid>
      <w:tr w:rsidR="00121758" w:rsidRPr="00BB1E65" w14:paraId="5FA5BF3F" w14:textId="77777777" w:rsidTr="00FB1164">
        <w:trPr>
          <w:cantSplit/>
        </w:trPr>
        <w:tc>
          <w:tcPr>
            <w:tcW w:w="1728" w:type="dxa"/>
            <w:tcBorders>
              <w:top w:val="nil"/>
              <w:left w:val="nil"/>
              <w:bottom w:val="nil"/>
              <w:right w:val="nil"/>
            </w:tcBorders>
          </w:tcPr>
          <w:p w14:paraId="73925219" w14:textId="77777777" w:rsidR="00121758" w:rsidRPr="00BB1E65" w:rsidRDefault="00121758" w:rsidP="00FB1164">
            <w:pPr>
              <w:pStyle w:val="Heading5"/>
            </w:pPr>
            <w:r w:rsidRPr="00BB1E65">
              <w:t>Change Date</w:t>
            </w:r>
          </w:p>
        </w:tc>
        <w:tc>
          <w:tcPr>
            <w:tcW w:w="7740" w:type="dxa"/>
            <w:tcBorders>
              <w:top w:val="nil"/>
              <w:left w:val="nil"/>
              <w:bottom w:val="nil"/>
              <w:right w:val="nil"/>
            </w:tcBorders>
          </w:tcPr>
          <w:p w14:paraId="4F648DEE" w14:textId="244E9338" w:rsidR="00121758" w:rsidRPr="00BB1E65" w:rsidRDefault="003653AB" w:rsidP="00AC6C95">
            <w:pPr>
              <w:pStyle w:val="BlockText"/>
              <w:tabs>
                <w:tab w:val="left" w:pos="1005"/>
              </w:tabs>
            </w:pPr>
            <w:r w:rsidRPr="00BB1E65">
              <w:t>Febru</w:t>
            </w:r>
            <w:r w:rsidR="005E1CFF" w:rsidRPr="00BB1E65">
              <w:t>ary 3, 2016</w:t>
            </w:r>
          </w:p>
        </w:tc>
      </w:tr>
    </w:tbl>
    <w:p w14:paraId="74A6C147" w14:textId="77777777" w:rsidR="00121758" w:rsidRPr="00BB1E65" w:rsidRDefault="00121758" w:rsidP="00121758">
      <w:pPr>
        <w:pStyle w:val="BlockLine"/>
      </w:pPr>
      <w:r w:rsidRPr="00BB1E65">
        <w:fldChar w:fldCharType="begin"/>
      </w:r>
      <w:r w:rsidRPr="00BB1E65">
        <w:instrText xml:space="preserve"> PRIVATE INFOTYPE="PROCEDURE"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BB1E65" w14:paraId="4C2ECDFC" w14:textId="77777777" w:rsidTr="00FB1164">
        <w:trPr>
          <w:cantSplit/>
        </w:trPr>
        <w:tc>
          <w:tcPr>
            <w:tcW w:w="1728" w:type="dxa"/>
            <w:tcBorders>
              <w:top w:val="nil"/>
              <w:left w:val="nil"/>
              <w:bottom w:val="nil"/>
              <w:right w:val="nil"/>
            </w:tcBorders>
          </w:tcPr>
          <w:p w14:paraId="3C51C87D" w14:textId="77777777" w:rsidR="00121758" w:rsidRPr="00BB1E65" w:rsidRDefault="00121758" w:rsidP="00FB1164">
            <w:pPr>
              <w:pStyle w:val="Heading5"/>
            </w:pPr>
            <w:r w:rsidRPr="00BB1E65">
              <w:t>a.  When to Request a General Medical Examination</w:t>
            </w:r>
          </w:p>
        </w:tc>
        <w:tc>
          <w:tcPr>
            <w:tcW w:w="7740" w:type="dxa"/>
            <w:tcBorders>
              <w:top w:val="nil"/>
              <w:left w:val="nil"/>
              <w:bottom w:val="nil"/>
              <w:right w:val="nil"/>
            </w:tcBorders>
          </w:tcPr>
          <w:p w14:paraId="25031377" w14:textId="77777777" w:rsidR="00610FB9" w:rsidRPr="00BB1E65" w:rsidRDefault="00121758" w:rsidP="00FB1164">
            <w:pPr>
              <w:pStyle w:val="BlockText"/>
            </w:pPr>
            <w:r w:rsidRPr="00BB1E65">
              <w:t>A general medical examination containing a full report of complaints and functional impairments is the preferred type of examination in cases concerning original compensation claims</w:t>
            </w:r>
            <w:r w:rsidR="00610FB9" w:rsidRPr="00BB1E65">
              <w:t xml:space="preserve">.  </w:t>
            </w:r>
          </w:p>
          <w:p w14:paraId="7FA3BBA1" w14:textId="77777777" w:rsidR="00610FB9" w:rsidRPr="00BB1E65" w:rsidRDefault="00610FB9" w:rsidP="00FB1164">
            <w:pPr>
              <w:pStyle w:val="BlockText"/>
            </w:pPr>
          </w:p>
          <w:p w14:paraId="28853B74" w14:textId="48690291" w:rsidR="00121758" w:rsidRPr="00BB1E65" w:rsidRDefault="00610FB9" w:rsidP="00FB1164">
            <w:pPr>
              <w:pStyle w:val="BlockText"/>
            </w:pPr>
            <w:r w:rsidRPr="00BB1E65">
              <w:t>Request a general medical examination</w:t>
            </w:r>
            <w:r w:rsidR="00121758" w:rsidRPr="00BB1E65">
              <w:t xml:space="preserve"> if </w:t>
            </w:r>
            <w:r w:rsidRPr="00BB1E65">
              <w:t xml:space="preserve">an original claim is </w:t>
            </w:r>
            <w:r w:rsidR="00121758" w:rsidRPr="00BB1E65">
              <w:t>received within one year of discharge</w:t>
            </w:r>
            <w:r w:rsidRPr="00BB1E65">
              <w:t xml:space="preserve"> </w:t>
            </w:r>
            <w:r w:rsidRPr="00BB1E65">
              <w:rPr>
                <w:b/>
                <w:i/>
              </w:rPr>
              <w:t>or</w:t>
            </w:r>
            <w:r w:rsidRPr="00BB1E65">
              <w:t xml:space="preserve"> </w:t>
            </w:r>
            <w:proofErr w:type="gramStart"/>
            <w:r w:rsidRPr="00BB1E65">
              <w:t>an Intent</w:t>
            </w:r>
            <w:proofErr w:type="gramEnd"/>
            <w:r w:rsidRPr="00BB1E65">
              <w:t xml:space="preserve"> to File</w:t>
            </w:r>
            <w:r w:rsidR="005E1CFF" w:rsidRPr="00BB1E65">
              <w:t xml:space="preserve"> </w:t>
            </w:r>
            <w:r w:rsidRPr="00BB1E65">
              <w:t>(ITF</w:t>
            </w:r>
            <w:r w:rsidR="00121758" w:rsidRPr="00BB1E65">
              <w:t>)</w:t>
            </w:r>
            <w:r w:rsidRPr="00BB1E65">
              <w:t xml:space="preserve"> is received within one year of discharge and a substantially complete application is received within one year of the ITF.</w:t>
            </w:r>
          </w:p>
          <w:p w14:paraId="1A469507" w14:textId="77777777" w:rsidR="00121758" w:rsidRPr="00BB1E65" w:rsidRDefault="00121758" w:rsidP="00FB1164">
            <w:pPr>
              <w:pStyle w:val="BlockText"/>
            </w:pPr>
          </w:p>
          <w:p w14:paraId="20CFF6C0" w14:textId="2456DC45" w:rsidR="00121758" w:rsidRPr="00BB1E65" w:rsidRDefault="00121758" w:rsidP="00FB1164">
            <w:pPr>
              <w:pStyle w:val="BlockText"/>
            </w:pPr>
            <w:r w:rsidRPr="00BB1E65">
              <w:t xml:space="preserve">It may also be appropriate to request a general medical examination to obtain evidence in claims for </w:t>
            </w:r>
            <w:r w:rsidR="00A011D2" w:rsidRPr="00BB1E65">
              <w:t>individual unemployability (</w:t>
            </w:r>
            <w:r w:rsidRPr="00BB1E65">
              <w:t>IU</w:t>
            </w:r>
            <w:r w:rsidR="00A011D2" w:rsidRPr="00BB1E65">
              <w:t>)</w:t>
            </w:r>
            <w:r w:rsidRPr="00BB1E65">
              <w:t xml:space="preserve">, </w:t>
            </w:r>
            <w:r w:rsidR="00381D0E" w:rsidRPr="00BB1E65">
              <w:t>service connection (</w:t>
            </w:r>
            <w:r w:rsidR="00E917FB" w:rsidRPr="00BB1E65">
              <w:t>SC</w:t>
            </w:r>
            <w:r w:rsidR="00381D0E" w:rsidRPr="00BB1E65">
              <w:t>)</w:t>
            </w:r>
            <w:r w:rsidRPr="00BB1E65">
              <w:t xml:space="preserve"> under </w:t>
            </w:r>
            <w:hyperlink r:id="rId35" w:history="1">
              <w:r w:rsidRPr="00BB1E65">
                <w:rPr>
                  <w:rStyle w:val="Hyperlink"/>
                </w:rPr>
                <w:t>38 CFR 3.317</w:t>
              </w:r>
            </w:hyperlink>
            <w:r w:rsidRPr="00BB1E65">
              <w:t xml:space="preserve">, or </w:t>
            </w:r>
            <w:r w:rsidR="00AC6C95" w:rsidRPr="00BB1E65">
              <w:t>Veteran’s P</w:t>
            </w:r>
            <w:r w:rsidRPr="00BB1E65">
              <w:t>ension.</w:t>
            </w:r>
          </w:p>
          <w:p w14:paraId="6539E8FB" w14:textId="77777777" w:rsidR="00121758" w:rsidRPr="00BB1E65" w:rsidRDefault="00121758" w:rsidP="00FB1164">
            <w:pPr>
              <w:pStyle w:val="BlockText"/>
            </w:pPr>
          </w:p>
          <w:p w14:paraId="79ABDF17" w14:textId="77777777" w:rsidR="00121758" w:rsidRPr="00BB1E65" w:rsidRDefault="00121758" w:rsidP="00FB1164">
            <w:pPr>
              <w:pStyle w:val="BlockText"/>
            </w:pPr>
            <w:r w:rsidRPr="00BB1E65">
              <w:rPr>
                <w:b/>
                <w:bCs/>
                <w:i/>
                <w:iCs/>
              </w:rPr>
              <w:t>Important</w:t>
            </w:r>
            <w:r w:rsidRPr="00BB1E65">
              <w:t xml:space="preserve">:  </w:t>
            </w:r>
          </w:p>
          <w:p w14:paraId="519A6380" w14:textId="77777777" w:rsidR="00121758" w:rsidRPr="00BB1E65" w:rsidRDefault="00121758" w:rsidP="00FB1164">
            <w:pPr>
              <w:pStyle w:val="BulletText1"/>
            </w:pPr>
            <w:r w:rsidRPr="00BB1E65">
              <w:t>A well-performed general medical examination is usually of greater value than a number of specialist examinations that are not correlated.</w:t>
            </w:r>
          </w:p>
          <w:p w14:paraId="2AE7FFCA" w14:textId="415AD0D9" w:rsidR="00121758" w:rsidRPr="00BB1E65" w:rsidRDefault="00121758" w:rsidP="00FB1164">
            <w:pPr>
              <w:pStyle w:val="BulletText1"/>
            </w:pPr>
            <w:r w:rsidRPr="00BB1E65">
              <w:t xml:space="preserve">When requesting a general medical examination to evaluate an original compensation claim received within one year of discharge, do not specify that the examiner also complete specialty examinations for each claimed disability.  However, consider whether specialist examinations are required by virtue of the specific claims. </w:t>
            </w:r>
            <w:r w:rsidR="001D71BA" w:rsidRPr="00BB1E65">
              <w:t xml:space="preserve"> </w:t>
            </w:r>
            <w:r w:rsidRPr="00BB1E65">
              <w:t xml:space="preserve">This policy applies to examinations requested from VHA as well as from private providers under VA contract.  </w:t>
            </w:r>
          </w:p>
          <w:p w14:paraId="214CBD81" w14:textId="77777777" w:rsidR="00121758" w:rsidRPr="00BB1E65" w:rsidRDefault="00121758" w:rsidP="00FB1164">
            <w:pPr>
              <w:pStyle w:val="BulletText1"/>
              <w:numPr>
                <w:ilvl w:val="0"/>
                <w:numId w:val="0"/>
              </w:numPr>
            </w:pPr>
          </w:p>
          <w:p w14:paraId="10149EAD" w14:textId="20329AF0" w:rsidR="002F6ADD" w:rsidRPr="00BB1E65" w:rsidRDefault="00121758" w:rsidP="00FB1164">
            <w:pPr>
              <w:pStyle w:val="BulletText1"/>
              <w:numPr>
                <w:ilvl w:val="0"/>
                <w:numId w:val="0"/>
              </w:numPr>
            </w:pPr>
            <w:r w:rsidRPr="00BB1E65">
              <w:rPr>
                <w:b/>
                <w:bCs/>
                <w:i/>
                <w:iCs/>
              </w:rPr>
              <w:t>References</w:t>
            </w:r>
            <w:r w:rsidRPr="00BB1E65">
              <w:t>:</w:t>
            </w:r>
            <w:r w:rsidR="00D65FA5" w:rsidRPr="00BB1E65">
              <w:t xml:space="preserve">  For more information on</w:t>
            </w:r>
          </w:p>
          <w:p w14:paraId="739C03C8" w14:textId="534E3E2D" w:rsidR="00610FB9" w:rsidRPr="00BB1E65" w:rsidRDefault="005E1CFF" w:rsidP="003653AB">
            <w:pPr>
              <w:pStyle w:val="ListParagraph"/>
              <w:numPr>
                <w:ilvl w:val="0"/>
                <w:numId w:val="113"/>
              </w:numPr>
              <w:ind w:left="158" w:hanging="187"/>
            </w:pPr>
            <w:r w:rsidRPr="00BB1E65">
              <w:t>ITF</w:t>
            </w:r>
            <w:r w:rsidR="00610FB9" w:rsidRPr="00BB1E65">
              <w:t xml:space="preserve">, see </w:t>
            </w:r>
            <w:hyperlink r:id="rId36" w:history="1">
              <w:r w:rsidR="00CF6147" w:rsidRPr="00BB1E65">
                <w:rPr>
                  <w:rStyle w:val="Hyperlink"/>
                </w:rPr>
                <w:t>38 CFR 3.155</w:t>
              </w:r>
              <w:r w:rsidR="007E53B5" w:rsidRPr="00BB1E65">
                <w:rPr>
                  <w:rStyle w:val="Hyperlink"/>
                </w:rPr>
                <w:t>(b)</w:t>
              </w:r>
            </w:hyperlink>
            <w:r w:rsidR="00CF6147" w:rsidRPr="00BB1E65">
              <w:t xml:space="preserve"> and M21-1, Part III, Subpart ii</w:t>
            </w:r>
            <w:r w:rsidR="00303B32" w:rsidRPr="00BB1E65">
              <w:t>, 2.C.1</w:t>
            </w:r>
            <w:r w:rsidR="00610FB9" w:rsidRPr="00BB1E65">
              <w:t xml:space="preserve"> </w:t>
            </w:r>
          </w:p>
          <w:p w14:paraId="22E4A1C9" w14:textId="7F945973" w:rsidR="002F6ADD" w:rsidRPr="00BB1E65" w:rsidRDefault="00121758" w:rsidP="00661A60">
            <w:pPr>
              <w:pStyle w:val="ListParagraph"/>
              <w:numPr>
                <w:ilvl w:val="0"/>
                <w:numId w:val="43"/>
              </w:numPr>
              <w:ind w:left="158" w:hanging="187"/>
            </w:pPr>
            <w:r w:rsidRPr="00BB1E65">
              <w:t>specialist examinations, see</w:t>
            </w:r>
            <w:r w:rsidR="006E7A17" w:rsidRPr="00BB1E65">
              <w:t xml:space="preserve"> </w:t>
            </w:r>
            <w:r w:rsidR="001020AE" w:rsidRPr="00BB1E65">
              <w:t xml:space="preserve">M21-1 Part III, </w:t>
            </w:r>
            <w:r w:rsidR="005E1CFF" w:rsidRPr="00BB1E65">
              <w:t>S</w:t>
            </w:r>
            <w:r w:rsidR="001020AE" w:rsidRPr="00BB1E65">
              <w:t>ubpart iv, 3.A</w:t>
            </w:r>
            <w:r w:rsidR="00AC6C95" w:rsidRPr="00BB1E65">
              <w:t>.6</w:t>
            </w:r>
            <w:r w:rsidR="00E65A61" w:rsidRPr="00BB1E65">
              <w:t>, and</w:t>
            </w:r>
          </w:p>
          <w:p w14:paraId="659CD1F0" w14:textId="79389CBD" w:rsidR="00121758" w:rsidRPr="00BB1E65" w:rsidRDefault="002F6ADD" w:rsidP="00661A60">
            <w:pPr>
              <w:pStyle w:val="ListParagraph"/>
              <w:numPr>
                <w:ilvl w:val="0"/>
                <w:numId w:val="31"/>
              </w:numPr>
              <w:ind w:left="158" w:hanging="187"/>
            </w:pPr>
            <w:r w:rsidRPr="00BB1E65">
              <w:t xml:space="preserve">requesting exams related to claims for </w:t>
            </w:r>
            <w:r w:rsidR="00785AA6" w:rsidRPr="00BB1E65">
              <w:t>IU</w:t>
            </w:r>
            <w:r w:rsidRPr="00BB1E65">
              <w:t xml:space="preserve">, see M21-1, Part IV, </w:t>
            </w:r>
            <w:r w:rsidR="005E1CFF" w:rsidRPr="00BB1E65">
              <w:t>S</w:t>
            </w:r>
            <w:r w:rsidRPr="00BB1E65">
              <w:t>ubpart ii, 2.F.2.</w:t>
            </w:r>
            <w:r w:rsidR="00785AA6" w:rsidRPr="00BB1E65">
              <w:t>c</w:t>
            </w:r>
            <w:r w:rsidR="00D65FA5" w:rsidRPr="00BB1E65">
              <w:t>.</w:t>
            </w:r>
          </w:p>
        </w:tc>
      </w:tr>
    </w:tbl>
    <w:p w14:paraId="3AA128AB" w14:textId="77777777" w:rsidR="00121758" w:rsidRPr="00BB1E65" w:rsidRDefault="00121758" w:rsidP="00121758">
      <w:pPr>
        <w:pStyle w:val="BlockLine"/>
      </w:pPr>
      <w:r w:rsidRPr="00BB1E65">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BB1E65" w14:paraId="4CB027D4" w14:textId="77777777" w:rsidTr="00FB1164">
        <w:tc>
          <w:tcPr>
            <w:tcW w:w="1728" w:type="dxa"/>
            <w:tcBorders>
              <w:top w:val="nil"/>
              <w:left w:val="nil"/>
              <w:bottom w:val="nil"/>
              <w:right w:val="nil"/>
            </w:tcBorders>
          </w:tcPr>
          <w:p w14:paraId="53A20615" w14:textId="77777777" w:rsidR="00121758" w:rsidRPr="00BB1E65" w:rsidRDefault="00121758" w:rsidP="00FB1164">
            <w:pPr>
              <w:pStyle w:val="Heading5"/>
            </w:pPr>
            <w:r w:rsidRPr="00BB1E65">
              <w:t xml:space="preserve">b.  When a General Medical Examination is </w:t>
            </w:r>
            <w:r w:rsidRPr="00BB1E65">
              <w:lastRenderedPageBreak/>
              <w:t>Not Necessary</w:t>
            </w:r>
          </w:p>
        </w:tc>
        <w:tc>
          <w:tcPr>
            <w:tcW w:w="7740" w:type="dxa"/>
            <w:tcBorders>
              <w:top w:val="nil"/>
              <w:left w:val="nil"/>
              <w:bottom w:val="nil"/>
              <w:right w:val="nil"/>
            </w:tcBorders>
          </w:tcPr>
          <w:p w14:paraId="09D024EE" w14:textId="3CB46F15" w:rsidR="00121758" w:rsidRPr="00BB1E65" w:rsidRDefault="00121758" w:rsidP="00FB1164">
            <w:pPr>
              <w:pStyle w:val="BlockText"/>
            </w:pPr>
            <w:r w:rsidRPr="00BB1E65">
              <w:lastRenderedPageBreak/>
              <w:t>It is not necessary to request a general medical examination if an original claim for compensation is being rated many years after separation from service.</w:t>
            </w:r>
          </w:p>
          <w:p w14:paraId="11257503" w14:textId="77777777" w:rsidR="00121758" w:rsidRPr="00BB1E65" w:rsidRDefault="00121758" w:rsidP="00FB1164">
            <w:pPr>
              <w:pStyle w:val="BlockText"/>
            </w:pPr>
          </w:p>
          <w:p w14:paraId="6506B08E" w14:textId="24AA7822" w:rsidR="00121758" w:rsidRPr="00BB1E65" w:rsidRDefault="00121758" w:rsidP="00785AA6">
            <w:pPr>
              <w:pStyle w:val="BlockText"/>
            </w:pPr>
            <w:r w:rsidRPr="00BB1E65">
              <w:rPr>
                <w:b/>
                <w:bCs/>
                <w:i/>
                <w:iCs/>
              </w:rPr>
              <w:t>Exception</w:t>
            </w:r>
            <w:r w:rsidRPr="00BB1E65">
              <w:t xml:space="preserve">:  In claims for IU, </w:t>
            </w:r>
            <w:r w:rsidR="00E917FB" w:rsidRPr="00BB1E65">
              <w:t>SC</w:t>
            </w:r>
            <w:r w:rsidRPr="00BB1E65">
              <w:t xml:space="preserve"> under </w:t>
            </w:r>
            <w:hyperlink r:id="rId37" w:history="1">
              <w:r w:rsidRPr="00BB1E65">
                <w:rPr>
                  <w:rStyle w:val="Hyperlink"/>
                </w:rPr>
                <w:t>38 CFR 3.317</w:t>
              </w:r>
            </w:hyperlink>
            <w:r w:rsidRPr="00BB1E65">
              <w:t xml:space="preserve">, or </w:t>
            </w:r>
            <w:r w:rsidR="00785AA6" w:rsidRPr="00BB1E65">
              <w:t>Veteran’s P</w:t>
            </w:r>
            <w:r w:rsidRPr="00BB1E65">
              <w:t xml:space="preserve">ension filed more than one year after service, a general medical examination may be appropriate.  General Medical DBQs exist for compensation, </w:t>
            </w:r>
            <w:r w:rsidR="00785AA6" w:rsidRPr="00BB1E65">
              <w:t>Veteran’s Pension</w:t>
            </w:r>
            <w:r w:rsidRPr="00BB1E65">
              <w:t xml:space="preserve">, and Gulf War claims.  </w:t>
            </w:r>
          </w:p>
        </w:tc>
      </w:tr>
    </w:tbl>
    <w:p w14:paraId="1CF4CD9B" w14:textId="77777777" w:rsidR="00121758" w:rsidRPr="00BB1E65" w:rsidRDefault="00121758" w:rsidP="00121758">
      <w:pPr>
        <w:pStyle w:val="BlockLine"/>
      </w:pPr>
      <w:r w:rsidRPr="00BB1E65">
        <w:lastRenderedPageBreak/>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BB1E65" w14:paraId="72C405F7" w14:textId="77777777" w:rsidTr="0000732C">
        <w:tc>
          <w:tcPr>
            <w:tcW w:w="1728" w:type="dxa"/>
            <w:tcBorders>
              <w:top w:val="nil"/>
              <w:left w:val="nil"/>
              <w:bottom w:val="nil"/>
              <w:right w:val="nil"/>
            </w:tcBorders>
          </w:tcPr>
          <w:p w14:paraId="768061C3" w14:textId="77777777" w:rsidR="00121758" w:rsidRPr="00BB1E65" w:rsidRDefault="00121758" w:rsidP="00FB1164">
            <w:pPr>
              <w:pStyle w:val="Heading5"/>
            </w:pPr>
            <w:r w:rsidRPr="00BB1E65">
              <w:t>c.  Conducting a General Medical Examination</w:t>
            </w:r>
          </w:p>
        </w:tc>
        <w:tc>
          <w:tcPr>
            <w:tcW w:w="7740" w:type="dxa"/>
            <w:tcBorders>
              <w:top w:val="nil"/>
              <w:left w:val="nil"/>
              <w:bottom w:val="nil"/>
              <w:right w:val="nil"/>
            </w:tcBorders>
          </w:tcPr>
          <w:p w14:paraId="3633675B" w14:textId="77777777" w:rsidR="00121758" w:rsidRPr="00BB1E65" w:rsidRDefault="00121758" w:rsidP="00FB1164">
            <w:pPr>
              <w:pStyle w:val="BlockText"/>
            </w:pPr>
            <w:r w:rsidRPr="00BB1E65">
              <w:t>When the medical examiner conducts the examination, he/she should confirm the existence of and evaluate</w:t>
            </w:r>
          </w:p>
          <w:p w14:paraId="6D10EF17" w14:textId="77777777" w:rsidR="00121758" w:rsidRPr="00BB1E65" w:rsidRDefault="00121758" w:rsidP="00FB1164">
            <w:pPr>
              <w:pStyle w:val="BlockText"/>
            </w:pPr>
          </w:p>
          <w:p w14:paraId="3DB127D0" w14:textId="5D4DB480" w:rsidR="00121758" w:rsidRPr="00BB1E65" w:rsidRDefault="00984136" w:rsidP="00FB1164">
            <w:pPr>
              <w:pStyle w:val="BulletText1"/>
            </w:pPr>
            <w:r w:rsidRPr="00BB1E65">
              <w:t>all disabilities listed i</w:t>
            </w:r>
            <w:r w:rsidR="00121758" w:rsidRPr="00BB1E65">
              <w:t>n the examination request, and</w:t>
            </w:r>
          </w:p>
          <w:p w14:paraId="505123F6" w14:textId="77777777" w:rsidR="00121758" w:rsidRPr="00BB1E65" w:rsidRDefault="00121758" w:rsidP="00FB1164">
            <w:pPr>
              <w:pStyle w:val="BulletText1"/>
            </w:pPr>
            <w:r w:rsidRPr="00BB1E65">
              <w:t>any other disabilities the Veteran identifies during the examination.</w:t>
            </w:r>
          </w:p>
          <w:p w14:paraId="53DD868F" w14:textId="77777777" w:rsidR="00121758" w:rsidRPr="00BB1E65" w:rsidRDefault="00121758" w:rsidP="00FB1164">
            <w:pPr>
              <w:pStyle w:val="BlockText"/>
              <w:rPr>
                <w:b/>
                <w:bCs/>
                <w:i/>
                <w:iCs/>
              </w:rPr>
            </w:pPr>
          </w:p>
          <w:p w14:paraId="747FEEE4" w14:textId="77777777" w:rsidR="00121758" w:rsidRPr="00BB1E65" w:rsidRDefault="00121758" w:rsidP="00FB1164">
            <w:pPr>
              <w:pStyle w:val="BlockText"/>
            </w:pPr>
            <w:r w:rsidRPr="00BB1E65">
              <w:rPr>
                <w:b/>
                <w:bCs/>
                <w:i/>
                <w:iCs/>
              </w:rPr>
              <w:t>Note</w:t>
            </w:r>
            <w:r w:rsidRPr="00BB1E65">
              <w:t xml:space="preserve">:  Opinions addressing etiology and relationship to service are </w:t>
            </w:r>
            <w:r w:rsidRPr="00BB1E65">
              <w:rPr>
                <w:i/>
              </w:rPr>
              <w:t>not</w:t>
            </w:r>
            <w:r w:rsidRPr="00BB1E65">
              <w:t xml:space="preserve"> typically provided by general medical examinations. </w:t>
            </w:r>
          </w:p>
          <w:p w14:paraId="6AFCA3F3" w14:textId="77777777" w:rsidR="00121758" w:rsidRPr="00BB1E65" w:rsidRDefault="00121758" w:rsidP="00FB1164">
            <w:pPr>
              <w:pStyle w:val="BlockText"/>
            </w:pPr>
          </w:p>
          <w:p w14:paraId="792A9C88" w14:textId="14EF124E" w:rsidR="00121758" w:rsidRPr="00BB1E65" w:rsidRDefault="00121758" w:rsidP="00FB1164">
            <w:pPr>
              <w:pStyle w:val="BlockText"/>
            </w:pPr>
            <w:r w:rsidRPr="00BB1E65">
              <w:rPr>
                <w:b/>
                <w:bCs/>
                <w:i/>
                <w:iCs/>
              </w:rPr>
              <w:t>Reference</w:t>
            </w:r>
            <w:r w:rsidRPr="00BB1E65">
              <w:t xml:space="preserve">:  For more information on DBQs used for general medical examinations, see VA’s </w:t>
            </w:r>
            <w:hyperlink r:id="rId38" w:history="1">
              <w:r w:rsidRPr="00BB1E65">
                <w:rPr>
                  <w:rStyle w:val="Hyperlink"/>
                </w:rPr>
                <w:t>DBQ switchboard</w:t>
              </w:r>
            </w:hyperlink>
            <w:r w:rsidRPr="00BB1E65">
              <w:t>.</w:t>
            </w:r>
          </w:p>
        </w:tc>
      </w:tr>
    </w:tbl>
    <w:p w14:paraId="6525B89C" w14:textId="77777777" w:rsidR="00121758" w:rsidRPr="00BB1E65" w:rsidRDefault="00121758" w:rsidP="00121758">
      <w:pPr>
        <w:pStyle w:val="BlockLine"/>
      </w:pPr>
      <w:r w:rsidRPr="00BB1E65">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BB1E65" w14:paraId="22DA1984" w14:textId="77777777" w:rsidTr="00FB1164">
        <w:trPr>
          <w:cantSplit/>
        </w:trPr>
        <w:tc>
          <w:tcPr>
            <w:tcW w:w="1728" w:type="dxa"/>
            <w:tcBorders>
              <w:top w:val="nil"/>
              <w:left w:val="nil"/>
              <w:bottom w:val="nil"/>
              <w:right w:val="nil"/>
            </w:tcBorders>
          </w:tcPr>
          <w:p w14:paraId="73281774" w14:textId="77777777" w:rsidR="00121758" w:rsidRPr="00BB1E65" w:rsidRDefault="00121758" w:rsidP="00FB1164">
            <w:pPr>
              <w:pStyle w:val="Heading5"/>
            </w:pPr>
            <w:r w:rsidRPr="00BB1E65">
              <w:t>d.  Citing Medical Conditions to Be Examined</w:t>
            </w:r>
          </w:p>
        </w:tc>
        <w:tc>
          <w:tcPr>
            <w:tcW w:w="7740" w:type="dxa"/>
            <w:tcBorders>
              <w:top w:val="nil"/>
              <w:left w:val="nil"/>
              <w:bottom w:val="nil"/>
              <w:right w:val="nil"/>
            </w:tcBorders>
          </w:tcPr>
          <w:p w14:paraId="6418B4B9" w14:textId="77777777" w:rsidR="00121758" w:rsidRPr="00BB1E65" w:rsidRDefault="00121758" w:rsidP="00FB1164">
            <w:pPr>
              <w:pStyle w:val="BlockText"/>
            </w:pPr>
            <w:r w:rsidRPr="00BB1E65">
              <w:t>The examination request for a general medical examination should clearly cite the conditions or particular diagnoses that require attention.</w:t>
            </w:r>
          </w:p>
        </w:tc>
      </w:tr>
    </w:tbl>
    <w:p w14:paraId="24119D8B" w14:textId="77777777" w:rsidR="00121758" w:rsidRPr="00BB1E65" w:rsidRDefault="00121758" w:rsidP="00121758">
      <w:pPr>
        <w:pStyle w:val="BlockLine"/>
      </w:pPr>
    </w:p>
    <w:p w14:paraId="6E456A18" w14:textId="77777777" w:rsidR="00E91F31" w:rsidRPr="00BB1E65" w:rsidRDefault="00E91F31">
      <w:pPr>
        <w:rPr>
          <w:rFonts w:ascii="Arial" w:hAnsi="Arial" w:cs="Arial"/>
          <w:b/>
          <w:bCs/>
          <w:sz w:val="32"/>
          <w:szCs w:val="32"/>
        </w:rPr>
      </w:pPr>
      <w:r w:rsidRPr="00BB1E65">
        <w:br w:type="page"/>
      </w:r>
    </w:p>
    <w:p w14:paraId="508D99A9" w14:textId="3ACF707E" w:rsidR="00121758" w:rsidRPr="00BB1E65" w:rsidRDefault="00567178" w:rsidP="00121758">
      <w:pPr>
        <w:pStyle w:val="Heading4"/>
      </w:pPr>
      <w:bookmarkStart w:id="7" w:name="_6.__Specialist"/>
      <w:bookmarkEnd w:id="7"/>
      <w:r w:rsidRPr="00BB1E65">
        <w:lastRenderedPageBreak/>
        <w:t>6</w:t>
      </w:r>
      <w:r w:rsidR="00121758" w:rsidRPr="00BB1E65">
        <w:t>.  Specialist Examinations</w:t>
      </w:r>
    </w:p>
    <w:p w14:paraId="634CC8E6" w14:textId="77777777" w:rsidR="00121758" w:rsidRPr="00BB1E65" w:rsidRDefault="00121758" w:rsidP="00121758">
      <w:pPr>
        <w:pStyle w:val="BlockLine"/>
      </w:pPr>
      <w:r w:rsidRPr="00BB1E65">
        <w:fldChar w:fldCharType="begin"/>
      </w:r>
      <w:r w:rsidRPr="00BB1E65">
        <w:instrText xml:space="preserve"> PRIVATE INFOTYPE="OTHER"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BB1E65" w14:paraId="16EAE24A" w14:textId="77777777" w:rsidTr="00FB1164">
        <w:trPr>
          <w:cantSplit/>
        </w:trPr>
        <w:tc>
          <w:tcPr>
            <w:tcW w:w="1728" w:type="dxa"/>
            <w:tcBorders>
              <w:top w:val="nil"/>
              <w:left w:val="nil"/>
              <w:bottom w:val="nil"/>
              <w:right w:val="nil"/>
            </w:tcBorders>
          </w:tcPr>
          <w:p w14:paraId="13C41DF6" w14:textId="77777777" w:rsidR="00121758" w:rsidRPr="00BB1E65" w:rsidRDefault="00121758" w:rsidP="00FB1164">
            <w:pPr>
              <w:pStyle w:val="Heading5"/>
            </w:pPr>
            <w:r w:rsidRPr="00BB1E65">
              <w:t>Introduction</w:t>
            </w:r>
          </w:p>
        </w:tc>
        <w:tc>
          <w:tcPr>
            <w:tcW w:w="7740" w:type="dxa"/>
            <w:tcBorders>
              <w:top w:val="nil"/>
              <w:left w:val="nil"/>
              <w:bottom w:val="nil"/>
              <w:right w:val="nil"/>
            </w:tcBorders>
          </w:tcPr>
          <w:p w14:paraId="65BE2A40" w14:textId="77777777" w:rsidR="00121758" w:rsidRPr="00BB1E65" w:rsidRDefault="00121758" w:rsidP="00FB1164">
            <w:pPr>
              <w:pStyle w:val="BlockText"/>
            </w:pPr>
            <w:r w:rsidRPr="00BB1E65">
              <w:t>This topic contains information about specialist examinations, including</w:t>
            </w:r>
          </w:p>
          <w:p w14:paraId="4B67C8D1" w14:textId="77777777" w:rsidR="00121758" w:rsidRPr="00BB1E65" w:rsidRDefault="00121758" w:rsidP="00FB1164">
            <w:pPr>
              <w:pStyle w:val="BlockText"/>
            </w:pPr>
          </w:p>
          <w:p w14:paraId="678FE585" w14:textId="77777777" w:rsidR="00121758" w:rsidRPr="00BB1E65" w:rsidRDefault="00121758" w:rsidP="00FB1164">
            <w:pPr>
              <w:pStyle w:val="BulletText1"/>
            </w:pPr>
            <w:r w:rsidRPr="00BB1E65">
              <w:t>examinations routinely performed by specialists</w:t>
            </w:r>
          </w:p>
          <w:p w14:paraId="1665193A" w14:textId="77777777" w:rsidR="00121758" w:rsidRPr="00BB1E65" w:rsidRDefault="00121758" w:rsidP="00FB1164">
            <w:pPr>
              <w:pStyle w:val="BulletText1"/>
            </w:pPr>
            <w:r w:rsidRPr="00BB1E65">
              <w:t>who may request other types of specialist examinations</w:t>
            </w:r>
          </w:p>
          <w:p w14:paraId="3F858DDA" w14:textId="77777777" w:rsidR="00121758" w:rsidRPr="00BB1E65" w:rsidRDefault="00121758" w:rsidP="00FB1164">
            <w:pPr>
              <w:pStyle w:val="BulletText1"/>
            </w:pPr>
            <w:r w:rsidRPr="00BB1E65">
              <w:t>when to request a specialist examination</w:t>
            </w:r>
          </w:p>
          <w:p w14:paraId="019FBE7D" w14:textId="77777777" w:rsidR="00121758" w:rsidRPr="00BB1E65" w:rsidRDefault="00121758" w:rsidP="00FB1164">
            <w:pPr>
              <w:pStyle w:val="BulletText1"/>
            </w:pPr>
            <w:r w:rsidRPr="00BB1E65">
              <w:t>who determines the choice of examiner, and</w:t>
            </w:r>
          </w:p>
          <w:p w14:paraId="685B702A" w14:textId="0B0559DA" w:rsidR="00121758" w:rsidRPr="00BB1E65" w:rsidRDefault="003C28F8" w:rsidP="00454080">
            <w:pPr>
              <w:pStyle w:val="BulletText1"/>
            </w:pPr>
            <w:r w:rsidRPr="00BB1E65">
              <w:t>DSM-5</w:t>
            </w:r>
            <w:r w:rsidR="00121758" w:rsidRPr="00BB1E65">
              <w:t xml:space="preserve"> and mental disorders specialty examinations</w:t>
            </w:r>
            <w:r w:rsidR="00454080" w:rsidRPr="00BB1E65">
              <w:t>.</w:t>
            </w:r>
          </w:p>
        </w:tc>
      </w:tr>
    </w:tbl>
    <w:p w14:paraId="4BF7E675" w14:textId="77777777" w:rsidR="00121758" w:rsidRPr="00BB1E65" w:rsidRDefault="00121758" w:rsidP="00121758">
      <w:pPr>
        <w:pStyle w:val="BlockLine"/>
      </w:pPr>
    </w:p>
    <w:tbl>
      <w:tblPr>
        <w:tblW w:w="0" w:type="auto"/>
        <w:tblInd w:w="-106" w:type="dxa"/>
        <w:tblLayout w:type="fixed"/>
        <w:tblLook w:val="0000" w:firstRow="0" w:lastRow="0" w:firstColumn="0" w:lastColumn="0" w:noHBand="0" w:noVBand="0"/>
      </w:tblPr>
      <w:tblGrid>
        <w:gridCol w:w="1728"/>
        <w:gridCol w:w="7740"/>
      </w:tblGrid>
      <w:tr w:rsidR="00121758" w:rsidRPr="00BB1E65" w14:paraId="60995713" w14:textId="77777777" w:rsidTr="00FB1164">
        <w:trPr>
          <w:cantSplit/>
        </w:trPr>
        <w:tc>
          <w:tcPr>
            <w:tcW w:w="1728" w:type="dxa"/>
            <w:tcBorders>
              <w:top w:val="nil"/>
              <w:left w:val="nil"/>
              <w:bottom w:val="nil"/>
              <w:right w:val="nil"/>
            </w:tcBorders>
          </w:tcPr>
          <w:p w14:paraId="0050EB7A" w14:textId="77777777" w:rsidR="00121758" w:rsidRPr="00BB1E65" w:rsidRDefault="00121758" w:rsidP="00FB1164">
            <w:pPr>
              <w:pStyle w:val="Heading5"/>
            </w:pPr>
            <w:r w:rsidRPr="00BB1E65">
              <w:t>Change Date</w:t>
            </w:r>
          </w:p>
        </w:tc>
        <w:tc>
          <w:tcPr>
            <w:tcW w:w="7740" w:type="dxa"/>
            <w:tcBorders>
              <w:top w:val="nil"/>
              <w:left w:val="nil"/>
              <w:bottom w:val="nil"/>
              <w:right w:val="nil"/>
            </w:tcBorders>
          </w:tcPr>
          <w:p w14:paraId="3B665A0C" w14:textId="566574FB" w:rsidR="00121758" w:rsidRPr="00BB1E65" w:rsidRDefault="00892D5C" w:rsidP="00FB1164">
            <w:pPr>
              <w:pStyle w:val="BlockText"/>
            </w:pPr>
            <w:r w:rsidRPr="00BB1E65">
              <w:t>July 30, 2015</w:t>
            </w:r>
          </w:p>
        </w:tc>
      </w:tr>
    </w:tbl>
    <w:p w14:paraId="75AE5E86" w14:textId="77777777" w:rsidR="00121758" w:rsidRPr="00BB1E65" w:rsidRDefault="00121758" w:rsidP="00121758">
      <w:pPr>
        <w:pStyle w:val="BlockLine"/>
      </w:pPr>
      <w:r w:rsidRPr="00BB1E65">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BB1E65" w14:paraId="5C990BA1" w14:textId="77777777" w:rsidTr="00FB1164">
        <w:trPr>
          <w:cantSplit/>
        </w:trPr>
        <w:tc>
          <w:tcPr>
            <w:tcW w:w="1728" w:type="dxa"/>
            <w:tcBorders>
              <w:top w:val="nil"/>
              <w:left w:val="nil"/>
              <w:bottom w:val="nil"/>
              <w:right w:val="nil"/>
            </w:tcBorders>
          </w:tcPr>
          <w:p w14:paraId="3D6D26BA" w14:textId="77777777" w:rsidR="00121758" w:rsidRPr="00BB1E65" w:rsidRDefault="00121758" w:rsidP="00FB1164">
            <w:pPr>
              <w:pStyle w:val="Heading5"/>
            </w:pPr>
            <w:r w:rsidRPr="00BB1E65">
              <w:t>a.  Examinations Routinely Performed by Specialists</w:t>
            </w:r>
          </w:p>
        </w:tc>
        <w:tc>
          <w:tcPr>
            <w:tcW w:w="7740" w:type="dxa"/>
            <w:tcBorders>
              <w:top w:val="nil"/>
              <w:left w:val="nil"/>
              <w:bottom w:val="nil"/>
              <w:right w:val="nil"/>
            </w:tcBorders>
          </w:tcPr>
          <w:p w14:paraId="1F738490" w14:textId="77777777" w:rsidR="00121758" w:rsidRPr="00BB1E65" w:rsidRDefault="00121758" w:rsidP="00FB1164">
            <w:pPr>
              <w:pStyle w:val="BlockText"/>
            </w:pPr>
            <w:r w:rsidRPr="00BB1E65">
              <w:t>Some examinations are routinely performed by specialists.  These examinations include</w:t>
            </w:r>
          </w:p>
          <w:p w14:paraId="2DB15DBB" w14:textId="77777777" w:rsidR="00121758" w:rsidRPr="00BB1E65" w:rsidRDefault="00121758" w:rsidP="00FB1164">
            <w:pPr>
              <w:pStyle w:val="BlockText"/>
            </w:pPr>
          </w:p>
          <w:p w14:paraId="0865AB79" w14:textId="77777777" w:rsidR="00121758" w:rsidRPr="00BB1E65" w:rsidRDefault="00121758" w:rsidP="00FB1164">
            <w:pPr>
              <w:pStyle w:val="BulletText1"/>
            </w:pPr>
            <w:r w:rsidRPr="00BB1E65">
              <w:t>hearing</w:t>
            </w:r>
          </w:p>
          <w:p w14:paraId="3F7000F2" w14:textId="77777777" w:rsidR="00121758" w:rsidRPr="00BB1E65" w:rsidRDefault="00121758" w:rsidP="00FB1164">
            <w:pPr>
              <w:pStyle w:val="BulletText1"/>
            </w:pPr>
            <w:r w:rsidRPr="00BB1E65">
              <w:t>vision</w:t>
            </w:r>
          </w:p>
          <w:p w14:paraId="46E12266" w14:textId="77777777" w:rsidR="00121758" w:rsidRPr="00BB1E65" w:rsidRDefault="00121758" w:rsidP="00FB1164">
            <w:pPr>
              <w:pStyle w:val="BulletText1"/>
            </w:pPr>
            <w:r w:rsidRPr="00BB1E65">
              <w:t xml:space="preserve">dental, and </w:t>
            </w:r>
          </w:p>
          <w:p w14:paraId="45F17EC4" w14:textId="77777777" w:rsidR="00121758" w:rsidRPr="00BB1E65" w:rsidRDefault="00121758" w:rsidP="00FB1164">
            <w:pPr>
              <w:pStyle w:val="BulletText1"/>
            </w:pPr>
            <w:r w:rsidRPr="00BB1E65">
              <w:t>psychiatric.</w:t>
            </w:r>
          </w:p>
        </w:tc>
      </w:tr>
    </w:tbl>
    <w:p w14:paraId="766004F0" w14:textId="77777777" w:rsidR="00121758" w:rsidRPr="00BB1E65" w:rsidRDefault="00121758" w:rsidP="00121758">
      <w:pPr>
        <w:pStyle w:val="BlockLine"/>
      </w:pPr>
      <w:r w:rsidRPr="00BB1E65">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BB1E65" w14:paraId="06A4834A" w14:textId="77777777" w:rsidTr="00FB1164">
        <w:trPr>
          <w:cantSplit/>
        </w:trPr>
        <w:tc>
          <w:tcPr>
            <w:tcW w:w="1728" w:type="dxa"/>
            <w:tcBorders>
              <w:top w:val="nil"/>
              <w:left w:val="nil"/>
              <w:bottom w:val="nil"/>
              <w:right w:val="nil"/>
            </w:tcBorders>
          </w:tcPr>
          <w:p w14:paraId="5CAA6924" w14:textId="77777777" w:rsidR="00121758" w:rsidRPr="00BB1E65" w:rsidRDefault="00121758" w:rsidP="00FB1164">
            <w:pPr>
              <w:pStyle w:val="Heading5"/>
            </w:pPr>
            <w:r w:rsidRPr="00BB1E65">
              <w:t>b.  Who May Request Other Types of Specialist Examinations</w:t>
            </w:r>
          </w:p>
        </w:tc>
        <w:tc>
          <w:tcPr>
            <w:tcW w:w="7740" w:type="dxa"/>
            <w:tcBorders>
              <w:top w:val="nil"/>
              <w:left w:val="nil"/>
              <w:bottom w:val="nil"/>
              <w:right w:val="nil"/>
            </w:tcBorders>
          </w:tcPr>
          <w:p w14:paraId="109070F5" w14:textId="77777777" w:rsidR="00121758" w:rsidRPr="00BB1E65" w:rsidRDefault="00121758" w:rsidP="00FB1164">
            <w:pPr>
              <w:pStyle w:val="BlockText"/>
            </w:pPr>
            <w:r w:rsidRPr="00BB1E65">
              <w:t xml:space="preserve">In certain circumstances, specialist examinations for other conditions can be requested by </w:t>
            </w:r>
          </w:p>
          <w:p w14:paraId="104A298B" w14:textId="77777777" w:rsidR="00121758" w:rsidRPr="00BB1E65" w:rsidRDefault="00121758" w:rsidP="00FB1164">
            <w:pPr>
              <w:pStyle w:val="BlockText"/>
            </w:pPr>
          </w:p>
          <w:p w14:paraId="0828785D" w14:textId="77777777" w:rsidR="00121758" w:rsidRPr="00BB1E65" w:rsidRDefault="00121758" w:rsidP="00FB1164">
            <w:pPr>
              <w:pStyle w:val="BulletText1"/>
            </w:pPr>
            <w:r w:rsidRPr="00BB1E65">
              <w:t>the VSR or RVSR</w:t>
            </w:r>
          </w:p>
          <w:p w14:paraId="139E4A79" w14:textId="77777777" w:rsidR="00121758" w:rsidRPr="00BB1E65" w:rsidRDefault="00121758" w:rsidP="00FB1164">
            <w:pPr>
              <w:pStyle w:val="BulletText1"/>
            </w:pPr>
            <w:r w:rsidRPr="00BB1E65">
              <w:t>the medical examiner, or</w:t>
            </w:r>
          </w:p>
          <w:p w14:paraId="3A9BD0C2" w14:textId="77777777" w:rsidR="00121758" w:rsidRPr="00BB1E65" w:rsidRDefault="00121758" w:rsidP="00FB1164">
            <w:pPr>
              <w:pStyle w:val="BulletText1"/>
            </w:pPr>
            <w:r w:rsidRPr="00BB1E65">
              <w:t>BVA.</w:t>
            </w:r>
          </w:p>
        </w:tc>
      </w:tr>
    </w:tbl>
    <w:p w14:paraId="704D5511" w14:textId="77777777" w:rsidR="00121758" w:rsidRPr="00BB1E65" w:rsidRDefault="00121758" w:rsidP="00121758">
      <w:pPr>
        <w:pStyle w:val="BlockLine"/>
      </w:pPr>
      <w:r w:rsidRPr="00BB1E65">
        <w:fldChar w:fldCharType="begin"/>
      </w:r>
      <w:r w:rsidRPr="00BB1E65">
        <w:instrText xml:space="preserve"> PRIVATE INFOTYPE="PROCEDURE"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BB1E65" w14:paraId="3D9FB8A5" w14:textId="77777777" w:rsidTr="00FB1164">
        <w:trPr>
          <w:cantSplit/>
        </w:trPr>
        <w:tc>
          <w:tcPr>
            <w:tcW w:w="1728" w:type="dxa"/>
            <w:tcBorders>
              <w:top w:val="nil"/>
              <w:left w:val="nil"/>
              <w:bottom w:val="nil"/>
              <w:right w:val="nil"/>
            </w:tcBorders>
          </w:tcPr>
          <w:p w14:paraId="61C56D4D" w14:textId="77777777" w:rsidR="00121758" w:rsidRPr="00BB1E65" w:rsidRDefault="00121758" w:rsidP="00FB1164">
            <w:pPr>
              <w:pStyle w:val="Heading5"/>
            </w:pPr>
            <w:r w:rsidRPr="00BB1E65">
              <w:t>c.  When to Request a Specialist Examination</w:t>
            </w:r>
          </w:p>
        </w:tc>
        <w:tc>
          <w:tcPr>
            <w:tcW w:w="7740" w:type="dxa"/>
            <w:tcBorders>
              <w:top w:val="nil"/>
              <w:left w:val="nil"/>
              <w:bottom w:val="nil"/>
              <w:right w:val="nil"/>
            </w:tcBorders>
          </w:tcPr>
          <w:p w14:paraId="6DFF1409" w14:textId="77777777" w:rsidR="00121758" w:rsidRPr="00BB1E65" w:rsidRDefault="00121758" w:rsidP="00FB1164">
            <w:pPr>
              <w:pStyle w:val="BlockText"/>
            </w:pPr>
            <w:r w:rsidRPr="00BB1E65">
              <w:t>Request a specialist examination only if it is considered essential for rating purposes.</w:t>
            </w:r>
          </w:p>
          <w:p w14:paraId="6DB0A124" w14:textId="77777777" w:rsidR="00121758" w:rsidRPr="00BB1E65" w:rsidRDefault="00121758" w:rsidP="00FB1164">
            <w:pPr>
              <w:pStyle w:val="BlockText"/>
            </w:pPr>
          </w:p>
          <w:p w14:paraId="2C22D64B" w14:textId="77777777" w:rsidR="00121758" w:rsidRPr="00BB1E65" w:rsidRDefault="00121758" w:rsidP="00FB1164">
            <w:pPr>
              <w:pStyle w:val="BlockText"/>
            </w:pPr>
            <w:r w:rsidRPr="00BB1E65">
              <w:rPr>
                <w:b/>
                <w:bCs/>
                <w:i/>
                <w:iCs/>
              </w:rPr>
              <w:t>Example</w:t>
            </w:r>
            <w:r w:rsidRPr="00BB1E65">
              <w:t xml:space="preserve">:  A specialist examination may be requested </w:t>
            </w:r>
          </w:p>
          <w:p w14:paraId="4F83CA98" w14:textId="77777777" w:rsidR="00121758" w:rsidRPr="00BB1E65" w:rsidRDefault="00121758" w:rsidP="00FB1164">
            <w:pPr>
              <w:pStyle w:val="BulletText1"/>
            </w:pPr>
            <w:r w:rsidRPr="00BB1E65">
              <w:t>if an issue is unusually complex</w:t>
            </w:r>
          </w:p>
          <w:p w14:paraId="0E0010C6" w14:textId="77777777" w:rsidR="00121758" w:rsidRPr="00BB1E65" w:rsidRDefault="00121758" w:rsidP="00FB1164">
            <w:pPr>
              <w:pStyle w:val="BulletText1"/>
            </w:pPr>
            <w:r w:rsidRPr="00BB1E65">
              <w:t>if there are conflicting opinions or diagnoses that must be reconciled, or</w:t>
            </w:r>
          </w:p>
          <w:p w14:paraId="33903075" w14:textId="77777777" w:rsidR="00121758" w:rsidRPr="00BB1E65" w:rsidRDefault="00121758" w:rsidP="00FB1164">
            <w:pPr>
              <w:pStyle w:val="BulletText1"/>
            </w:pPr>
            <w:r w:rsidRPr="00BB1E65">
              <w:t>based on a BVA remand.</w:t>
            </w:r>
          </w:p>
        </w:tc>
      </w:tr>
    </w:tbl>
    <w:p w14:paraId="337B5800" w14:textId="77777777" w:rsidR="00121758" w:rsidRPr="00BB1E65" w:rsidRDefault="00121758" w:rsidP="00121758">
      <w:pPr>
        <w:pStyle w:val="BlockLine"/>
      </w:pPr>
      <w:r w:rsidRPr="00BB1E65">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BB1E65" w14:paraId="02555295" w14:textId="77777777" w:rsidTr="00BE7914">
        <w:tc>
          <w:tcPr>
            <w:tcW w:w="1728" w:type="dxa"/>
            <w:tcBorders>
              <w:top w:val="nil"/>
              <w:left w:val="nil"/>
              <w:bottom w:val="nil"/>
              <w:right w:val="nil"/>
            </w:tcBorders>
          </w:tcPr>
          <w:p w14:paraId="1DEBCB79" w14:textId="77777777" w:rsidR="00121758" w:rsidRPr="00BB1E65" w:rsidRDefault="00121758" w:rsidP="00FB1164">
            <w:pPr>
              <w:pStyle w:val="Heading5"/>
            </w:pPr>
            <w:r w:rsidRPr="00BB1E65">
              <w:t>d.  Who Determines the Choice of Examiner</w:t>
            </w:r>
          </w:p>
        </w:tc>
        <w:tc>
          <w:tcPr>
            <w:tcW w:w="7740" w:type="dxa"/>
            <w:tcBorders>
              <w:top w:val="nil"/>
              <w:left w:val="nil"/>
              <w:bottom w:val="nil"/>
              <w:right w:val="nil"/>
            </w:tcBorders>
          </w:tcPr>
          <w:p w14:paraId="79E9A1C4" w14:textId="67227418" w:rsidR="00121758" w:rsidRPr="00BB1E65" w:rsidRDefault="00121758" w:rsidP="00FB1164">
            <w:pPr>
              <w:pStyle w:val="BlockText"/>
            </w:pPr>
            <w:r w:rsidRPr="00BB1E65">
              <w:t xml:space="preserve">The choice of examiners is up to the VA medical facility conducting the examination, unless the BVA remand specifies that the examination must be conducted by a </w:t>
            </w:r>
          </w:p>
          <w:p w14:paraId="12EFE0FB" w14:textId="77777777" w:rsidR="00121758" w:rsidRPr="00BB1E65" w:rsidRDefault="00121758" w:rsidP="00FB1164">
            <w:pPr>
              <w:pStyle w:val="BlockText"/>
            </w:pPr>
          </w:p>
          <w:p w14:paraId="1796AB91" w14:textId="77777777" w:rsidR="00121758" w:rsidRPr="00BB1E65" w:rsidRDefault="00121758" w:rsidP="00FB1164">
            <w:pPr>
              <w:pStyle w:val="BulletText1"/>
            </w:pPr>
            <w:r w:rsidRPr="00BB1E65">
              <w:t>“</w:t>
            </w:r>
            <w:r w:rsidRPr="00BB1E65">
              <w:rPr>
                <w:i/>
                <w:iCs/>
              </w:rPr>
              <w:t>Board-certified specialist in …</w:t>
            </w:r>
            <w:r w:rsidRPr="00BB1E65">
              <w:t>,” or</w:t>
            </w:r>
          </w:p>
          <w:p w14:paraId="0A409DDD" w14:textId="77777777" w:rsidR="00121758" w:rsidRPr="00BB1E65" w:rsidRDefault="00121758" w:rsidP="00FB1164">
            <w:pPr>
              <w:pStyle w:val="BulletText1"/>
            </w:pPr>
            <w:r w:rsidRPr="00BB1E65">
              <w:t>“specialist who is Board qualified.”</w:t>
            </w:r>
          </w:p>
          <w:p w14:paraId="6BF4E5FF" w14:textId="77777777" w:rsidR="00121758" w:rsidRPr="00BB1E65" w:rsidRDefault="00121758" w:rsidP="00FB1164">
            <w:pPr>
              <w:pStyle w:val="BlockText"/>
            </w:pPr>
          </w:p>
          <w:p w14:paraId="2D1514E6" w14:textId="07E5738F" w:rsidR="00740E5C" w:rsidRPr="00BB1E65" w:rsidRDefault="00740E5C" w:rsidP="00FB1164">
            <w:pPr>
              <w:pStyle w:val="BlockText"/>
            </w:pPr>
            <w:r w:rsidRPr="00BB1E65">
              <w:lastRenderedPageBreak/>
              <w:t xml:space="preserve">Some DBQs require a specialist to complete the examination. </w:t>
            </w:r>
            <w:r w:rsidR="00FB5D28" w:rsidRPr="00BB1E65">
              <w:t xml:space="preserve"> </w:t>
            </w:r>
            <w:r w:rsidRPr="00BB1E65">
              <w:t>The DBQ will identify specialist requirements in one of the first paragraphs on the form.</w:t>
            </w:r>
          </w:p>
          <w:p w14:paraId="56D2F838" w14:textId="77777777" w:rsidR="00740E5C" w:rsidRPr="00BB1E65" w:rsidRDefault="00740E5C" w:rsidP="00FB1164">
            <w:pPr>
              <w:pStyle w:val="BlockText"/>
            </w:pPr>
          </w:p>
          <w:p w14:paraId="2D28691D" w14:textId="77777777" w:rsidR="00121758" w:rsidRPr="00BB1E65" w:rsidRDefault="00121758" w:rsidP="00FB1164">
            <w:pPr>
              <w:pStyle w:val="BlockText"/>
            </w:pPr>
            <w:r w:rsidRPr="00BB1E65">
              <w:rPr>
                <w:b/>
                <w:bCs/>
                <w:i/>
                <w:iCs/>
              </w:rPr>
              <w:t>Note</w:t>
            </w:r>
            <w:r w:rsidRPr="00BB1E65">
              <w:t>:  In the absence of a BVA remand, ROs may not designate qualification requirements for a specialist examination.</w:t>
            </w:r>
          </w:p>
        </w:tc>
      </w:tr>
    </w:tbl>
    <w:p w14:paraId="1E4DD7D3" w14:textId="768953EF" w:rsidR="00121758" w:rsidRPr="00BB1E65" w:rsidRDefault="00121758" w:rsidP="00121758">
      <w:pPr>
        <w:tabs>
          <w:tab w:val="left" w:pos="9360"/>
        </w:tabs>
        <w:ind w:left="1714"/>
      </w:pPr>
      <w:r w:rsidRPr="00BB1E65">
        <w:rPr>
          <w:u w:val="single"/>
        </w:rPr>
        <w:lastRenderedPageBreak/>
        <w:tab/>
      </w:r>
    </w:p>
    <w:p w14:paraId="2B5D8E40" w14:textId="77777777" w:rsidR="00121758" w:rsidRPr="00BB1E65" w:rsidRDefault="00121758" w:rsidP="00121758"/>
    <w:tbl>
      <w:tblPr>
        <w:tblW w:w="0" w:type="auto"/>
        <w:tblLayout w:type="fixed"/>
        <w:tblLook w:val="0000" w:firstRow="0" w:lastRow="0" w:firstColumn="0" w:lastColumn="0" w:noHBand="0" w:noVBand="0"/>
      </w:tblPr>
      <w:tblGrid>
        <w:gridCol w:w="1638"/>
        <w:gridCol w:w="7830"/>
      </w:tblGrid>
      <w:tr w:rsidR="00121758" w:rsidRPr="00BB1E65" w14:paraId="49BA4F8B" w14:textId="77777777" w:rsidTr="00281334">
        <w:tc>
          <w:tcPr>
            <w:tcW w:w="1638" w:type="dxa"/>
            <w:shd w:val="clear" w:color="auto" w:fill="auto"/>
          </w:tcPr>
          <w:p w14:paraId="3F26FA80" w14:textId="6754C102" w:rsidR="00121758" w:rsidRPr="00BB1E65" w:rsidRDefault="00121758" w:rsidP="00FB1164">
            <w:pPr>
              <w:pStyle w:val="Heading5"/>
            </w:pPr>
            <w:r w:rsidRPr="00BB1E65">
              <w:t>e</w:t>
            </w:r>
            <w:r w:rsidR="003C28F8" w:rsidRPr="00BB1E65">
              <w:t>.  DSM-</w:t>
            </w:r>
            <w:r w:rsidR="00454080" w:rsidRPr="00BB1E65">
              <w:t xml:space="preserve">  </w:t>
            </w:r>
            <w:r w:rsidR="003C28F8" w:rsidRPr="00BB1E65">
              <w:t>5</w:t>
            </w:r>
            <w:r w:rsidR="009C703E" w:rsidRPr="00BB1E65">
              <w:t xml:space="preserve"> and Mental Disorders Special</w:t>
            </w:r>
            <w:r w:rsidRPr="00BB1E65">
              <w:t>ty Examinations</w:t>
            </w:r>
          </w:p>
        </w:tc>
        <w:tc>
          <w:tcPr>
            <w:tcW w:w="7830" w:type="dxa"/>
            <w:shd w:val="clear" w:color="auto" w:fill="auto"/>
          </w:tcPr>
          <w:p w14:paraId="5564E4C1" w14:textId="77777777" w:rsidR="00121758" w:rsidRPr="00BB1E65" w:rsidRDefault="00121758" w:rsidP="00FB1164">
            <w:pPr>
              <w:pStyle w:val="BlockText"/>
              <w:rPr>
                <w:color w:val="auto"/>
              </w:rPr>
            </w:pPr>
            <w:r w:rsidRPr="00BB1E65">
              <w:t xml:space="preserve">Effective August 4, 2014, </w:t>
            </w:r>
            <w:hyperlink r:id="rId39" w:history="1">
              <w:r w:rsidRPr="00BB1E65">
                <w:rPr>
                  <w:rStyle w:val="Hyperlink"/>
                </w:rPr>
                <w:t>38 CFR 4.125</w:t>
              </w:r>
            </w:hyperlink>
            <w:r w:rsidRPr="00BB1E65">
              <w:t xml:space="preserve"> was amended to reflect that </w:t>
            </w:r>
            <w:r w:rsidRPr="00BB1E65">
              <w:rPr>
                <w:color w:val="auto"/>
              </w:rPr>
              <w:t>a diagnosis of a mental disorder must conform to the standards set in the Diagnostic and Statistical Manual of Mental Disorders, Fifth Edition (DSM-5).  Before that date, the regulation required diagnoses to conform to the DSM-IV.</w:t>
            </w:r>
          </w:p>
          <w:p w14:paraId="1AA89B4E" w14:textId="77777777" w:rsidR="00121758" w:rsidRPr="00BB1E65" w:rsidRDefault="00121758" w:rsidP="00FB1164">
            <w:pPr>
              <w:pStyle w:val="BlockText"/>
              <w:rPr>
                <w:color w:val="auto"/>
              </w:rPr>
            </w:pPr>
          </w:p>
          <w:p w14:paraId="515AB4FC" w14:textId="77777777" w:rsidR="00121758" w:rsidRPr="00BB1E65" w:rsidRDefault="00121758" w:rsidP="00FB1164">
            <w:pPr>
              <w:pStyle w:val="BlockText"/>
              <w:rPr>
                <w:color w:val="auto"/>
              </w:rPr>
            </w:pPr>
            <w:r w:rsidRPr="00BB1E65">
              <w:rPr>
                <w:color w:val="auto"/>
              </w:rPr>
              <w:t xml:space="preserve">For new examination requests on or after August 27, 2014, VHA examinations must be performed using DSM-5 criteria.  No comment to that effect is required on requests for mental disorders or PTSD DBQs.  </w:t>
            </w:r>
          </w:p>
          <w:p w14:paraId="1FDE037C" w14:textId="77777777" w:rsidR="00121758" w:rsidRPr="00BB1E65" w:rsidRDefault="00121758" w:rsidP="00FB1164">
            <w:pPr>
              <w:pStyle w:val="BlockText"/>
              <w:rPr>
                <w:color w:val="auto"/>
              </w:rPr>
            </w:pPr>
          </w:p>
          <w:p w14:paraId="23388105" w14:textId="16453B76" w:rsidR="00121758" w:rsidRPr="00BB1E65" w:rsidRDefault="00121758" w:rsidP="00281334">
            <w:pPr>
              <w:rPr>
                <w:color w:val="auto"/>
              </w:rPr>
            </w:pPr>
            <w:r w:rsidRPr="00BB1E65">
              <w:rPr>
                <w:color w:val="auto"/>
              </w:rPr>
              <w:t>Refer to the following table for guidance on whether to request a new exa</w:t>
            </w:r>
            <w:r w:rsidR="003C28F8" w:rsidRPr="00BB1E65">
              <w:rPr>
                <w:color w:val="auto"/>
              </w:rPr>
              <w:t>mination under the DSM-</w:t>
            </w:r>
            <w:r w:rsidRPr="00BB1E65">
              <w:rPr>
                <w:color w:val="auto"/>
              </w:rPr>
              <w:t xml:space="preserve">5 in a claim for </w:t>
            </w:r>
            <w:r w:rsidR="00E917FB" w:rsidRPr="00BB1E65">
              <w:rPr>
                <w:color w:val="auto"/>
              </w:rPr>
              <w:t>SC</w:t>
            </w:r>
            <w:r w:rsidRPr="00BB1E65">
              <w:rPr>
                <w:color w:val="auto"/>
              </w:rPr>
              <w:t xml:space="preserve"> or </w:t>
            </w:r>
            <w:r w:rsidR="00281334" w:rsidRPr="00BB1E65">
              <w:rPr>
                <w:color w:val="auto"/>
              </w:rPr>
              <w:t xml:space="preserve">Veteran’s Pension </w:t>
            </w:r>
            <w:r w:rsidRPr="00BB1E65">
              <w:rPr>
                <w:color w:val="auto"/>
              </w:rPr>
              <w:t>where the record contains a mental health DBQ based on historic DSM-IV criteria.</w:t>
            </w:r>
          </w:p>
        </w:tc>
      </w:tr>
    </w:tbl>
    <w:p w14:paraId="0B8A6037" w14:textId="77777777" w:rsidR="00121758" w:rsidRPr="00BB1E65" w:rsidRDefault="00121758" w:rsidP="00121758"/>
    <w:tbl>
      <w:tblPr>
        <w:tblStyle w:val="TableGrid"/>
        <w:tblW w:w="7830" w:type="dxa"/>
        <w:tblInd w:w="1638" w:type="dxa"/>
        <w:tblLook w:val="04A0" w:firstRow="1" w:lastRow="0" w:firstColumn="1" w:lastColumn="0" w:noHBand="0" w:noVBand="1"/>
      </w:tblPr>
      <w:tblGrid>
        <w:gridCol w:w="4590"/>
        <w:gridCol w:w="3240"/>
      </w:tblGrid>
      <w:tr w:rsidR="00121758" w:rsidRPr="00BB1E65" w14:paraId="3C559F3D" w14:textId="77777777" w:rsidTr="00281334">
        <w:tc>
          <w:tcPr>
            <w:tcW w:w="4590" w:type="dxa"/>
          </w:tcPr>
          <w:p w14:paraId="5699D3DA" w14:textId="77777777" w:rsidR="00121758" w:rsidRPr="00BB1E65" w:rsidRDefault="00121758" w:rsidP="00FB1164">
            <w:pPr>
              <w:rPr>
                <w:b/>
              </w:rPr>
            </w:pPr>
            <w:r w:rsidRPr="00BB1E65">
              <w:rPr>
                <w:b/>
              </w:rPr>
              <w:t>If ...</w:t>
            </w:r>
          </w:p>
        </w:tc>
        <w:tc>
          <w:tcPr>
            <w:tcW w:w="3240" w:type="dxa"/>
          </w:tcPr>
          <w:p w14:paraId="66614309" w14:textId="77777777" w:rsidR="00121758" w:rsidRPr="00BB1E65" w:rsidRDefault="00121758" w:rsidP="00FB1164">
            <w:pPr>
              <w:rPr>
                <w:b/>
              </w:rPr>
            </w:pPr>
            <w:r w:rsidRPr="00BB1E65">
              <w:rPr>
                <w:b/>
              </w:rPr>
              <w:t>Then ...</w:t>
            </w:r>
          </w:p>
        </w:tc>
      </w:tr>
      <w:tr w:rsidR="00121758" w:rsidRPr="00BB1E65" w14:paraId="6BD7A204" w14:textId="77777777" w:rsidTr="00281334">
        <w:tc>
          <w:tcPr>
            <w:tcW w:w="4590" w:type="dxa"/>
          </w:tcPr>
          <w:p w14:paraId="3BCAC160" w14:textId="181AF1CE" w:rsidR="00121758" w:rsidRPr="00BB1E65" w:rsidRDefault="00121758" w:rsidP="00281334">
            <w:r w:rsidRPr="00BB1E65">
              <w:t xml:space="preserve">the DSM-IV exam on the issue of </w:t>
            </w:r>
            <w:r w:rsidR="00272376" w:rsidRPr="00BB1E65">
              <w:t>SC</w:t>
            </w:r>
            <w:r w:rsidRPr="00BB1E65">
              <w:t xml:space="preserve"> or </w:t>
            </w:r>
            <w:r w:rsidR="00272376" w:rsidRPr="00BB1E65">
              <w:t>Veteran’s Pension</w:t>
            </w:r>
          </w:p>
          <w:p w14:paraId="7F5F4100" w14:textId="77777777" w:rsidR="00272376" w:rsidRPr="00BB1E65" w:rsidRDefault="00272376" w:rsidP="00281334"/>
          <w:p w14:paraId="6C694E06" w14:textId="47D4CA9A" w:rsidR="00121758" w:rsidRPr="00BB1E65" w:rsidRDefault="00121758" w:rsidP="00661A60">
            <w:pPr>
              <w:pStyle w:val="ListParagraph"/>
              <w:numPr>
                <w:ilvl w:val="0"/>
                <w:numId w:val="44"/>
              </w:numPr>
              <w:ind w:left="158" w:hanging="187"/>
            </w:pPr>
            <w:r w:rsidRPr="00BB1E65">
              <w:t>is otherwise adequate for rating purposes</w:t>
            </w:r>
          </w:p>
          <w:p w14:paraId="1EE32754" w14:textId="00169528" w:rsidR="00121758" w:rsidRPr="00BB1E65" w:rsidRDefault="00121758" w:rsidP="00661A60">
            <w:pPr>
              <w:pStyle w:val="ListParagraph"/>
              <w:numPr>
                <w:ilvl w:val="0"/>
                <w:numId w:val="45"/>
              </w:numPr>
              <w:ind w:left="158" w:hanging="187"/>
            </w:pPr>
            <w:r w:rsidRPr="00BB1E65">
              <w:t>renders an Axis I diagnosis of a mental disorder, and</w:t>
            </w:r>
          </w:p>
          <w:p w14:paraId="45A7148B" w14:textId="7B48CF7E" w:rsidR="00121758" w:rsidRPr="00BB1E65" w:rsidRDefault="00121758" w:rsidP="00DD5195">
            <w:pPr>
              <w:pStyle w:val="ListParagraph"/>
              <w:numPr>
                <w:ilvl w:val="0"/>
                <w:numId w:val="46"/>
              </w:numPr>
              <w:ind w:left="158" w:hanging="187"/>
            </w:pPr>
            <w:r w:rsidRPr="00BB1E65">
              <w:t>supports a</w:t>
            </w:r>
            <w:r w:rsidR="00DD5195" w:rsidRPr="00BB1E65">
              <w:t>n award</w:t>
            </w:r>
            <w:r w:rsidRPr="00BB1E65">
              <w:t xml:space="preserve"> of the benefit sought in view of the evidence of record</w:t>
            </w:r>
          </w:p>
        </w:tc>
        <w:tc>
          <w:tcPr>
            <w:tcW w:w="3240" w:type="dxa"/>
          </w:tcPr>
          <w:p w14:paraId="35CBF08A" w14:textId="77777777" w:rsidR="00121758" w:rsidRPr="00BB1E65" w:rsidRDefault="00121758" w:rsidP="00FB1164">
            <w:r w:rsidRPr="00BB1E65">
              <w:t>do not request a new examination.</w:t>
            </w:r>
          </w:p>
        </w:tc>
      </w:tr>
      <w:tr w:rsidR="00121758" w:rsidRPr="00BB1E65" w14:paraId="22469AC3" w14:textId="77777777" w:rsidTr="00281334">
        <w:tc>
          <w:tcPr>
            <w:tcW w:w="4590" w:type="dxa"/>
          </w:tcPr>
          <w:p w14:paraId="4A6F6305" w14:textId="11E0CF69" w:rsidR="00121758" w:rsidRPr="00BB1E65" w:rsidRDefault="00121758" w:rsidP="00272376">
            <w:r w:rsidRPr="00BB1E65">
              <w:t xml:space="preserve">the DSM-IV exam on the issue of </w:t>
            </w:r>
            <w:r w:rsidR="00272376" w:rsidRPr="00BB1E65">
              <w:t>SC</w:t>
            </w:r>
            <w:r w:rsidRPr="00BB1E65">
              <w:t xml:space="preserve"> or </w:t>
            </w:r>
            <w:r w:rsidR="00272376" w:rsidRPr="00BB1E65">
              <w:t xml:space="preserve">Veteran’s Pension </w:t>
            </w:r>
            <w:r w:rsidRPr="00BB1E65">
              <w:t>does not satisfy all of the criteria above</w:t>
            </w:r>
          </w:p>
        </w:tc>
        <w:tc>
          <w:tcPr>
            <w:tcW w:w="3240" w:type="dxa"/>
          </w:tcPr>
          <w:p w14:paraId="01046FED" w14:textId="403CC252" w:rsidR="00121758" w:rsidRPr="00BB1E65" w:rsidRDefault="00121758" w:rsidP="00FB1164">
            <w:r w:rsidRPr="00BB1E65">
              <w:t>request a new examination.</w:t>
            </w:r>
          </w:p>
        </w:tc>
      </w:tr>
      <w:tr w:rsidR="00121758" w:rsidRPr="00BB1E65" w14:paraId="39E2BE03" w14:textId="77777777" w:rsidTr="00281334">
        <w:tc>
          <w:tcPr>
            <w:tcW w:w="4590" w:type="dxa"/>
          </w:tcPr>
          <w:p w14:paraId="09ABDF25" w14:textId="77777777" w:rsidR="00121758" w:rsidRPr="00BB1E65" w:rsidRDefault="00121758" w:rsidP="00FB1164">
            <w:r w:rsidRPr="00BB1E65">
              <w:t>the DSM-IV exam on the issue of reevaluation is otherwise adequate for rating purposes</w:t>
            </w:r>
          </w:p>
        </w:tc>
        <w:tc>
          <w:tcPr>
            <w:tcW w:w="3240" w:type="dxa"/>
          </w:tcPr>
          <w:p w14:paraId="219C452E" w14:textId="30D130C6" w:rsidR="00121758" w:rsidRPr="00BB1E65" w:rsidRDefault="00121758" w:rsidP="00FB1164">
            <w:pPr>
              <w:pStyle w:val="TableText"/>
            </w:pPr>
            <w:r w:rsidRPr="00BB1E65">
              <w:t xml:space="preserve">do not request a new examination.  </w:t>
            </w:r>
          </w:p>
          <w:p w14:paraId="0316B06C" w14:textId="77777777" w:rsidR="00121758" w:rsidRPr="00BB1E65" w:rsidRDefault="00121758" w:rsidP="00FB1164">
            <w:pPr>
              <w:pStyle w:val="TableText"/>
            </w:pPr>
          </w:p>
          <w:p w14:paraId="187ACBA2" w14:textId="263C89A9" w:rsidR="00121758" w:rsidRPr="00BB1E65" w:rsidRDefault="00121758" w:rsidP="00FB1164">
            <w:pPr>
              <w:pStyle w:val="TableText"/>
            </w:pPr>
            <w:r w:rsidRPr="00BB1E65">
              <w:rPr>
                <w:b/>
                <w:i/>
              </w:rPr>
              <w:t>Note</w:t>
            </w:r>
            <w:r w:rsidRPr="00BB1E65">
              <w:t>: The regulation changes do not affect VA’s evaluation criteria for mental disorders.</w:t>
            </w:r>
          </w:p>
        </w:tc>
      </w:tr>
      <w:tr w:rsidR="00121758" w:rsidRPr="00BB1E65" w14:paraId="15347B49" w14:textId="77777777" w:rsidTr="00281334">
        <w:tc>
          <w:tcPr>
            <w:tcW w:w="4590" w:type="dxa"/>
          </w:tcPr>
          <w:p w14:paraId="4AA05C1B" w14:textId="77777777" w:rsidR="00121758" w:rsidRPr="00BB1E65" w:rsidRDefault="00121758" w:rsidP="00FB1164">
            <w:r w:rsidRPr="00BB1E65">
              <w:t>the DSM-IV exam on the issue of reevaluation is not otherwise adequate for rating purposes.</w:t>
            </w:r>
          </w:p>
        </w:tc>
        <w:tc>
          <w:tcPr>
            <w:tcW w:w="3240" w:type="dxa"/>
          </w:tcPr>
          <w:p w14:paraId="04FA6655" w14:textId="2BBD34CB" w:rsidR="00121758" w:rsidRPr="00BB1E65" w:rsidRDefault="00121758" w:rsidP="00FB1164">
            <w:pPr>
              <w:pStyle w:val="TableText"/>
            </w:pPr>
            <w:r w:rsidRPr="00BB1E65">
              <w:t xml:space="preserve">request a new examination. </w:t>
            </w:r>
          </w:p>
        </w:tc>
      </w:tr>
    </w:tbl>
    <w:p w14:paraId="733FFCE8" w14:textId="45DEB9AF" w:rsidR="00121758" w:rsidRPr="00BB1E65" w:rsidRDefault="00121758" w:rsidP="00121758">
      <w:pPr>
        <w:tabs>
          <w:tab w:val="left" w:pos="9360"/>
        </w:tabs>
        <w:ind w:left="1714"/>
      </w:pPr>
      <w:r w:rsidRPr="00BB1E65">
        <w:rPr>
          <w:u w:val="single"/>
        </w:rPr>
        <w:tab/>
      </w:r>
    </w:p>
    <w:p w14:paraId="0539FC6A" w14:textId="1C951D1E" w:rsidR="00121758" w:rsidRPr="00BB1E65" w:rsidRDefault="00121758" w:rsidP="00121758">
      <w:pPr>
        <w:ind w:left="1714"/>
      </w:pPr>
    </w:p>
    <w:p w14:paraId="16C3C378" w14:textId="77777777" w:rsidR="00740E5C" w:rsidRPr="00BB1E65" w:rsidRDefault="00740E5C">
      <w:pPr>
        <w:rPr>
          <w:rFonts w:ascii="Arial" w:hAnsi="Arial" w:cs="Arial"/>
          <w:b/>
          <w:bCs/>
          <w:sz w:val="32"/>
          <w:szCs w:val="32"/>
        </w:rPr>
      </w:pPr>
      <w:r w:rsidRPr="00BB1E65">
        <w:br w:type="page"/>
      </w:r>
    </w:p>
    <w:p w14:paraId="35AFCEB9" w14:textId="7881A4B7" w:rsidR="00121758" w:rsidRPr="00BB1E65" w:rsidRDefault="00567178" w:rsidP="00121758">
      <w:pPr>
        <w:pStyle w:val="Heading4"/>
      </w:pPr>
      <w:bookmarkStart w:id="8" w:name="_7.__Medical"/>
      <w:bookmarkEnd w:id="8"/>
      <w:r w:rsidRPr="00BB1E65">
        <w:lastRenderedPageBreak/>
        <w:t>7</w:t>
      </w:r>
      <w:r w:rsidR="00121758" w:rsidRPr="00BB1E65">
        <w:t>.  Medical Opinions</w:t>
      </w:r>
    </w:p>
    <w:p w14:paraId="349A50C5" w14:textId="77777777" w:rsidR="00121758" w:rsidRPr="00BB1E65" w:rsidRDefault="00121758" w:rsidP="00121758">
      <w:pPr>
        <w:pStyle w:val="BlockLine"/>
      </w:pPr>
      <w:r w:rsidRPr="00BB1E65">
        <w:fldChar w:fldCharType="begin"/>
      </w:r>
      <w:r w:rsidRPr="00BB1E65">
        <w:instrText xml:space="preserve"> PRIVATE INFOTYPE="OTHER"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BB1E65" w14:paraId="795C6319" w14:textId="77777777" w:rsidTr="00FB1164">
        <w:trPr>
          <w:cantSplit/>
        </w:trPr>
        <w:tc>
          <w:tcPr>
            <w:tcW w:w="1728" w:type="dxa"/>
            <w:tcBorders>
              <w:top w:val="nil"/>
              <w:left w:val="nil"/>
              <w:bottom w:val="nil"/>
              <w:right w:val="nil"/>
            </w:tcBorders>
          </w:tcPr>
          <w:p w14:paraId="1F196CEF" w14:textId="77777777" w:rsidR="00121758" w:rsidRPr="00BB1E65" w:rsidRDefault="00121758" w:rsidP="00FB1164">
            <w:pPr>
              <w:pStyle w:val="Heading5"/>
            </w:pPr>
            <w:r w:rsidRPr="00BB1E65">
              <w:t>Introduction</w:t>
            </w:r>
          </w:p>
        </w:tc>
        <w:tc>
          <w:tcPr>
            <w:tcW w:w="7740" w:type="dxa"/>
            <w:tcBorders>
              <w:top w:val="nil"/>
              <w:left w:val="nil"/>
              <w:bottom w:val="nil"/>
              <w:right w:val="nil"/>
            </w:tcBorders>
          </w:tcPr>
          <w:p w14:paraId="2D74DEB9" w14:textId="77777777" w:rsidR="00121758" w:rsidRPr="00BB1E65" w:rsidRDefault="00121758" w:rsidP="00FB1164">
            <w:pPr>
              <w:pStyle w:val="BlockText"/>
            </w:pPr>
            <w:r w:rsidRPr="00BB1E65">
              <w:t>This topic contains information about medical opinions, including</w:t>
            </w:r>
          </w:p>
          <w:p w14:paraId="77912723" w14:textId="77777777" w:rsidR="00121758" w:rsidRPr="00BB1E65" w:rsidRDefault="00121758" w:rsidP="00FB1164">
            <w:pPr>
              <w:pStyle w:val="BlockText"/>
            </w:pPr>
          </w:p>
          <w:p w14:paraId="169751F1" w14:textId="77777777" w:rsidR="00121758" w:rsidRPr="00BB1E65" w:rsidRDefault="00121758" w:rsidP="00FB1164">
            <w:pPr>
              <w:pStyle w:val="BulletText1"/>
            </w:pPr>
            <w:r w:rsidRPr="00BB1E65">
              <w:t>who may request a medical opinion</w:t>
            </w:r>
          </w:p>
          <w:p w14:paraId="462F5781" w14:textId="280133CE" w:rsidR="00121758" w:rsidRPr="00BB1E65" w:rsidRDefault="00121758" w:rsidP="00FB1164">
            <w:pPr>
              <w:pStyle w:val="BulletText1"/>
            </w:pPr>
            <w:r w:rsidRPr="00BB1E65">
              <w:t xml:space="preserve">completing the medical opinion request </w:t>
            </w:r>
          </w:p>
          <w:p w14:paraId="00D7D1FD" w14:textId="77777777" w:rsidR="00A46CEF" w:rsidRPr="00BB1E65" w:rsidRDefault="00A46CEF" w:rsidP="00CA1389">
            <w:pPr>
              <w:pStyle w:val="ListParagraph"/>
              <w:numPr>
                <w:ilvl w:val="0"/>
                <w:numId w:val="84"/>
              </w:numPr>
              <w:ind w:left="346" w:hanging="187"/>
            </w:pPr>
            <w:r w:rsidRPr="00BB1E65">
              <w:t>in CAATS</w:t>
            </w:r>
          </w:p>
          <w:p w14:paraId="1DA2106C" w14:textId="1885D5B1" w:rsidR="00A46CEF" w:rsidRPr="00BB1E65" w:rsidRDefault="00A46CEF" w:rsidP="00CA1389">
            <w:pPr>
              <w:pStyle w:val="ListParagraph"/>
              <w:numPr>
                <w:ilvl w:val="0"/>
                <w:numId w:val="84"/>
              </w:numPr>
              <w:ind w:left="346" w:hanging="187"/>
            </w:pPr>
            <w:r w:rsidRPr="00BB1E65">
              <w:t>in CAPRI</w:t>
            </w:r>
          </w:p>
          <w:p w14:paraId="31750E32" w14:textId="0B53131C" w:rsidR="00121758" w:rsidRPr="00BB1E65" w:rsidRDefault="002F5420" w:rsidP="00FB1164">
            <w:pPr>
              <w:pStyle w:val="BulletText1"/>
            </w:pPr>
            <w:r w:rsidRPr="00BB1E65">
              <w:t xml:space="preserve">procedure for </w:t>
            </w:r>
            <w:r w:rsidR="00121758" w:rsidRPr="00BB1E65">
              <w:t>identifying the evidence in a medical opinion request</w:t>
            </w:r>
            <w:r w:rsidRPr="00BB1E65">
              <w:t xml:space="preserve"> in ERB</w:t>
            </w:r>
          </w:p>
          <w:p w14:paraId="72AE6EAD" w14:textId="77777777" w:rsidR="00121758" w:rsidRPr="00BB1E65" w:rsidRDefault="00121758" w:rsidP="00FB1164">
            <w:pPr>
              <w:pStyle w:val="BulletText1"/>
            </w:pPr>
            <w:r w:rsidRPr="00BB1E65">
              <w:t>maintaining objectivity in medical opinion requests</w:t>
            </w:r>
          </w:p>
          <w:p w14:paraId="28D8CCDF" w14:textId="77777777" w:rsidR="00121758" w:rsidRPr="00BB1E65" w:rsidRDefault="00121758" w:rsidP="00FB1164">
            <w:pPr>
              <w:pStyle w:val="BulletText1"/>
            </w:pPr>
            <w:r w:rsidRPr="00BB1E65">
              <w:t>medical opinions required for remands</w:t>
            </w:r>
          </w:p>
          <w:p w14:paraId="2E0ADB51" w14:textId="4951B3DB" w:rsidR="00121758" w:rsidRPr="00BB1E65" w:rsidRDefault="00121758" w:rsidP="00FB1164">
            <w:pPr>
              <w:pStyle w:val="BulletText1"/>
            </w:pPr>
            <w:r w:rsidRPr="00BB1E65">
              <w:t xml:space="preserve">instructions for providing medical opinions – claims under 38 U.S.C. 1151 </w:t>
            </w:r>
          </w:p>
          <w:p w14:paraId="718C80B9" w14:textId="77777777" w:rsidR="00121758" w:rsidRPr="00BB1E65" w:rsidRDefault="00121758" w:rsidP="00FB1164">
            <w:pPr>
              <w:pStyle w:val="BulletText1"/>
            </w:pPr>
            <w:r w:rsidRPr="00BB1E65">
              <w:t>medical opinions in the hearing loss and tinnitus DBQ</w:t>
            </w:r>
          </w:p>
          <w:p w14:paraId="3633324B" w14:textId="77777777" w:rsidR="00121758" w:rsidRPr="00BB1E65" w:rsidRDefault="00121758" w:rsidP="00FB1164">
            <w:pPr>
              <w:pStyle w:val="BulletText1"/>
            </w:pPr>
            <w:r w:rsidRPr="00BB1E65">
              <w:t xml:space="preserve">avoiding asking for legal conclusions in medical opinion requests </w:t>
            </w:r>
          </w:p>
          <w:p w14:paraId="651D2F1A" w14:textId="77777777" w:rsidR="00121758" w:rsidRPr="00BB1E65" w:rsidRDefault="00121758" w:rsidP="00FB1164">
            <w:pPr>
              <w:pStyle w:val="BulletText1"/>
            </w:pPr>
            <w:r w:rsidRPr="00BB1E65">
              <w:t>when to obtain an independent medical opinion</w:t>
            </w:r>
          </w:p>
          <w:p w14:paraId="2BA4D9B4" w14:textId="77777777" w:rsidR="00121758" w:rsidRPr="00BB1E65" w:rsidRDefault="00121758" w:rsidP="00FB1164">
            <w:pPr>
              <w:pStyle w:val="BulletText1"/>
            </w:pPr>
            <w:r w:rsidRPr="00BB1E65">
              <w:t>initiating a request for an independent medical opinion</w:t>
            </w:r>
          </w:p>
          <w:p w14:paraId="6E409F63" w14:textId="77777777" w:rsidR="00121758" w:rsidRPr="00BB1E65" w:rsidRDefault="00121758" w:rsidP="00FB1164">
            <w:pPr>
              <w:pStyle w:val="BulletText1"/>
            </w:pPr>
            <w:r w:rsidRPr="00BB1E65">
              <w:t>submitting a request for an independent medical opinion, and</w:t>
            </w:r>
          </w:p>
          <w:p w14:paraId="402F805E" w14:textId="77777777" w:rsidR="00121758" w:rsidRPr="00BB1E65" w:rsidRDefault="00121758" w:rsidP="00FB1164">
            <w:pPr>
              <w:pStyle w:val="BulletText1"/>
            </w:pPr>
            <w:r w:rsidRPr="00BB1E65">
              <w:t>processing requests for an independent medical opinion.</w:t>
            </w:r>
          </w:p>
        </w:tc>
      </w:tr>
    </w:tbl>
    <w:p w14:paraId="6852A4D3" w14:textId="6D5CB482" w:rsidR="00121758" w:rsidRPr="00BB1E65" w:rsidRDefault="00121758" w:rsidP="00121758">
      <w:pPr>
        <w:pStyle w:val="BlockLine"/>
      </w:pPr>
    </w:p>
    <w:tbl>
      <w:tblPr>
        <w:tblW w:w="0" w:type="auto"/>
        <w:tblInd w:w="-106" w:type="dxa"/>
        <w:tblLayout w:type="fixed"/>
        <w:tblLook w:val="0000" w:firstRow="0" w:lastRow="0" w:firstColumn="0" w:lastColumn="0" w:noHBand="0" w:noVBand="0"/>
      </w:tblPr>
      <w:tblGrid>
        <w:gridCol w:w="1728"/>
        <w:gridCol w:w="7740"/>
      </w:tblGrid>
      <w:tr w:rsidR="00121758" w:rsidRPr="00BB1E65" w14:paraId="27E9D3C8" w14:textId="77777777" w:rsidTr="00FB1164">
        <w:trPr>
          <w:cantSplit/>
        </w:trPr>
        <w:tc>
          <w:tcPr>
            <w:tcW w:w="1728" w:type="dxa"/>
            <w:tcBorders>
              <w:top w:val="nil"/>
              <w:left w:val="nil"/>
              <w:bottom w:val="nil"/>
              <w:right w:val="nil"/>
            </w:tcBorders>
          </w:tcPr>
          <w:p w14:paraId="458A1E53" w14:textId="77777777" w:rsidR="00121758" w:rsidRPr="00BB1E65" w:rsidRDefault="00121758" w:rsidP="00FB1164">
            <w:pPr>
              <w:pStyle w:val="Heading5"/>
            </w:pPr>
            <w:r w:rsidRPr="00BB1E65">
              <w:t>Change Date</w:t>
            </w:r>
          </w:p>
        </w:tc>
        <w:tc>
          <w:tcPr>
            <w:tcW w:w="7740" w:type="dxa"/>
            <w:tcBorders>
              <w:top w:val="nil"/>
              <w:left w:val="nil"/>
              <w:bottom w:val="nil"/>
              <w:right w:val="nil"/>
            </w:tcBorders>
          </w:tcPr>
          <w:p w14:paraId="5EBA30AA" w14:textId="6F6FA5A9" w:rsidR="00121758" w:rsidRPr="00BB1E65" w:rsidRDefault="00BC7F5B" w:rsidP="00C4566D">
            <w:pPr>
              <w:pStyle w:val="BlockText"/>
              <w:tabs>
                <w:tab w:val="left" w:pos="1105"/>
              </w:tabs>
            </w:pPr>
            <w:r w:rsidRPr="00BB1E65">
              <w:t>January 15, 2016</w:t>
            </w:r>
          </w:p>
        </w:tc>
      </w:tr>
    </w:tbl>
    <w:p w14:paraId="506E7A52" w14:textId="77777777" w:rsidR="00121758" w:rsidRPr="00BB1E65" w:rsidRDefault="00121758" w:rsidP="00121758">
      <w:pPr>
        <w:pStyle w:val="BlockLine"/>
      </w:pPr>
      <w:r w:rsidRPr="00BB1E65">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BB1E65" w14:paraId="6166ED87" w14:textId="77777777" w:rsidTr="00FB1164">
        <w:tc>
          <w:tcPr>
            <w:tcW w:w="1728" w:type="dxa"/>
            <w:tcBorders>
              <w:top w:val="nil"/>
              <w:left w:val="nil"/>
              <w:bottom w:val="nil"/>
              <w:right w:val="nil"/>
            </w:tcBorders>
          </w:tcPr>
          <w:p w14:paraId="39576D63" w14:textId="77777777" w:rsidR="00121758" w:rsidRPr="00BB1E65" w:rsidRDefault="00121758" w:rsidP="00FB1164">
            <w:pPr>
              <w:pStyle w:val="Heading5"/>
            </w:pPr>
            <w:r w:rsidRPr="00BB1E65">
              <w:t>a.  Who May Request a Medical Opinion</w:t>
            </w:r>
          </w:p>
        </w:tc>
        <w:tc>
          <w:tcPr>
            <w:tcW w:w="7740" w:type="dxa"/>
            <w:tcBorders>
              <w:top w:val="nil"/>
              <w:left w:val="nil"/>
              <w:bottom w:val="nil"/>
              <w:right w:val="nil"/>
            </w:tcBorders>
          </w:tcPr>
          <w:p w14:paraId="6A0C4162" w14:textId="77777777" w:rsidR="00121758" w:rsidRPr="00BB1E65" w:rsidRDefault="00121758" w:rsidP="00FB1164">
            <w:pPr>
              <w:pStyle w:val="BlockText"/>
            </w:pPr>
            <w:r w:rsidRPr="00BB1E65">
              <w:t xml:space="preserve">Journey-level VSRs who have completed training specified by Central Office (CO) may prepare basic or straightforward medical opinion requests without RVSR or DRO review.  </w:t>
            </w:r>
          </w:p>
          <w:p w14:paraId="7335454F" w14:textId="73571D18" w:rsidR="00121758" w:rsidRPr="00BB1E65" w:rsidRDefault="00121758" w:rsidP="00FB1164">
            <w:pPr>
              <w:pStyle w:val="BlockText"/>
            </w:pPr>
          </w:p>
          <w:p w14:paraId="5DB0D970" w14:textId="700410E9" w:rsidR="00121758" w:rsidRPr="00BB1E65" w:rsidRDefault="00121758" w:rsidP="00FB1164">
            <w:pPr>
              <w:pStyle w:val="BlockText"/>
            </w:pPr>
            <w:r w:rsidRPr="00BB1E65">
              <w:t xml:space="preserve">Subject to the exception below, the VSCM will designate categories of opinions that are sufficiently basic or straightforward.  </w:t>
            </w:r>
          </w:p>
          <w:p w14:paraId="6492938C" w14:textId="77777777" w:rsidR="00121758" w:rsidRPr="00BB1E65" w:rsidRDefault="00121758" w:rsidP="00FB1164">
            <w:pPr>
              <w:pStyle w:val="BlockText"/>
            </w:pPr>
          </w:p>
          <w:p w14:paraId="66335758" w14:textId="77777777" w:rsidR="00121758" w:rsidRPr="00BB1E65" w:rsidRDefault="00121758" w:rsidP="00FB1164">
            <w:pPr>
              <w:pStyle w:val="BlockText"/>
            </w:pPr>
            <w:r w:rsidRPr="00BB1E65">
              <w:rPr>
                <w:b/>
                <w:bCs/>
                <w:i/>
                <w:iCs/>
              </w:rPr>
              <w:t>Exception</w:t>
            </w:r>
            <w:r w:rsidRPr="00BB1E65">
              <w:t>:  Only RVSRs or DROs may prepare complex medical opinion requests.  These include issues involving:</w:t>
            </w:r>
          </w:p>
          <w:p w14:paraId="5AAAC3FA" w14:textId="77777777" w:rsidR="00121758" w:rsidRPr="00BB1E65" w:rsidRDefault="00121758" w:rsidP="00171AC4">
            <w:pPr>
              <w:pStyle w:val="BulletText1"/>
              <w:numPr>
                <w:ilvl w:val="0"/>
                <w:numId w:val="4"/>
              </w:numPr>
            </w:pPr>
            <w:r w:rsidRPr="00BB1E65">
              <w:t xml:space="preserve">compensation under </w:t>
            </w:r>
            <w:hyperlink r:id="rId40" w:history="1">
              <w:r w:rsidRPr="00BB1E65">
                <w:rPr>
                  <w:rStyle w:val="Hyperlink"/>
                </w:rPr>
                <w:t>38 U.S.C. 1151</w:t>
              </w:r>
            </w:hyperlink>
          </w:p>
          <w:p w14:paraId="642D3512" w14:textId="77777777" w:rsidR="00121758" w:rsidRPr="00BB1E65" w:rsidRDefault="00121758" w:rsidP="00171AC4">
            <w:pPr>
              <w:pStyle w:val="BulletText1"/>
              <w:numPr>
                <w:ilvl w:val="0"/>
                <w:numId w:val="4"/>
              </w:numPr>
            </w:pPr>
            <w:r w:rsidRPr="00BB1E65">
              <w:t xml:space="preserve">aggravation (including </w:t>
            </w:r>
            <w:r w:rsidRPr="00BB1E65">
              <w:rPr>
                <w:i/>
                <w:iCs/>
              </w:rPr>
              <w:t>Allen</w:t>
            </w:r>
            <w:r w:rsidRPr="00BB1E65">
              <w:t xml:space="preserve"> aggravation)</w:t>
            </w:r>
          </w:p>
          <w:p w14:paraId="3559D8EB" w14:textId="77777777" w:rsidR="00121758" w:rsidRPr="00BB1E65" w:rsidRDefault="00121758" w:rsidP="00171AC4">
            <w:pPr>
              <w:pStyle w:val="BulletText1"/>
              <w:numPr>
                <w:ilvl w:val="0"/>
                <w:numId w:val="4"/>
              </w:numPr>
            </w:pPr>
            <w:r w:rsidRPr="00BB1E65">
              <w:t>diagnostic variation or conflicting medical evidence</w:t>
            </w:r>
          </w:p>
          <w:p w14:paraId="52E37FFE" w14:textId="77777777" w:rsidR="00121758" w:rsidRPr="00BB1E65" w:rsidRDefault="00121758" w:rsidP="00171AC4">
            <w:pPr>
              <w:pStyle w:val="BulletText1"/>
              <w:numPr>
                <w:ilvl w:val="0"/>
                <w:numId w:val="4"/>
              </w:numPr>
            </w:pPr>
            <w:r w:rsidRPr="00BB1E65">
              <w:t>questions of credibility of evidence presented to the examiner, or</w:t>
            </w:r>
          </w:p>
          <w:p w14:paraId="7CB21E31" w14:textId="77777777" w:rsidR="00121758" w:rsidRPr="00BB1E65" w:rsidRDefault="00121758" w:rsidP="00171AC4">
            <w:pPr>
              <w:pStyle w:val="BulletText1"/>
              <w:numPr>
                <w:ilvl w:val="0"/>
                <w:numId w:val="4"/>
              </w:numPr>
            </w:pPr>
            <w:r w:rsidRPr="00BB1E65">
              <w:t>any other matters specified by the VSCM such as</w:t>
            </w:r>
          </w:p>
          <w:p w14:paraId="583D45B8" w14:textId="77777777" w:rsidR="00121758" w:rsidRPr="00BB1E65" w:rsidRDefault="00121758" w:rsidP="00FB1164">
            <w:pPr>
              <w:pStyle w:val="BulletText2"/>
            </w:pPr>
            <w:r w:rsidRPr="00BB1E65">
              <w:t>rare disorders/rare etiologies, or</w:t>
            </w:r>
          </w:p>
          <w:p w14:paraId="41A890B7" w14:textId="77777777" w:rsidR="00121758" w:rsidRPr="00BB1E65" w:rsidRDefault="00121758" w:rsidP="00FB1164">
            <w:pPr>
              <w:pStyle w:val="BulletText2"/>
            </w:pPr>
            <w:r w:rsidRPr="00BB1E65">
              <w:t>sensitive or high priority claims.</w:t>
            </w:r>
          </w:p>
          <w:p w14:paraId="7AC49365" w14:textId="77777777" w:rsidR="00121758" w:rsidRPr="00BB1E65" w:rsidRDefault="00121758" w:rsidP="00FB1164">
            <w:pPr>
              <w:pStyle w:val="BlockText"/>
            </w:pPr>
          </w:p>
          <w:p w14:paraId="62577E81" w14:textId="77777777" w:rsidR="00121758" w:rsidRPr="00BB1E65" w:rsidRDefault="00121758" w:rsidP="00FB1164">
            <w:pPr>
              <w:pStyle w:val="BlockText"/>
            </w:pPr>
            <w:r w:rsidRPr="00BB1E65">
              <w:rPr>
                <w:b/>
                <w:bCs/>
                <w:i/>
                <w:iCs/>
              </w:rPr>
              <w:t>Notes</w:t>
            </w:r>
            <w:r w:rsidRPr="00BB1E65">
              <w:t xml:space="preserve">:  </w:t>
            </w:r>
          </w:p>
          <w:p w14:paraId="519CFB98" w14:textId="77777777" w:rsidR="00121758" w:rsidRPr="00BB1E65" w:rsidRDefault="00121758" w:rsidP="00171AC4">
            <w:pPr>
              <w:pStyle w:val="BulletText1"/>
              <w:numPr>
                <w:ilvl w:val="0"/>
                <w:numId w:val="4"/>
              </w:numPr>
            </w:pPr>
            <w:r w:rsidRPr="00BB1E65">
              <w:t xml:space="preserve">A VSCM may authorize a medical opinion in any case in which he/she believes it is warranted.  </w:t>
            </w:r>
          </w:p>
          <w:p w14:paraId="0E6CE32B" w14:textId="77777777" w:rsidR="00121758" w:rsidRPr="00BB1E65" w:rsidRDefault="00121758" w:rsidP="00FB1164">
            <w:pPr>
              <w:pStyle w:val="BulletText1"/>
            </w:pPr>
            <w:r w:rsidRPr="00BB1E65">
              <w:t>A medical opinion request must be signed by the person who prepared it.</w:t>
            </w:r>
          </w:p>
          <w:p w14:paraId="0253A026" w14:textId="77777777" w:rsidR="00121758" w:rsidRPr="00BB1E65" w:rsidRDefault="00121758" w:rsidP="00FB1164">
            <w:pPr>
              <w:pStyle w:val="BulletText1"/>
            </w:pPr>
            <w:r w:rsidRPr="00BB1E65">
              <w:t xml:space="preserve">Generally any VSR may order an examination using the Hearing Loss and Tinnitus DBQ, which includes certain routine etiology opinions.  However, </w:t>
            </w:r>
            <w:r w:rsidRPr="00BB1E65">
              <w:lastRenderedPageBreak/>
              <w:t xml:space="preserve">in cases where a separate Medical Opinion DBQ is required to solicit an opinion not included on the DBQ, the opinion request should be prepared by an RVSR or DRO.   </w:t>
            </w:r>
          </w:p>
          <w:p w14:paraId="5D3375C5" w14:textId="77777777" w:rsidR="00121758" w:rsidRPr="00BB1E65" w:rsidRDefault="00121758" w:rsidP="00FB1164">
            <w:pPr>
              <w:pStyle w:val="BulletText1"/>
              <w:numPr>
                <w:ilvl w:val="0"/>
                <w:numId w:val="0"/>
              </w:numPr>
              <w:ind w:left="173" w:hanging="173"/>
            </w:pPr>
          </w:p>
          <w:p w14:paraId="1A39E79B" w14:textId="3B8F6DF6" w:rsidR="00121758" w:rsidRPr="00BB1E65" w:rsidRDefault="00121758" w:rsidP="00FB1164">
            <w:pPr>
              <w:pStyle w:val="BulletText1"/>
              <w:numPr>
                <w:ilvl w:val="0"/>
                <w:numId w:val="0"/>
              </w:numPr>
              <w:ind w:left="173" w:hanging="173"/>
            </w:pPr>
            <w:r w:rsidRPr="00BB1E65">
              <w:rPr>
                <w:b/>
                <w:bCs/>
                <w:i/>
                <w:iCs/>
              </w:rPr>
              <w:t>References</w:t>
            </w:r>
            <w:r w:rsidRPr="00BB1E65">
              <w:t>:</w:t>
            </w:r>
            <w:r w:rsidR="006E7A17" w:rsidRPr="00BB1E65">
              <w:t xml:space="preserve">  </w:t>
            </w:r>
            <w:r w:rsidRPr="00BB1E65">
              <w:t>For more information on</w:t>
            </w:r>
          </w:p>
          <w:p w14:paraId="3A76D20B" w14:textId="5BCC4857" w:rsidR="00121758" w:rsidRPr="00BB1E65" w:rsidRDefault="006E7A17" w:rsidP="00FB1164">
            <w:pPr>
              <w:pStyle w:val="BulletText1"/>
            </w:pPr>
            <w:r w:rsidRPr="00BB1E65">
              <w:t>i</w:t>
            </w:r>
            <w:r w:rsidR="00121758" w:rsidRPr="00BB1E65">
              <w:t xml:space="preserve">ndependent medical opinions under </w:t>
            </w:r>
            <w:hyperlink r:id="rId41" w:history="1">
              <w:r w:rsidR="00121758" w:rsidRPr="00BB1E65">
                <w:rPr>
                  <w:rStyle w:val="Hyperlink"/>
                </w:rPr>
                <w:t>38 CFR 3.328</w:t>
              </w:r>
            </w:hyperlink>
            <w:r w:rsidR="00121758" w:rsidRPr="00BB1E65">
              <w:t xml:space="preserve">, see </w:t>
            </w:r>
            <w:r w:rsidR="00F77825" w:rsidRPr="00BB1E65">
              <w:t>M21-1 Part III, Subpart iv, 3.A.7.</w:t>
            </w:r>
            <w:r w:rsidR="00876DD2" w:rsidRPr="00BB1E65">
              <w:t>m</w:t>
            </w:r>
            <w:r w:rsidR="007A34BA" w:rsidRPr="00BB1E65">
              <w:t>, and</w:t>
            </w:r>
          </w:p>
          <w:p w14:paraId="7B64B454" w14:textId="47002765" w:rsidR="00121758" w:rsidRPr="00BB1E65" w:rsidRDefault="006E7A17" w:rsidP="00876DD2">
            <w:pPr>
              <w:pStyle w:val="BulletText1"/>
            </w:pPr>
            <w:r w:rsidRPr="00BB1E65">
              <w:t>m</w:t>
            </w:r>
            <w:r w:rsidR="00121758" w:rsidRPr="00BB1E65">
              <w:t xml:space="preserve">edical opinions and the Hearing Loss and Tinnitus DBQ, see </w:t>
            </w:r>
            <w:r w:rsidR="00F77825" w:rsidRPr="00BB1E65">
              <w:t>M21-1 Part III, Subpart iv, 3.A.7.</w:t>
            </w:r>
            <w:r w:rsidR="00876DD2" w:rsidRPr="00BB1E65">
              <w:t>h</w:t>
            </w:r>
            <w:r w:rsidR="00CE303C" w:rsidRPr="00BB1E65">
              <w:t>.</w:t>
            </w:r>
          </w:p>
        </w:tc>
      </w:tr>
    </w:tbl>
    <w:p w14:paraId="44B34D5A" w14:textId="1329D496" w:rsidR="00121758" w:rsidRPr="00BB1E65" w:rsidRDefault="00121758" w:rsidP="00121758">
      <w:pPr>
        <w:pStyle w:val="BlockLine"/>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830"/>
      </w:tblGrid>
      <w:tr w:rsidR="00D22520" w:rsidRPr="00BB1E65" w14:paraId="545FBA0F" w14:textId="77777777" w:rsidTr="00D22520">
        <w:tc>
          <w:tcPr>
            <w:tcW w:w="1710" w:type="dxa"/>
            <w:shd w:val="clear" w:color="auto" w:fill="auto"/>
          </w:tcPr>
          <w:p w14:paraId="2AA2837D" w14:textId="515465AB" w:rsidR="00D22520" w:rsidRPr="00BB1E65" w:rsidRDefault="00A46CEF" w:rsidP="00D22520">
            <w:pPr>
              <w:rPr>
                <w:b/>
                <w:sz w:val="22"/>
              </w:rPr>
            </w:pPr>
            <w:bookmarkStart w:id="9" w:name="Topic7b"/>
            <w:bookmarkEnd w:id="9"/>
            <w:r w:rsidRPr="00BB1E65">
              <w:rPr>
                <w:b/>
                <w:sz w:val="22"/>
              </w:rPr>
              <w:t xml:space="preserve">b.  </w:t>
            </w:r>
            <w:r w:rsidR="00D22520" w:rsidRPr="00BB1E65">
              <w:rPr>
                <w:b/>
                <w:sz w:val="22"/>
              </w:rPr>
              <w:t>Completing Medical Opinion Requests in CAATS</w:t>
            </w:r>
          </w:p>
        </w:tc>
        <w:tc>
          <w:tcPr>
            <w:tcW w:w="7830" w:type="dxa"/>
            <w:shd w:val="clear" w:color="auto" w:fill="auto"/>
          </w:tcPr>
          <w:p w14:paraId="379B1ACB" w14:textId="65CC3EAE" w:rsidR="00D22520" w:rsidRPr="00BB1E65" w:rsidRDefault="00D22520" w:rsidP="00833A6E">
            <w:r w:rsidRPr="00BB1E65">
              <w:t xml:space="preserve">If requesting a medical opinion from a contract examination facility, </w:t>
            </w:r>
            <w:r w:rsidR="002F5420" w:rsidRPr="00BB1E65">
              <w:t xml:space="preserve">ROs must use the </w:t>
            </w:r>
            <w:r w:rsidRPr="00BB1E65">
              <w:rPr>
                <w:rStyle w:val="Hyperlink"/>
                <w:color w:val="auto"/>
                <w:u w:val="none"/>
              </w:rPr>
              <w:t>CAATS application</w:t>
            </w:r>
            <w:r w:rsidR="002F5420" w:rsidRPr="00BB1E65">
              <w:rPr>
                <w:rStyle w:val="Hyperlink"/>
                <w:color w:val="auto"/>
                <w:u w:val="none"/>
              </w:rPr>
              <w:t xml:space="preserve">.  </w:t>
            </w:r>
            <w:r w:rsidR="00833A6E" w:rsidRPr="00BB1E65">
              <w:rPr>
                <w:rStyle w:val="Hyperlink"/>
                <w:color w:val="auto"/>
                <w:u w:val="none"/>
              </w:rPr>
              <w:t>Use the table below to determine how to generate the language for the medical opinion request(s).</w:t>
            </w:r>
            <w:r w:rsidR="00115FC7" w:rsidRPr="00BB1E65">
              <w:rPr>
                <w:color w:val="auto"/>
              </w:rPr>
              <w:t xml:space="preserve"> </w:t>
            </w:r>
          </w:p>
        </w:tc>
      </w:tr>
    </w:tbl>
    <w:p w14:paraId="5B3449BF" w14:textId="77777777" w:rsidR="00D0200F" w:rsidRPr="00BB1E65" w:rsidRDefault="00D0200F" w:rsidP="00D0200F"/>
    <w:tbl>
      <w:tblPr>
        <w:tblStyle w:val="TableGrid"/>
        <w:tblW w:w="7650" w:type="dxa"/>
        <w:tblInd w:w="1818" w:type="dxa"/>
        <w:tblLook w:val="04A0" w:firstRow="1" w:lastRow="0" w:firstColumn="1" w:lastColumn="0" w:noHBand="0" w:noVBand="1"/>
      </w:tblPr>
      <w:tblGrid>
        <w:gridCol w:w="3510"/>
        <w:gridCol w:w="4140"/>
      </w:tblGrid>
      <w:tr w:rsidR="00D0200F" w:rsidRPr="00BB1E65" w14:paraId="57C5A96F" w14:textId="77777777" w:rsidTr="005E1CFF">
        <w:tc>
          <w:tcPr>
            <w:tcW w:w="3510" w:type="dxa"/>
          </w:tcPr>
          <w:p w14:paraId="6096F355" w14:textId="5DFB2BB8" w:rsidR="00D0200F" w:rsidRPr="00BB1E65" w:rsidRDefault="00D0200F" w:rsidP="00D0200F">
            <w:pPr>
              <w:rPr>
                <w:b/>
              </w:rPr>
            </w:pPr>
            <w:r w:rsidRPr="00BB1E65">
              <w:rPr>
                <w:b/>
              </w:rPr>
              <w:t>If requesting a medical opinion based on ...</w:t>
            </w:r>
          </w:p>
        </w:tc>
        <w:tc>
          <w:tcPr>
            <w:tcW w:w="4140" w:type="dxa"/>
          </w:tcPr>
          <w:p w14:paraId="1A01F2A0" w14:textId="4BDC60EB" w:rsidR="00D0200F" w:rsidRPr="00BB1E65" w:rsidRDefault="00D0200F" w:rsidP="00D0200F">
            <w:pPr>
              <w:rPr>
                <w:b/>
              </w:rPr>
            </w:pPr>
            <w:r w:rsidRPr="00BB1E65">
              <w:rPr>
                <w:b/>
              </w:rPr>
              <w:t>Then generate the medical opinion language using ...</w:t>
            </w:r>
          </w:p>
        </w:tc>
      </w:tr>
      <w:tr w:rsidR="00D0200F" w:rsidRPr="00BB1E65" w14:paraId="285A11DE" w14:textId="77777777" w:rsidTr="005E1CFF">
        <w:tc>
          <w:tcPr>
            <w:tcW w:w="3510" w:type="dxa"/>
          </w:tcPr>
          <w:p w14:paraId="6B1BAC86" w14:textId="77777777" w:rsidR="00D0200F" w:rsidRPr="00BB1E65" w:rsidRDefault="00D0200F" w:rsidP="00CA1389">
            <w:pPr>
              <w:pStyle w:val="ListParagraph"/>
              <w:numPr>
                <w:ilvl w:val="0"/>
                <w:numId w:val="97"/>
              </w:numPr>
              <w:ind w:left="158" w:hanging="187"/>
            </w:pPr>
            <w:r w:rsidRPr="00BB1E65">
              <w:t>combat experiences</w:t>
            </w:r>
          </w:p>
          <w:p w14:paraId="1FB687BE" w14:textId="0D789ECD" w:rsidR="00D0200F" w:rsidRPr="00BB1E65" w:rsidRDefault="00D0200F" w:rsidP="00CA1389">
            <w:pPr>
              <w:pStyle w:val="ListParagraph"/>
              <w:numPr>
                <w:ilvl w:val="0"/>
                <w:numId w:val="97"/>
              </w:numPr>
              <w:ind w:left="158" w:hanging="187"/>
            </w:pPr>
            <w:r w:rsidRPr="00BB1E65">
              <w:t>MST, or</w:t>
            </w:r>
          </w:p>
          <w:p w14:paraId="5501E1D6" w14:textId="6770DE89" w:rsidR="00D0200F" w:rsidRPr="00BB1E65" w:rsidRDefault="00D0200F" w:rsidP="00CA1389">
            <w:pPr>
              <w:pStyle w:val="ListParagraph"/>
              <w:numPr>
                <w:ilvl w:val="0"/>
                <w:numId w:val="97"/>
              </w:numPr>
              <w:ind w:left="158" w:hanging="187"/>
            </w:pPr>
            <w:r w:rsidRPr="00BB1E65">
              <w:t>SC death</w:t>
            </w:r>
          </w:p>
        </w:tc>
        <w:tc>
          <w:tcPr>
            <w:tcW w:w="4140" w:type="dxa"/>
          </w:tcPr>
          <w:p w14:paraId="33290C82" w14:textId="77777777" w:rsidR="00D0200F" w:rsidRPr="00BB1E65" w:rsidRDefault="00D0200F" w:rsidP="00D0200F">
            <w:r w:rsidRPr="00BB1E65">
              <w:t xml:space="preserve">the </w:t>
            </w:r>
            <w:hyperlink r:id="rId42" w:history="1">
              <w:r w:rsidRPr="00BB1E65">
                <w:rPr>
                  <w:rStyle w:val="Hyperlink"/>
                </w:rPr>
                <w:t>ERB tool</w:t>
              </w:r>
            </w:hyperlink>
            <w:r w:rsidRPr="00BB1E65">
              <w:t>.</w:t>
            </w:r>
          </w:p>
          <w:p w14:paraId="48D1AA2C" w14:textId="77777777" w:rsidR="00833A6E" w:rsidRPr="00BB1E65" w:rsidRDefault="00833A6E" w:rsidP="00D0200F"/>
          <w:p w14:paraId="50A5CDF3" w14:textId="77777777" w:rsidR="00833A6E" w:rsidRPr="00BB1E65" w:rsidRDefault="00833A6E" w:rsidP="00D0200F">
            <w:r w:rsidRPr="00BB1E65">
              <w:rPr>
                <w:b/>
                <w:i/>
              </w:rPr>
              <w:t>Reference</w:t>
            </w:r>
            <w:r w:rsidRPr="00BB1E65">
              <w:t xml:space="preserve">:  For more information on the procedure for using the ERB tool to generate medical opinion language, see </w:t>
            </w:r>
          </w:p>
          <w:p w14:paraId="6B535259" w14:textId="2A1CFA4A" w:rsidR="00833A6E" w:rsidRPr="00BB1E65" w:rsidRDefault="00833A6E" w:rsidP="00CA1389">
            <w:pPr>
              <w:pStyle w:val="ListParagraph"/>
              <w:numPr>
                <w:ilvl w:val="0"/>
                <w:numId w:val="99"/>
              </w:numPr>
              <w:ind w:left="158" w:hanging="187"/>
            </w:pPr>
            <w:r w:rsidRPr="00BB1E65">
              <w:t>M21-1, Part III, Subpart iv, 3.A.7.c</w:t>
            </w:r>
            <w:r w:rsidR="00A46F00" w:rsidRPr="00BB1E65">
              <w:t xml:space="preserve"> and d</w:t>
            </w:r>
            <w:r w:rsidRPr="00BB1E65">
              <w:t>, and</w:t>
            </w:r>
          </w:p>
          <w:p w14:paraId="4441B8C4" w14:textId="0B4F4252" w:rsidR="00833A6E" w:rsidRPr="00BB1E65" w:rsidRDefault="00BB1E65" w:rsidP="00CA1389">
            <w:pPr>
              <w:pStyle w:val="ListParagraph"/>
              <w:numPr>
                <w:ilvl w:val="0"/>
                <w:numId w:val="100"/>
              </w:numPr>
              <w:ind w:left="158" w:hanging="187"/>
            </w:pPr>
            <w:hyperlink r:id="rId43" w:history="1">
              <w:r w:rsidR="00833A6E" w:rsidRPr="00BB1E65">
                <w:rPr>
                  <w:rStyle w:val="Hyperlink"/>
                  <w:i/>
                </w:rPr>
                <w:t>ERB User Guide</w:t>
              </w:r>
            </w:hyperlink>
            <w:r w:rsidR="00833A6E" w:rsidRPr="00BB1E65">
              <w:t>.</w:t>
            </w:r>
          </w:p>
        </w:tc>
      </w:tr>
      <w:tr w:rsidR="00D0200F" w:rsidRPr="00BB1E65" w14:paraId="31989B0C" w14:textId="77777777" w:rsidTr="005E1CFF">
        <w:tc>
          <w:tcPr>
            <w:tcW w:w="3510" w:type="dxa"/>
          </w:tcPr>
          <w:p w14:paraId="226C433F" w14:textId="768B14B1" w:rsidR="00D0200F" w:rsidRPr="00BB1E65" w:rsidRDefault="00D0200F" w:rsidP="00D0200F">
            <w:r w:rsidRPr="00BB1E65">
              <w:t>all other types of claims</w:t>
            </w:r>
          </w:p>
        </w:tc>
        <w:tc>
          <w:tcPr>
            <w:tcW w:w="4140" w:type="dxa"/>
          </w:tcPr>
          <w:p w14:paraId="2E5C9A4F" w14:textId="46E3F039" w:rsidR="00D0200F" w:rsidRPr="00BB1E65" w:rsidRDefault="00D0200F" w:rsidP="00D0200F">
            <w:r w:rsidRPr="00BB1E65">
              <w:rPr>
                <w:rStyle w:val="Hyperlink"/>
                <w:color w:val="auto"/>
                <w:u w:val="none"/>
              </w:rPr>
              <w:t>the embedded templates within CAATS.</w:t>
            </w:r>
          </w:p>
        </w:tc>
      </w:tr>
    </w:tbl>
    <w:p w14:paraId="33B4DC7E" w14:textId="77777777" w:rsidR="00833A6E" w:rsidRPr="00BB1E65" w:rsidRDefault="00833A6E" w:rsidP="00833A6E"/>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833A6E" w:rsidRPr="00BB1E65" w14:paraId="7FE5A073" w14:textId="77777777" w:rsidTr="00833A6E">
        <w:tc>
          <w:tcPr>
            <w:tcW w:w="7740" w:type="dxa"/>
            <w:shd w:val="clear" w:color="auto" w:fill="auto"/>
          </w:tcPr>
          <w:p w14:paraId="23E6DB4C" w14:textId="39CE1C86" w:rsidR="00833A6E" w:rsidRPr="00BB1E65" w:rsidRDefault="00833A6E" w:rsidP="00833A6E">
            <w:r w:rsidRPr="00BB1E65">
              <w:rPr>
                <w:b/>
                <w:i/>
              </w:rPr>
              <w:t>Important</w:t>
            </w:r>
            <w:r w:rsidRPr="00BB1E65">
              <w:t>:  ROs must create all required tracked items in the appropriate claims-processing system for the requested exam(s).</w:t>
            </w:r>
          </w:p>
          <w:p w14:paraId="6A77ABD1" w14:textId="77777777" w:rsidR="00833A6E" w:rsidRPr="00BB1E65" w:rsidRDefault="00833A6E" w:rsidP="00833A6E"/>
          <w:p w14:paraId="0C0751C6" w14:textId="77777777" w:rsidR="00833A6E" w:rsidRPr="00BB1E65" w:rsidRDefault="00833A6E" w:rsidP="00833A6E">
            <w:r w:rsidRPr="00BB1E65">
              <w:rPr>
                <w:b/>
                <w:i/>
              </w:rPr>
              <w:t>References</w:t>
            </w:r>
            <w:r w:rsidRPr="00BB1E65">
              <w:t xml:space="preserve">:  For more information on </w:t>
            </w:r>
          </w:p>
          <w:p w14:paraId="0FD8D6D3" w14:textId="77777777" w:rsidR="00833A6E" w:rsidRPr="00BB1E65" w:rsidRDefault="00833A6E" w:rsidP="00CA1389">
            <w:pPr>
              <w:pStyle w:val="ListParagraph"/>
              <w:numPr>
                <w:ilvl w:val="0"/>
                <w:numId w:val="82"/>
              </w:numPr>
              <w:ind w:left="158" w:hanging="187"/>
            </w:pPr>
            <w:r w:rsidRPr="00BB1E65">
              <w:t xml:space="preserve">requesting exams in CAATS, see the </w:t>
            </w:r>
            <w:hyperlink r:id="rId44" w:history="1">
              <w:r w:rsidRPr="00BB1E65">
                <w:rPr>
                  <w:rStyle w:val="Hyperlink"/>
                  <w:i/>
                </w:rPr>
                <w:t>CAATS User Guide</w:t>
              </w:r>
            </w:hyperlink>
            <w:r w:rsidRPr="00BB1E65">
              <w:rPr>
                <w:rStyle w:val="Hyperlink"/>
                <w:color w:val="auto"/>
                <w:u w:val="none"/>
              </w:rPr>
              <w:t>, and</w:t>
            </w:r>
            <w:r w:rsidRPr="00BB1E65">
              <w:rPr>
                <w:color w:val="auto"/>
              </w:rPr>
              <w:t xml:space="preserve"> </w:t>
            </w:r>
          </w:p>
          <w:p w14:paraId="0CB6117B" w14:textId="1CB81E78" w:rsidR="00833A6E" w:rsidRPr="00BB1E65" w:rsidRDefault="00833A6E" w:rsidP="00CA1389">
            <w:pPr>
              <w:pStyle w:val="ListParagraph"/>
              <w:numPr>
                <w:ilvl w:val="0"/>
                <w:numId w:val="82"/>
              </w:numPr>
              <w:ind w:left="158" w:hanging="187"/>
            </w:pPr>
            <w:r w:rsidRPr="00BB1E65">
              <w:t>creating a tracked item, see</w:t>
            </w:r>
            <w:r w:rsidR="00A011D2" w:rsidRPr="00BB1E65">
              <w:t xml:space="preserve"> the</w:t>
            </w:r>
          </w:p>
          <w:p w14:paraId="3FC95155" w14:textId="5E1D9573" w:rsidR="00833A6E" w:rsidRPr="00BB1E65" w:rsidRDefault="00A011D2" w:rsidP="00CA1389">
            <w:pPr>
              <w:pStyle w:val="ListParagraph"/>
              <w:numPr>
                <w:ilvl w:val="0"/>
                <w:numId w:val="83"/>
              </w:numPr>
              <w:ind w:left="346" w:hanging="187"/>
            </w:pPr>
            <w:r w:rsidRPr="00BB1E65">
              <w:t>Veterans Benefits Management System (</w:t>
            </w:r>
            <w:hyperlink r:id="rId45" w:history="1">
              <w:r w:rsidR="00833A6E" w:rsidRPr="00BB1E65">
                <w:rPr>
                  <w:rStyle w:val="Hyperlink"/>
                  <w:i/>
                </w:rPr>
                <w:t>VBMS</w:t>
              </w:r>
              <w:r w:rsidRPr="00BB1E65">
                <w:rPr>
                  <w:rStyle w:val="Hyperlink"/>
                  <w:i/>
                </w:rPr>
                <w:t>)</w:t>
              </w:r>
              <w:r w:rsidR="00833A6E" w:rsidRPr="00BB1E65">
                <w:rPr>
                  <w:rStyle w:val="Hyperlink"/>
                  <w:i/>
                </w:rPr>
                <w:t xml:space="preserve"> User’s Guide</w:t>
              </w:r>
            </w:hyperlink>
            <w:r w:rsidR="00833A6E" w:rsidRPr="00BB1E65">
              <w:t>, or</w:t>
            </w:r>
          </w:p>
          <w:p w14:paraId="6DFF8D89" w14:textId="4AC4FE84" w:rsidR="00833A6E" w:rsidRPr="00BB1E65" w:rsidRDefault="00A011D2" w:rsidP="00CA1389">
            <w:pPr>
              <w:pStyle w:val="ListParagraph"/>
              <w:numPr>
                <w:ilvl w:val="0"/>
                <w:numId w:val="98"/>
              </w:numPr>
              <w:ind w:left="346" w:hanging="187"/>
            </w:pPr>
            <w:r w:rsidRPr="00BB1E65">
              <w:t xml:space="preserve">Modern Award </w:t>
            </w:r>
            <w:r w:rsidR="001B4549" w:rsidRPr="00BB1E65">
              <w:t xml:space="preserve">Processing- </w:t>
            </w:r>
            <w:r w:rsidRPr="00BB1E65">
              <w:t>Development (</w:t>
            </w:r>
            <w:hyperlink r:id="rId46" w:history="1">
              <w:r w:rsidR="00833A6E" w:rsidRPr="00BB1E65">
                <w:rPr>
                  <w:rStyle w:val="Hyperlink"/>
                  <w:i/>
                </w:rPr>
                <w:t>MAP-D</w:t>
              </w:r>
              <w:r w:rsidRPr="00BB1E65">
                <w:rPr>
                  <w:rStyle w:val="Hyperlink"/>
                  <w:i/>
                </w:rPr>
                <w:t>)</w:t>
              </w:r>
              <w:r w:rsidR="00833A6E" w:rsidRPr="00BB1E65">
                <w:rPr>
                  <w:rStyle w:val="Hyperlink"/>
                  <w:i/>
                </w:rPr>
                <w:t xml:space="preserve"> User’s Guide</w:t>
              </w:r>
            </w:hyperlink>
            <w:r w:rsidR="00833A6E" w:rsidRPr="00BB1E65">
              <w:t>.</w:t>
            </w:r>
          </w:p>
        </w:tc>
      </w:tr>
    </w:tbl>
    <w:p w14:paraId="5F7B2AE7" w14:textId="4423CE69" w:rsidR="00D22520" w:rsidRPr="00BB1E65" w:rsidRDefault="00833A6E" w:rsidP="00833A6E">
      <w:pPr>
        <w:tabs>
          <w:tab w:val="left" w:pos="9360"/>
        </w:tabs>
        <w:ind w:left="1714"/>
      </w:pPr>
      <w:r w:rsidRPr="00BB1E65">
        <w:rPr>
          <w:u w:val="single"/>
        </w:rPr>
        <w:tab/>
      </w:r>
    </w:p>
    <w:p w14:paraId="77EDB2C8" w14:textId="77777777" w:rsidR="00D22520" w:rsidRPr="00BB1E65" w:rsidRDefault="00D22520" w:rsidP="00D22520"/>
    <w:tbl>
      <w:tblPr>
        <w:tblW w:w="0" w:type="auto"/>
        <w:tblInd w:w="-106" w:type="dxa"/>
        <w:tblLayout w:type="fixed"/>
        <w:tblLook w:val="0000" w:firstRow="0" w:lastRow="0" w:firstColumn="0" w:lastColumn="0" w:noHBand="0" w:noVBand="0"/>
      </w:tblPr>
      <w:tblGrid>
        <w:gridCol w:w="1728"/>
        <w:gridCol w:w="7740"/>
      </w:tblGrid>
      <w:tr w:rsidR="00121758" w:rsidRPr="00BB1E65" w14:paraId="6AA6B21E" w14:textId="77777777" w:rsidTr="00A26E7A">
        <w:trPr>
          <w:trHeight w:val="1170"/>
        </w:trPr>
        <w:tc>
          <w:tcPr>
            <w:tcW w:w="1728" w:type="dxa"/>
            <w:tcBorders>
              <w:top w:val="nil"/>
              <w:left w:val="nil"/>
              <w:bottom w:val="nil"/>
              <w:right w:val="nil"/>
            </w:tcBorders>
          </w:tcPr>
          <w:p w14:paraId="2DAB5275" w14:textId="57456075" w:rsidR="00121758" w:rsidRPr="00BB1E65" w:rsidRDefault="00A46CEF" w:rsidP="00866A0C">
            <w:pPr>
              <w:pStyle w:val="Heading5"/>
            </w:pPr>
            <w:bookmarkStart w:id="10" w:name="Topic7c"/>
            <w:bookmarkEnd w:id="10"/>
            <w:r w:rsidRPr="00BB1E65">
              <w:t>c</w:t>
            </w:r>
            <w:r w:rsidR="00121758" w:rsidRPr="00BB1E65">
              <w:t>.  Completing Medical Opinion Request</w:t>
            </w:r>
            <w:r w:rsidR="00D22520" w:rsidRPr="00BB1E65">
              <w:t>s</w:t>
            </w:r>
            <w:r w:rsidR="00895AB4" w:rsidRPr="00BB1E65">
              <w:t xml:space="preserve"> </w:t>
            </w:r>
            <w:r w:rsidR="00866A0C" w:rsidRPr="00BB1E65">
              <w:t>Using the ERB Tool</w:t>
            </w:r>
          </w:p>
        </w:tc>
        <w:tc>
          <w:tcPr>
            <w:tcW w:w="7740" w:type="dxa"/>
            <w:tcBorders>
              <w:top w:val="nil"/>
              <w:left w:val="nil"/>
              <w:bottom w:val="nil"/>
              <w:right w:val="nil"/>
            </w:tcBorders>
          </w:tcPr>
          <w:p w14:paraId="0FFB44C1" w14:textId="56E5F8F5" w:rsidR="00031F3B" w:rsidRPr="00BB1E65" w:rsidRDefault="00031F3B" w:rsidP="00866A0C">
            <w:pPr>
              <w:pStyle w:val="BlockText"/>
            </w:pPr>
            <w:r w:rsidRPr="00BB1E65">
              <w:t xml:space="preserve">As stated in M21-1 Part III, Subpart iv, 3.A.2.d, use of the ERB tool is mandatory in </w:t>
            </w:r>
          </w:p>
          <w:p w14:paraId="71838C13" w14:textId="77777777" w:rsidR="00031F3B" w:rsidRPr="00BB1E65" w:rsidRDefault="00031F3B" w:rsidP="00866A0C">
            <w:pPr>
              <w:pStyle w:val="BlockText"/>
            </w:pPr>
          </w:p>
          <w:p w14:paraId="457CD8F6" w14:textId="77777777" w:rsidR="00031F3B" w:rsidRPr="00BB1E65" w:rsidRDefault="00031F3B" w:rsidP="00CA1389">
            <w:pPr>
              <w:pStyle w:val="ListParagraph"/>
              <w:numPr>
                <w:ilvl w:val="0"/>
                <w:numId w:val="106"/>
              </w:numPr>
              <w:ind w:left="158" w:hanging="187"/>
            </w:pPr>
            <w:r w:rsidRPr="00BB1E65">
              <w:t xml:space="preserve">all CAPRI exam/medical opinion requests, and </w:t>
            </w:r>
          </w:p>
          <w:p w14:paraId="6DB075CE" w14:textId="0B0EC5F3" w:rsidR="00031F3B" w:rsidRPr="00BB1E65" w:rsidRDefault="00031F3B" w:rsidP="00CA1389">
            <w:pPr>
              <w:pStyle w:val="ListParagraph"/>
              <w:numPr>
                <w:ilvl w:val="0"/>
                <w:numId w:val="106"/>
              </w:numPr>
              <w:ind w:left="158" w:hanging="187"/>
            </w:pPr>
            <w:r w:rsidRPr="00BB1E65">
              <w:t>specific medical opinion requests in CAATS.</w:t>
            </w:r>
            <w:r w:rsidRPr="00BB1E65" w:rsidDel="00866A0C">
              <w:t xml:space="preserve"> </w:t>
            </w:r>
          </w:p>
          <w:p w14:paraId="2B591029" w14:textId="77777777" w:rsidR="00031F3B" w:rsidRPr="00BB1E65" w:rsidRDefault="00031F3B" w:rsidP="00866A0C">
            <w:pPr>
              <w:pStyle w:val="BlockText"/>
            </w:pPr>
          </w:p>
          <w:p w14:paraId="596DF6EC" w14:textId="1D7C05B3" w:rsidR="00866A0C" w:rsidRPr="00BB1E65" w:rsidRDefault="00D22520" w:rsidP="00031F3B">
            <w:pPr>
              <w:pStyle w:val="BlockText"/>
            </w:pPr>
            <w:r w:rsidRPr="00BB1E65">
              <w:t>When</w:t>
            </w:r>
            <w:r w:rsidR="008F2326" w:rsidRPr="00BB1E65">
              <w:t xml:space="preserve"> request</w:t>
            </w:r>
            <w:r w:rsidRPr="00BB1E65">
              <w:t>ing a</w:t>
            </w:r>
            <w:r w:rsidR="008F2326" w:rsidRPr="00BB1E65">
              <w:t xml:space="preserve"> medical opinion</w:t>
            </w:r>
            <w:r w:rsidRPr="00BB1E65">
              <w:t xml:space="preserve"> </w:t>
            </w:r>
            <w:r w:rsidR="00866A0C" w:rsidRPr="00BB1E65">
              <w:t>using the ERB tool</w:t>
            </w:r>
            <w:r w:rsidR="008F2326" w:rsidRPr="00BB1E65">
              <w:t xml:space="preserve">, </w:t>
            </w:r>
            <w:r w:rsidR="002A1338" w:rsidRPr="00BB1E65">
              <w:t>follow the steps in the table below</w:t>
            </w:r>
            <w:r w:rsidR="00A26E7A" w:rsidRPr="00BB1E65">
              <w:t>.</w:t>
            </w:r>
          </w:p>
        </w:tc>
      </w:tr>
    </w:tbl>
    <w:p w14:paraId="1130CE9B" w14:textId="77777777" w:rsidR="002A1338" w:rsidRPr="00BB1E65" w:rsidRDefault="002A1338" w:rsidP="002A1338"/>
    <w:tbl>
      <w:tblPr>
        <w:tblStyle w:val="TableGrid"/>
        <w:tblW w:w="7650" w:type="dxa"/>
        <w:tblInd w:w="1818" w:type="dxa"/>
        <w:tblLook w:val="04A0" w:firstRow="1" w:lastRow="0" w:firstColumn="1" w:lastColumn="0" w:noHBand="0" w:noVBand="1"/>
      </w:tblPr>
      <w:tblGrid>
        <w:gridCol w:w="1080"/>
        <w:gridCol w:w="6570"/>
      </w:tblGrid>
      <w:tr w:rsidR="002A1338" w:rsidRPr="00BB1E65" w14:paraId="18AEA2EA" w14:textId="77777777" w:rsidTr="002A1338">
        <w:tc>
          <w:tcPr>
            <w:tcW w:w="1080" w:type="dxa"/>
          </w:tcPr>
          <w:p w14:paraId="71EAC0D3" w14:textId="19FBFA58" w:rsidR="002A1338" w:rsidRPr="00BB1E65" w:rsidRDefault="002A1338" w:rsidP="002A1338">
            <w:pPr>
              <w:jc w:val="center"/>
              <w:rPr>
                <w:b/>
              </w:rPr>
            </w:pPr>
            <w:r w:rsidRPr="00BB1E65">
              <w:rPr>
                <w:b/>
              </w:rPr>
              <w:t>Step</w:t>
            </w:r>
          </w:p>
        </w:tc>
        <w:tc>
          <w:tcPr>
            <w:tcW w:w="6570" w:type="dxa"/>
          </w:tcPr>
          <w:p w14:paraId="55F45005" w14:textId="72BFAEB3" w:rsidR="002A1338" w:rsidRPr="00BB1E65" w:rsidRDefault="002A1338" w:rsidP="002A1338">
            <w:pPr>
              <w:jc w:val="center"/>
              <w:rPr>
                <w:b/>
              </w:rPr>
            </w:pPr>
            <w:r w:rsidRPr="00BB1E65">
              <w:rPr>
                <w:b/>
              </w:rPr>
              <w:t>Action</w:t>
            </w:r>
          </w:p>
        </w:tc>
      </w:tr>
      <w:tr w:rsidR="002A1338" w:rsidRPr="00BB1E65" w14:paraId="52C599B5" w14:textId="77777777" w:rsidTr="002A1338">
        <w:tc>
          <w:tcPr>
            <w:tcW w:w="1080" w:type="dxa"/>
          </w:tcPr>
          <w:p w14:paraId="7EACAF57" w14:textId="3E9DF3BA" w:rsidR="002A1338" w:rsidRPr="00BB1E65" w:rsidRDefault="002A1338" w:rsidP="002A1338">
            <w:pPr>
              <w:jc w:val="center"/>
            </w:pPr>
            <w:r w:rsidRPr="00BB1E65">
              <w:lastRenderedPageBreak/>
              <w:t>1</w:t>
            </w:r>
          </w:p>
        </w:tc>
        <w:tc>
          <w:tcPr>
            <w:tcW w:w="6570" w:type="dxa"/>
          </w:tcPr>
          <w:p w14:paraId="2115EFEC" w14:textId="6207B4C0" w:rsidR="002A1338" w:rsidRPr="00BB1E65" w:rsidRDefault="002A1338" w:rsidP="002A1338">
            <w:r w:rsidRPr="00BB1E65">
              <w:t>Determine which examination facility to use.</w:t>
            </w:r>
          </w:p>
          <w:p w14:paraId="37EACA2F" w14:textId="77777777" w:rsidR="0004493F" w:rsidRPr="00BB1E65" w:rsidRDefault="0004493F" w:rsidP="002A1338"/>
          <w:p w14:paraId="41CF8F9F" w14:textId="6316BF1E" w:rsidR="002803B6" w:rsidRPr="00BB1E65" w:rsidRDefault="002803B6" w:rsidP="00D14DAD">
            <w:r w:rsidRPr="00BB1E65">
              <w:rPr>
                <w:b/>
                <w:i/>
              </w:rPr>
              <w:t>Reference</w:t>
            </w:r>
            <w:r w:rsidRPr="00BB1E65">
              <w:t>:  For assistance with locating the appropriate exam facility, see</w:t>
            </w:r>
            <w:r w:rsidR="00D14DAD" w:rsidRPr="00BB1E65">
              <w:t xml:space="preserve"> the</w:t>
            </w:r>
            <w:r w:rsidRPr="00BB1E65">
              <w:t xml:space="preserve"> </w:t>
            </w:r>
            <w:hyperlink r:id="rId47" w:history="1">
              <w:r w:rsidR="00D14DAD" w:rsidRPr="00BB1E65">
                <w:rPr>
                  <w:rStyle w:val="Hyperlink"/>
                </w:rPr>
                <w:t>ERRA tool</w:t>
              </w:r>
            </w:hyperlink>
            <w:r w:rsidR="00D14DAD" w:rsidRPr="00BB1E65">
              <w:t>.</w:t>
            </w:r>
          </w:p>
        </w:tc>
      </w:tr>
      <w:tr w:rsidR="002A1338" w:rsidRPr="00BB1E65" w14:paraId="79D8DDCC" w14:textId="77777777" w:rsidTr="002A1338">
        <w:tc>
          <w:tcPr>
            <w:tcW w:w="1080" w:type="dxa"/>
          </w:tcPr>
          <w:p w14:paraId="0262C16A" w14:textId="09ACFD65" w:rsidR="002A1338" w:rsidRPr="00BB1E65" w:rsidRDefault="002A1338" w:rsidP="002A1338">
            <w:pPr>
              <w:jc w:val="center"/>
            </w:pPr>
            <w:r w:rsidRPr="00BB1E65">
              <w:t>2</w:t>
            </w:r>
          </w:p>
        </w:tc>
        <w:tc>
          <w:tcPr>
            <w:tcW w:w="6570" w:type="dxa"/>
          </w:tcPr>
          <w:p w14:paraId="4130B00C" w14:textId="77777777" w:rsidR="002A1338" w:rsidRPr="00BB1E65" w:rsidRDefault="002A1338" w:rsidP="00661A60">
            <w:pPr>
              <w:pStyle w:val="ListParagraph"/>
              <w:numPr>
                <w:ilvl w:val="0"/>
                <w:numId w:val="47"/>
              </w:numPr>
              <w:ind w:left="158" w:hanging="187"/>
            </w:pPr>
            <w:r w:rsidRPr="00BB1E65">
              <w:t xml:space="preserve">Select the appropriate medical opinion template, and </w:t>
            </w:r>
          </w:p>
          <w:p w14:paraId="16D92413" w14:textId="4756E2B3" w:rsidR="002A1338" w:rsidRPr="00BB1E65" w:rsidRDefault="002A1338" w:rsidP="00661A60">
            <w:pPr>
              <w:pStyle w:val="ListParagraph"/>
              <w:numPr>
                <w:ilvl w:val="0"/>
                <w:numId w:val="47"/>
              </w:numPr>
              <w:ind w:left="158" w:hanging="187"/>
            </w:pPr>
            <w:r w:rsidRPr="00BB1E65">
              <w:t xml:space="preserve">populate all required fields in the </w:t>
            </w:r>
            <w:hyperlink r:id="rId48" w:history="1">
              <w:r w:rsidRPr="00BB1E65">
                <w:rPr>
                  <w:rStyle w:val="Hyperlink"/>
                </w:rPr>
                <w:t>ERB tool</w:t>
              </w:r>
            </w:hyperlink>
            <w:r w:rsidRPr="00BB1E65">
              <w:t xml:space="preserve">. </w:t>
            </w:r>
          </w:p>
          <w:p w14:paraId="2349A374" w14:textId="77777777" w:rsidR="002A1338" w:rsidRPr="00BB1E65" w:rsidRDefault="002A1338" w:rsidP="002A1338"/>
          <w:p w14:paraId="21A2B3CF" w14:textId="78B00BB9" w:rsidR="002A1338" w:rsidRPr="00BB1E65" w:rsidRDefault="002A1338" w:rsidP="002A1338">
            <w:r w:rsidRPr="00BB1E65">
              <w:rPr>
                <w:b/>
                <w:i/>
              </w:rPr>
              <w:t>Reference</w:t>
            </w:r>
            <w:r w:rsidRPr="00BB1E65">
              <w:t xml:space="preserve">:  For more information, see the </w:t>
            </w:r>
            <w:hyperlink r:id="rId49" w:history="1">
              <w:r w:rsidRPr="00BB1E65">
                <w:rPr>
                  <w:rStyle w:val="Hyperlink"/>
                  <w:i/>
                </w:rPr>
                <w:t>ERB User Guide</w:t>
              </w:r>
            </w:hyperlink>
            <w:r w:rsidRPr="00BB1E65">
              <w:t>.</w:t>
            </w:r>
          </w:p>
        </w:tc>
      </w:tr>
      <w:tr w:rsidR="002A1338" w:rsidRPr="00BB1E65" w14:paraId="41300200" w14:textId="77777777" w:rsidTr="002A1338">
        <w:tc>
          <w:tcPr>
            <w:tcW w:w="1080" w:type="dxa"/>
          </w:tcPr>
          <w:p w14:paraId="56482202" w14:textId="4C81C011" w:rsidR="002A1338" w:rsidRPr="00BB1E65" w:rsidRDefault="002A1338" w:rsidP="002A1338">
            <w:pPr>
              <w:jc w:val="center"/>
            </w:pPr>
            <w:r w:rsidRPr="00BB1E65">
              <w:t>3</w:t>
            </w:r>
          </w:p>
        </w:tc>
        <w:tc>
          <w:tcPr>
            <w:tcW w:w="6570" w:type="dxa"/>
          </w:tcPr>
          <w:p w14:paraId="284D8690" w14:textId="544416A7" w:rsidR="002A1338" w:rsidRPr="00BB1E65" w:rsidRDefault="002A1338" w:rsidP="002A1338">
            <w:r w:rsidRPr="00BB1E65">
              <w:t>Edit the generated medical opinion language to ensure it is case-specific and will result in the necessary opinion.</w:t>
            </w:r>
          </w:p>
        </w:tc>
      </w:tr>
      <w:tr w:rsidR="002A1338" w:rsidRPr="00BB1E65" w14:paraId="3F95A457" w14:textId="0954CF43" w:rsidTr="002A1338">
        <w:tc>
          <w:tcPr>
            <w:tcW w:w="1080" w:type="dxa"/>
          </w:tcPr>
          <w:p w14:paraId="5A18890F" w14:textId="1953E07C" w:rsidR="002A1338" w:rsidRPr="00BB1E65" w:rsidRDefault="002A1338" w:rsidP="002A1338">
            <w:pPr>
              <w:jc w:val="center"/>
            </w:pPr>
            <w:r w:rsidRPr="00BB1E65">
              <w:t>4</w:t>
            </w:r>
          </w:p>
        </w:tc>
        <w:tc>
          <w:tcPr>
            <w:tcW w:w="6570" w:type="dxa"/>
          </w:tcPr>
          <w:p w14:paraId="3B5D5ADB" w14:textId="3FA1EF08" w:rsidR="002A1338" w:rsidRPr="00BB1E65" w:rsidRDefault="002A1338" w:rsidP="00A26E7A">
            <w:r w:rsidRPr="00BB1E65">
              <w:t>Create all required tracked items</w:t>
            </w:r>
            <w:r w:rsidR="00A26E7A" w:rsidRPr="00BB1E65">
              <w:t xml:space="preserve"> in the appropriate claims-processing system</w:t>
            </w:r>
            <w:r w:rsidRPr="00BB1E65">
              <w:t>.</w:t>
            </w:r>
          </w:p>
          <w:p w14:paraId="0773493F" w14:textId="425BDAF3" w:rsidR="00A26E7A" w:rsidRPr="00BB1E65" w:rsidRDefault="00A26E7A" w:rsidP="00A26E7A"/>
          <w:p w14:paraId="2879EB60" w14:textId="741EC55A" w:rsidR="00A26E7A" w:rsidRPr="00BB1E65" w:rsidRDefault="00A26E7A" w:rsidP="00A26E7A">
            <w:pPr>
              <w:pStyle w:val="BlockText"/>
            </w:pPr>
            <w:r w:rsidRPr="00BB1E65">
              <w:rPr>
                <w:b/>
                <w:i/>
              </w:rPr>
              <w:t>Reference</w:t>
            </w:r>
            <w:r w:rsidRPr="00BB1E65">
              <w:t>:  For more information on creating a tracked item, see</w:t>
            </w:r>
          </w:p>
          <w:p w14:paraId="6847780C" w14:textId="24F995C1" w:rsidR="00A26E7A" w:rsidRPr="00BB1E65" w:rsidRDefault="00BB1E65" w:rsidP="00171AC4">
            <w:pPr>
              <w:pStyle w:val="ListParagraph"/>
              <w:numPr>
                <w:ilvl w:val="0"/>
                <w:numId w:val="7"/>
              </w:numPr>
              <w:ind w:left="158" w:hanging="187"/>
            </w:pPr>
            <w:hyperlink r:id="rId50" w:history="1">
              <w:r w:rsidR="00A26E7A" w:rsidRPr="00BB1E65">
                <w:rPr>
                  <w:rStyle w:val="Hyperlink"/>
                  <w:i/>
                </w:rPr>
                <w:t>VBMS User’s Guide</w:t>
              </w:r>
            </w:hyperlink>
            <w:r w:rsidR="00A26E7A" w:rsidRPr="00BB1E65">
              <w:t>, or</w:t>
            </w:r>
          </w:p>
          <w:p w14:paraId="7A4EE434" w14:textId="0447FE67" w:rsidR="00A26E7A" w:rsidRPr="00BB1E65" w:rsidRDefault="00BB1E65" w:rsidP="00DC6C05">
            <w:pPr>
              <w:pStyle w:val="ListParagraph"/>
              <w:numPr>
                <w:ilvl w:val="0"/>
                <w:numId w:val="48"/>
              </w:numPr>
              <w:ind w:left="158" w:hanging="187"/>
            </w:pPr>
            <w:hyperlink r:id="rId51" w:history="1">
              <w:r w:rsidR="00D22520" w:rsidRPr="00BB1E65">
                <w:rPr>
                  <w:rStyle w:val="Hyperlink"/>
                  <w:i/>
                </w:rPr>
                <w:t>MAP-D User’s Guide</w:t>
              </w:r>
            </w:hyperlink>
            <w:r w:rsidR="00A26E7A" w:rsidRPr="00BB1E65">
              <w:t>.</w:t>
            </w:r>
          </w:p>
        </w:tc>
      </w:tr>
      <w:tr w:rsidR="002A1338" w:rsidRPr="00BB1E65" w14:paraId="68AAF300" w14:textId="77777777" w:rsidTr="002A1338">
        <w:tc>
          <w:tcPr>
            <w:tcW w:w="1080" w:type="dxa"/>
          </w:tcPr>
          <w:p w14:paraId="508FAB34" w14:textId="402090DE" w:rsidR="002A1338" w:rsidRPr="00BB1E65" w:rsidRDefault="002A1338" w:rsidP="002A1338">
            <w:pPr>
              <w:jc w:val="center"/>
            </w:pPr>
            <w:r w:rsidRPr="00BB1E65">
              <w:t>5</w:t>
            </w:r>
          </w:p>
        </w:tc>
        <w:tc>
          <w:tcPr>
            <w:tcW w:w="6570" w:type="dxa"/>
          </w:tcPr>
          <w:p w14:paraId="32A7C12F" w14:textId="0BE20A8E" w:rsidR="002A1338" w:rsidRPr="00BB1E65" w:rsidRDefault="002A1338" w:rsidP="00BC194D">
            <w:r w:rsidRPr="00BB1E65">
              <w:t xml:space="preserve">Open either the CAPRI or </w:t>
            </w:r>
            <w:r w:rsidR="00BC194D" w:rsidRPr="00BB1E65">
              <w:t xml:space="preserve">CAATS </w:t>
            </w:r>
            <w:r w:rsidRPr="00BB1E65">
              <w:t>application.</w:t>
            </w:r>
          </w:p>
        </w:tc>
      </w:tr>
      <w:tr w:rsidR="002A1338" w:rsidRPr="00BB1E65" w14:paraId="4102DBF4" w14:textId="2429117F" w:rsidTr="002A1338">
        <w:tc>
          <w:tcPr>
            <w:tcW w:w="1080" w:type="dxa"/>
          </w:tcPr>
          <w:p w14:paraId="01A69185" w14:textId="2A6A1665" w:rsidR="002A1338" w:rsidRPr="00BB1E65" w:rsidRDefault="002A1338" w:rsidP="002A1338">
            <w:pPr>
              <w:jc w:val="center"/>
            </w:pPr>
            <w:r w:rsidRPr="00BB1E65">
              <w:t>6</w:t>
            </w:r>
          </w:p>
        </w:tc>
        <w:tc>
          <w:tcPr>
            <w:tcW w:w="6570" w:type="dxa"/>
          </w:tcPr>
          <w:p w14:paraId="6E2949D8" w14:textId="42E9F356" w:rsidR="002A1338" w:rsidRPr="00BB1E65" w:rsidRDefault="008F2326" w:rsidP="002A1338">
            <w:r w:rsidRPr="00BB1E65">
              <w:t>Select all required exams and medical opinion DBQs</w:t>
            </w:r>
            <w:r w:rsidR="002A1338" w:rsidRPr="00BB1E65">
              <w:t>.</w:t>
            </w:r>
          </w:p>
        </w:tc>
      </w:tr>
      <w:tr w:rsidR="002A1338" w:rsidRPr="00BB1E65" w14:paraId="16857C3D" w14:textId="311AF0B3" w:rsidTr="002A1338">
        <w:tc>
          <w:tcPr>
            <w:tcW w:w="1080" w:type="dxa"/>
          </w:tcPr>
          <w:p w14:paraId="25BD0805" w14:textId="11F34CCB" w:rsidR="002A1338" w:rsidRPr="00BB1E65" w:rsidRDefault="002A1338" w:rsidP="002A1338">
            <w:pPr>
              <w:jc w:val="center"/>
            </w:pPr>
            <w:r w:rsidRPr="00BB1E65">
              <w:t>7</w:t>
            </w:r>
          </w:p>
        </w:tc>
        <w:tc>
          <w:tcPr>
            <w:tcW w:w="6570" w:type="dxa"/>
          </w:tcPr>
          <w:p w14:paraId="5FE95C44" w14:textId="4E0BADE4" w:rsidR="002A1338" w:rsidRPr="00BB1E65" w:rsidRDefault="008F2326" w:rsidP="00866A0C">
            <w:r w:rsidRPr="00BB1E65">
              <w:t>P</w:t>
            </w:r>
            <w:r w:rsidR="00BB07DC" w:rsidRPr="00BB1E65">
              <w:t xml:space="preserve">aste the </w:t>
            </w:r>
            <w:r w:rsidR="00A26E7A" w:rsidRPr="00BB1E65">
              <w:t xml:space="preserve">ERB </w:t>
            </w:r>
            <w:r w:rsidR="00BA5B2D" w:rsidRPr="00BB1E65">
              <w:t xml:space="preserve">exam request </w:t>
            </w:r>
            <w:r w:rsidR="0054573F" w:rsidRPr="00BB1E65">
              <w:t>language</w:t>
            </w:r>
            <w:r w:rsidR="00BB07DC" w:rsidRPr="00BB1E65">
              <w:t xml:space="preserve"> into the </w:t>
            </w:r>
            <w:r w:rsidR="002A1338" w:rsidRPr="00BB1E65">
              <w:t xml:space="preserve">REMARKS </w:t>
            </w:r>
            <w:r w:rsidR="00BB07DC" w:rsidRPr="00BB1E65">
              <w:t xml:space="preserve">field.  </w:t>
            </w:r>
            <w:r w:rsidR="00121758" w:rsidRPr="00BB1E65">
              <w:t xml:space="preserve"> </w:t>
            </w:r>
          </w:p>
        </w:tc>
      </w:tr>
    </w:tbl>
    <w:p w14:paraId="3D63A127" w14:textId="327E314E" w:rsidR="00D30FEA" w:rsidRPr="00BB1E65" w:rsidRDefault="00D30FEA" w:rsidP="002A1338">
      <w:r w:rsidRPr="00BB1E65">
        <w:tab/>
      </w: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2A1338" w:rsidRPr="00BB1E65" w14:paraId="18FD66EE" w14:textId="77777777" w:rsidTr="002A1338">
        <w:tc>
          <w:tcPr>
            <w:tcW w:w="7740" w:type="dxa"/>
            <w:shd w:val="clear" w:color="auto" w:fill="auto"/>
          </w:tcPr>
          <w:p w14:paraId="2DF053B7" w14:textId="77C8660C" w:rsidR="003C7362" w:rsidRPr="00BB1E65" w:rsidRDefault="002A1338" w:rsidP="002A1338">
            <w:pPr>
              <w:pStyle w:val="BlockText"/>
            </w:pPr>
            <w:r w:rsidRPr="00BB1E65">
              <w:rPr>
                <w:b/>
                <w:bCs/>
                <w:i/>
                <w:iCs/>
              </w:rPr>
              <w:t>References</w:t>
            </w:r>
            <w:r w:rsidRPr="00BB1E65">
              <w:t>:  For more information on inputting a</w:t>
            </w:r>
            <w:r w:rsidR="003C7362" w:rsidRPr="00BB1E65">
              <w:t>(n)</w:t>
            </w:r>
          </w:p>
          <w:p w14:paraId="480E8A8F" w14:textId="652C13C4" w:rsidR="003C7362" w:rsidRPr="00BB1E65" w:rsidRDefault="003C7362" w:rsidP="00CA1389">
            <w:pPr>
              <w:pStyle w:val="ListParagraph"/>
              <w:numPr>
                <w:ilvl w:val="0"/>
                <w:numId w:val="109"/>
              </w:numPr>
              <w:ind w:left="158" w:hanging="187"/>
            </w:pPr>
            <w:r w:rsidRPr="00BB1E65">
              <w:t>exam request, see M21-1, Part III, Subpart iv, 3.A.16.a, and</w:t>
            </w:r>
          </w:p>
          <w:p w14:paraId="4D54A5E5" w14:textId="70E66AAF" w:rsidR="002A1338" w:rsidRPr="00BB1E65" w:rsidRDefault="002A1338" w:rsidP="00CA1389">
            <w:pPr>
              <w:pStyle w:val="ListParagraph"/>
              <w:numPr>
                <w:ilvl w:val="0"/>
                <w:numId w:val="107"/>
              </w:numPr>
              <w:ind w:left="158" w:hanging="187"/>
            </w:pPr>
            <w:r w:rsidRPr="00BB1E65">
              <w:t>medical opinion request in</w:t>
            </w:r>
          </w:p>
          <w:p w14:paraId="436D0DF2" w14:textId="1DDC916F" w:rsidR="002A1338" w:rsidRPr="00BB1E65" w:rsidRDefault="002A1338" w:rsidP="00CA1389">
            <w:pPr>
              <w:pStyle w:val="ListParagraph"/>
              <w:numPr>
                <w:ilvl w:val="0"/>
                <w:numId w:val="108"/>
              </w:numPr>
              <w:ind w:left="346" w:hanging="187"/>
            </w:pPr>
            <w:r w:rsidRPr="00BB1E65">
              <w:t xml:space="preserve">CAPRI, see the </w:t>
            </w:r>
            <w:hyperlink r:id="rId52" w:history="1">
              <w:r w:rsidRPr="00BB1E65">
                <w:rPr>
                  <w:rStyle w:val="Hyperlink"/>
                  <w:i/>
                </w:rPr>
                <w:t>CAPRI User’s Guide</w:t>
              </w:r>
            </w:hyperlink>
            <w:r w:rsidRPr="00BB1E65">
              <w:t>, and</w:t>
            </w:r>
          </w:p>
          <w:p w14:paraId="55E04D2C" w14:textId="4D4B0039" w:rsidR="002A1338" w:rsidRPr="00BB1E65" w:rsidRDefault="002A1338" w:rsidP="00CA1389">
            <w:pPr>
              <w:pStyle w:val="ListParagraph"/>
              <w:numPr>
                <w:ilvl w:val="0"/>
                <w:numId w:val="108"/>
              </w:numPr>
              <w:ind w:left="346" w:hanging="187"/>
            </w:pPr>
            <w:r w:rsidRPr="00BB1E65">
              <w:t xml:space="preserve">CAATS, see the </w:t>
            </w:r>
            <w:hyperlink r:id="rId53" w:history="1">
              <w:r w:rsidRPr="00BB1E65">
                <w:rPr>
                  <w:rStyle w:val="Hyperlink"/>
                  <w:i/>
                </w:rPr>
                <w:t>CAATS User Guide</w:t>
              </w:r>
            </w:hyperlink>
            <w:r w:rsidRPr="00BB1E65">
              <w:rPr>
                <w:rStyle w:val="Hyperlink"/>
                <w:color w:val="auto"/>
                <w:u w:val="none"/>
              </w:rPr>
              <w:t>.</w:t>
            </w:r>
            <w:r w:rsidRPr="00BB1E65">
              <w:t xml:space="preserve">  </w:t>
            </w:r>
          </w:p>
        </w:tc>
      </w:tr>
    </w:tbl>
    <w:p w14:paraId="2BFCAA06" w14:textId="1CF6CBD7" w:rsidR="00121758" w:rsidRPr="00BB1E65" w:rsidRDefault="00121758" w:rsidP="00D22520">
      <w:pPr>
        <w:pStyle w:val="BlockLine"/>
      </w:pPr>
    </w:p>
    <w:tbl>
      <w:tblPr>
        <w:tblW w:w="0" w:type="auto"/>
        <w:tblInd w:w="-106" w:type="dxa"/>
        <w:tblLayout w:type="fixed"/>
        <w:tblLook w:val="0000" w:firstRow="0" w:lastRow="0" w:firstColumn="0" w:lastColumn="0" w:noHBand="0" w:noVBand="0"/>
      </w:tblPr>
      <w:tblGrid>
        <w:gridCol w:w="1728"/>
        <w:gridCol w:w="7846"/>
      </w:tblGrid>
      <w:tr w:rsidR="00121758" w:rsidRPr="00BB1E65" w14:paraId="5DF0924D" w14:textId="77777777" w:rsidTr="0000732C">
        <w:tc>
          <w:tcPr>
            <w:tcW w:w="1728" w:type="dxa"/>
            <w:tcBorders>
              <w:top w:val="nil"/>
              <w:left w:val="nil"/>
              <w:bottom w:val="nil"/>
              <w:right w:val="nil"/>
            </w:tcBorders>
          </w:tcPr>
          <w:p w14:paraId="171385B1" w14:textId="68400C57" w:rsidR="00121758" w:rsidRPr="00BB1E65" w:rsidRDefault="00A46CEF" w:rsidP="007D0EFC">
            <w:pPr>
              <w:pStyle w:val="Heading5"/>
            </w:pPr>
            <w:bookmarkStart w:id="11" w:name="Topic7d"/>
            <w:bookmarkEnd w:id="11"/>
            <w:r w:rsidRPr="00BB1E65">
              <w:t>d</w:t>
            </w:r>
            <w:r w:rsidR="00121758" w:rsidRPr="00BB1E65">
              <w:t xml:space="preserve">.  </w:t>
            </w:r>
            <w:r w:rsidR="008E745F" w:rsidRPr="00BB1E65">
              <w:t xml:space="preserve">Procedure for </w:t>
            </w:r>
            <w:r w:rsidR="00121758" w:rsidRPr="00BB1E65">
              <w:t>Identifying the Evidence in a Medical Opinion Request</w:t>
            </w:r>
            <w:r w:rsidR="007D0EFC" w:rsidRPr="00BB1E65">
              <w:t xml:space="preserve"> in ERB</w:t>
            </w:r>
            <w:r w:rsidR="00042F57" w:rsidRPr="00BB1E65">
              <w:t xml:space="preserve"> </w:t>
            </w:r>
          </w:p>
        </w:tc>
        <w:tc>
          <w:tcPr>
            <w:tcW w:w="7846" w:type="dxa"/>
            <w:tcBorders>
              <w:top w:val="nil"/>
              <w:left w:val="nil"/>
              <w:bottom w:val="nil"/>
              <w:right w:val="nil"/>
            </w:tcBorders>
          </w:tcPr>
          <w:p w14:paraId="62FCA526" w14:textId="0810CD51" w:rsidR="00121758" w:rsidRPr="00BB1E65" w:rsidRDefault="00B940B9" w:rsidP="00FB1164">
            <w:pPr>
              <w:pStyle w:val="BlockText"/>
            </w:pPr>
            <w:r w:rsidRPr="00BB1E65">
              <w:t>Identify all</w:t>
            </w:r>
            <w:r w:rsidR="00DA1441" w:rsidRPr="00BB1E65">
              <w:t xml:space="preserve"> pertinent evidence for the examiner to review in the </w:t>
            </w:r>
            <w:hyperlink r:id="rId54" w:history="1">
              <w:r w:rsidR="009D41A7" w:rsidRPr="00BB1E65">
                <w:rPr>
                  <w:rStyle w:val="Hyperlink"/>
                </w:rPr>
                <w:t xml:space="preserve">ERB </w:t>
              </w:r>
              <w:r w:rsidR="009D4CF5" w:rsidRPr="00BB1E65">
                <w:rPr>
                  <w:rStyle w:val="Hyperlink"/>
                </w:rPr>
                <w:t>tool</w:t>
              </w:r>
            </w:hyperlink>
            <w:r w:rsidR="00D14DAD" w:rsidRPr="00BB1E65">
              <w:t xml:space="preserve"> by completing the TAB screen</w:t>
            </w:r>
            <w:r w:rsidR="009D41A7" w:rsidRPr="00BB1E65">
              <w:t xml:space="preserve">. </w:t>
            </w:r>
            <w:r w:rsidR="001D71BA" w:rsidRPr="00BB1E65">
              <w:t xml:space="preserve"> </w:t>
            </w:r>
            <w:r w:rsidR="00121758" w:rsidRPr="00BB1E65">
              <w:t xml:space="preserve">For each tabbed item of evidence, </w:t>
            </w:r>
            <w:r w:rsidR="00D14DAD" w:rsidRPr="00BB1E65">
              <w:t xml:space="preserve">populate </w:t>
            </w:r>
            <w:r w:rsidR="00121758" w:rsidRPr="00BB1E65">
              <w:t>the</w:t>
            </w:r>
          </w:p>
          <w:p w14:paraId="34F1AA6B" w14:textId="64CCFB31" w:rsidR="00D14DAD" w:rsidRPr="00BB1E65" w:rsidRDefault="00D14DAD" w:rsidP="0000732C"/>
          <w:p w14:paraId="0D732E53" w14:textId="77777777" w:rsidR="00D14DAD" w:rsidRPr="00BB1E65" w:rsidRDefault="00D14DAD" w:rsidP="00661A60">
            <w:pPr>
              <w:pStyle w:val="ListParagraph"/>
              <w:numPr>
                <w:ilvl w:val="0"/>
                <w:numId w:val="24"/>
              </w:numPr>
              <w:ind w:left="158" w:hanging="187"/>
            </w:pPr>
            <w:r w:rsidRPr="00BB1E65">
              <w:t>ASSOCIATED EXAM field</w:t>
            </w:r>
          </w:p>
          <w:p w14:paraId="16F7FD05" w14:textId="77777777" w:rsidR="00D14DAD" w:rsidRPr="00BB1E65" w:rsidRDefault="00D14DAD" w:rsidP="00661A60">
            <w:pPr>
              <w:pStyle w:val="ListParagraph"/>
              <w:numPr>
                <w:ilvl w:val="0"/>
                <w:numId w:val="24"/>
              </w:numPr>
              <w:ind w:left="158" w:hanging="187"/>
            </w:pPr>
            <w:r w:rsidRPr="00BB1E65">
              <w:t>EVIDENCE field</w:t>
            </w:r>
          </w:p>
          <w:p w14:paraId="270B94C8" w14:textId="77777777" w:rsidR="00D14DAD" w:rsidRPr="00BB1E65" w:rsidRDefault="00D14DAD" w:rsidP="00661A60">
            <w:pPr>
              <w:pStyle w:val="ListParagraph"/>
              <w:numPr>
                <w:ilvl w:val="0"/>
                <w:numId w:val="24"/>
              </w:numPr>
              <w:ind w:left="158" w:hanging="187"/>
            </w:pPr>
            <w:r w:rsidRPr="00BB1E65">
              <w:t>TAB NAME field</w:t>
            </w:r>
          </w:p>
          <w:p w14:paraId="71D13EDD" w14:textId="77777777" w:rsidR="00D14DAD" w:rsidRPr="00BB1E65" w:rsidRDefault="00D14DAD" w:rsidP="00661A60">
            <w:pPr>
              <w:pStyle w:val="ListParagraph"/>
              <w:numPr>
                <w:ilvl w:val="0"/>
                <w:numId w:val="24"/>
              </w:numPr>
              <w:ind w:left="158" w:hanging="187"/>
            </w:pPr>
            <w:r w:rsidRPr="00BB1E65">
              <w:t>DATE field</w:t>
            </w:r>
          </w:p>
          <w:p w14:paraId="6A1CDDD9" w14:textId="36AC6A54" w:rsidR="00D14DAD" w:rsidRPr="00BB1E65" w:rsidRDefault="00D14DAD" w:rsidP="00661A60">
            <w:pPr>
              <w:pStyle w:val="ListParagraph"/>
              <w:numPr>
                <w:ilvl w:val="0"/>
                <w:numId w:val="24"/>
              </w:numPr>
              <w:ind w:left="158" w:hanging="187"/>
            </w:pPr>
            <w:r w:rsidRPr="00BB1E65">
              <w:t>DESCRIPTION field, and</w:t>
            </w:r>
          </w:p>
          <w:p w14:paraId="66ACC8D5" w14:textId="77777777" w:rsidR="00121758" w:rsidRPr="00BB1E65" w:rsidRDefault="00D14DAD" w:rsidP="00661A60">
            <w:pPr>
              <w:pStyle w:val="ListParagraph"/>
              <w:numPr>
                <w:ilvl w:val="0"/>
                <w:numId w:val="24"/>
              </w:numPr>
              <w:ind w:left="158" w:hanging="187"/>
            </w:pPr>
            <w:r w:rsidRPr="00BB1E65">
              <w:t>LOCATION field</w:t>
            </w:r>
            <w:r w:rsidR="00DA1441" w:rsidRPr="00BB1E65">
              <w:t>.</w:t>
            </w:r>
          </w:p>
          <w:p w14:paraId="36C8D73A" w14:textId="77777777" w:rsidR="00D14DAD" w:rsidRPr="00BB1E65" w:rsidRDefault="00D14DAD" w:rsidP="00D14DAD"/>
          <w:p w14:paraId="4A06A985" w14:textId="0CE6874B" w:rsidR="008E745F" w:rsidRPr="00BB1E65" w:rsidRDefault="002F5420" w:rsidP="00D14DAD">
            <w:r w:rsidRPr="00BB1E65">
              <w:t>ERB will generate language in the exam request based on the completion of these fields.</w:t>
            </w:r>
          </w:p>
          <w:p w14:paraId="02E1077D" w14:textId="77777777" w:rsidR="002F5420" w:rsidRPr="00BB1E65" w:rsidRDefault="002F5420" w:rsidP="00D14DAD"/>
          <w:p w14:paraId="258C0A84" w14:textId="77777777" w:rsidR="00CC09F6" w:rsidRPr="00BB1E65" w:rsidRDefault="00D14DAD" w:rsidP="00D14DAD">
            <w:r w:rsidRPr="00BB1E65">
              <w:rPr>
                <w:b/>
                <w:i/>
              </w:rPr>
              <w:t>Reference</w:t>
            </w:r>
            <w:r w:rsidR="00CC09F6" w:rsidRPr="00BB1E65">
              <w:rPr>
                <w:b/>
                <w:i/>
              </w:rPr>
              <w:t>s</w:t>
            </w:r>
            <w:r w:rsidRPr="00BB1E65">
              <w:t xml:space="preserve">:  For </w:t>
            </w:r>
            <w:r w:rsidR="00CC09F6" w:rsidRPr="00BB1E65">
              <w:t>more information on</w:t>
            </w:r>
          </w:p>
          <w:p w14:paraId="796A86B5" w14:textId="7C2665E1" w:rsidR="00CC09F6" w:rsidRPr="00BB1E65" w:rsidRDefault="00CC09F6" w:rsidP="00661A60">
            <w:pPr>
              <w:pStyle w:val="ListParagraph"/>
              <w:numPr>
                <w:ilvl w:val="0"/>
                <w:numId w:val="72"/>
              </w:numPr>
              <w:ind w:left="158" w:hanging="187"/>
            </w:pPr>
            <w:r w:rsidRPr="00BB1E65">
              <w:t>ERB</w:t>
            </w:r>
            <w:r w:rsidR="00D14DAD" w:rsidRPr="00BB1E65">
              <w:t xml:space="preserve"> fields, see the </w:t>
            </w:r>
            <w:hyperlink r:id="rId55" w:history="1">
              <w:r w:rsidR="00D14DAD" w:rsidRPr="00BB1E65">
                <w:rPr>
                  <w:rStyle w:val="Hyperlink"/>
                  <w:i/>
                </w:rPr>
                <w:t>ERB User Guide</w:t>
              </w:r>
            </w:hyperlink>
          </w:p>
          <w:p w14:paraId="3F87B6F7" w14:textId="17DBB95F" w:rsidR="002F5420" w:rsidRPr="00BB1E65" w:rsidRDefault="008E745F" w:rsidP="00661A60">
            <w:pPr>
              <w:pStyle w:val="ListParagraph"/>
              <w:numPr>
                <w:ilvl w:val="0"/>
                <w:numId w:val="72"/>
              </w:numPr>
              <w:ind w:left="158" w:hanging="187"/>
            </w:pPr>
            <w:r w:rsidRPr="00BB1E65">
              <w:t>requirement to</w:t>
            </w:r>
            <w:r w:rsidR="007D0EFC" w:rsidRPr="00BB1E65">
              <w:t xml:space="preserve"> </w:t>
            </w:r>
            <w:r w:rsidR="00CC09F6" w:rsidRPr="00BB1E65">
              <w:t xml:space="preserve">identify </w:t>
            </w:r>
            <w:r w:rsidR="00CB2872" w:rsidRPr="00BB1E65">
              <w:t xml:space="preserve">relevant </w:t>
            </w:r>
            <w:r w:rsidR="00CC09F6" w:rsidRPr="00BB1E65">
              <w:t>evidence for an examiner’s review, see M21-1, Part III, Subpart iv, 3.A.</w:t>
            </w:r>
            <w:r w:rsidR="00042F57" w:rsidRPr="00BB1E65">
              <w:t>15</w:t>
            </w:r>
            <w:r w:rsidR="00CC09F6" w:rsidRPr="00BB1E65">
              <w:t>.d</w:t>
            </w:r>
            <w:r w:rsidR="002F5420" w:rsidRPr="00BB1E65">
              <w:t xml:space="preserve">, </w:t>
            </w:r>
            <w:r w:rsidR="00CC7813" w:rsidRPr="00BB1E65">
              <w:t>and</w:t>
            </w:r>
          </w:p>
          <w:p w14:paraId="0DDFCE0D" w14:textId="6F437A9E" w:rsidR="00D14DAD" w:rsidRPr="00BB1E65" w:rsidRDefault="002F5420" w:rsidP="00661A60">
            <w:pPr>
              <w:pStyle w:val="ListParagraph"/>
              <w:numPr>
                <w:ilvl w:val="0"/>
                <w:numId w:val="72"/>
              </w:numPr>
              <w:ind w:left="158" w:hanging="187"/>
            </w:pPr>
            <w:r w:rsidRPr="00BB1E65">
              <w:t>annotating or bookmarking evidence in the</w:t>
            </w:r>
            <w:r w:rsidR="00CC7813" w:rsidRPr="00BB1E65">
              <w:t xml:space="preserve"> electronic claims folder</w:t>
            </w:r>
            <w:r w:rsidRPr="00BB1E65">
              <w:t xml:space="preserve"> </w:t>
            </w:r>
            <w:r w:rsidR="00CC7813" w:rsidRPr="00BB1E65">
              <w:t>(</w:t>
            </w:r>
            <w:r w:rsidRPr="00BB1E65">
              <w:t>eFolder</w:t>
            </w:r>
            <w:r w:rsidR="00CC7813" w:rsidRPr="00BB1E65">
              <w:t>)</w:t>
            </w:r>
            <w:r w:rsidRPr="00BB1E65">
              <w:t>, see M21-1, Part III, Subpart iv, 3.A.15.e and f</w:t>
            </w:r>
            <w:r w:rsidR="00D14DAD" w:rsidRPr="00BB1E65">
              <w:t>.</w:t>
            </w:r>
          </w:p>
        </w:tc>
      </w:tr>
    </w:tbl>
    <w:p w14:paraId="71297C0C" w14:textId="5482F50D" w:rsidR="00121758" w:rsidRPr="00BB1E65" w:rsidRDefault="00121758" w:rsidP="00121758">
      <w:pPr>
        <w:pStyle w:val="BlockLine"/>
      </w:pPr>
      <w:r w:rsidRPr="00BB1E65">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BB1E65" w14:paraId="0002E1D4" w14:textId="77777777" w:rsidTr="00FB1164">
        <w:tc>
          <w:tcPr>
            <w:tcW w:w="1728" w:type="dxa"/>
            <w:tcBorders>
              <w:top w:val="nil"/>
              <w:left w:val="nil"/>
              <w:bottom w:val="nil"/>
              <w:right w:val="nil"/>
            </w:tcBorders>
          </w:tcPr>
          <w:p w14:paraId="5F88BDA9" w14:textId="636320B7" w:rsidR="00121758" w:rsidRPr="00BB1E65" w:rsidRDefault="00A46CEF" w:rsidP="00FB1164">
            <w:pPr>
              <w:pStyle w:val="Heading5"/>
            </w:pPr>
            <w:r w:rsidRPr="00BB1E65">
              <w:lastRenderedPageBreak/>
              <w:t>e</w:t>
            </w:r>
            <w:r w:rsidR="00121758" w:rsidRPr="00BB1E65">
              <w:t xml:space="preserve">. </w:t>
            </w:r>
            <w:r w:rsidR="00AE782F" w:rsidRPr="00BB1E65">
              <w:t xml:space="preserve"> </w:t>
            </w:r>
            <w:r w:rsidR="00121758" w:rsidRPr="00BB1E65">
              <w:t>Maintaining Objectivity in Medical Opinion Requests</w:t>
            </w:r>
          </w:p>
        </w:tc>
        <w:tc>
          <w:tcPr>
            <w:tcW w:w="7740" w:type="dxa"/>
            <w:tcBorders>
              <w:top w:val="nil"/>
              <w:left w:val="nil"/>
              <w:bottom w:val="nil"/>
              <w:right w:val="nil"/>
            </w:tcBorders>
          </w:tcPr>
          <w:p w14:paraId="1BE0EC6A" w14:textId="68CA04E0" w:rsidR="00121758" w:rsidRPr="00BB1E65" w:rsidRDefault="009C3B09" w:rsidP="00FB1164">
            <w:pPr>
              <w:pStyle w:val="BlockText"/>
            </w:pPr>
            <w:r w:rsidRPr="00BB1E65">
              <w:t xml:space="preserve">When requesting medical opinions, RO employees should </w:t>
            </w:r>
            <w:r w:rsidR="00161C63" w:rsidRPr="00BB1E65">
              <w:t>i</w:t>
            </w:r>
            <w:r w:rsidRPr="00BB1E65">
              <w:t>dentify all relevant evidence for the examiner’s review, both favorable and unfavorable. However, m</w:t>
            </w:r>
            <w:r w:rsidR="00121758" w:rsidRPr="00BB1E65">
              <w:t xml:space="preserve">aintain objectivity when preparing medical opinion requests. </w:t>
            </w:r>
          </w:p>
          <w:p w14:paraId="002E897E" w14:textId="77777777" w:rsidR="00567178" w:rsidRPr="00BB1E65" w:rsidRDefault="00567178" w:rsidP="00FB1164">
            <w:pPr>
              <w:pStyle w:val="BlockText"/>
            </w:pPr>
          </w:p>
          <w:p w14:paraId="1EDA6731" w14:textId="5FE3AEB6" w:rsidR="00121758" w:rsidRPr="00BB1E65" w:rsidRDefault="00121758" w:rsidP="00FB1164">
            <w:pPr>
              <w:pStyle w:val="BulletText1"/>
            </w:pPr>
            <w:r w:rsidRPr="00BB1E65">
              <w:t>Use a neutral and unbiased tone</w:t>
            </w:r>
            <w:r w:rsidR="00DA1441" w:rsidRPr="00BB1E65">
              <w:t>.</w:t>
            </w:r>
          </w:p>
          <w:p w14:paraId="3BB57D9F" w14:textId="1FB4AB77" w:rsidR="00121758" w:rsidRPr="00BB1E65" w:rsidRDefault="00121758" w:rsidP="00FB1164">
            <w:pPr>
              <w:pStyle w:val="BulletText1"/>
            </w:pPr>
            <w:r w:rsidRPr="00BB1E65">
              <w:t>Do not slant the facts</w:t>
            </w:r>
            <w:r w:rsidR="00DA1441" w:rsidRPr="00BB1E65">
              <w:t>.</w:t>
            </w:r>
          </w:p>
          <w:p w14:paraId="3CA106CB" w14:textId="21C8D912" w:rsidR="00121758" w:rsidRPr="00BB1E65" w:rsidRDefault="00121758" w:rsidP="00FB1164">
            <w:pPr>
              <w:pStyle w:val="BulletText1"/>
            </w:pPr>
            <w:r w:rsidRPr="00BB1E65">
              <w:t xml:space="preserve">Do </w:t>
            </w:r>
            <w:r w:rsidRPr="00BB1E65">
              <w:rPr>
                <w:i/>
                <w:iCs/>
              </w:rPr>
              <w:t>not</w:t>
            </w:r>
            <w:r w:rsidRPr="00BB1E65">
              <w:t xml:space="preserve"> communicate that VA prefers one answer or outcome over another.</w:t>
            </w:r>
          </w:p>
          <w:p w14:paraId="088E5EE9" w14:textId="77777777" w:rsidR="00121758" w:rsidRPr="00BB1E65" w:rsidRDefault="00121758" w:rsidP="00FB1164">
            <w:pPr>
              <w:pStyle w:val="BlockText"/>
            </w:pPr>
          </w:p>
          <w:p w14:paraId="58DBB6DB" w14:textId="79BBA1DB" w:rsidR="00121758" w:rsidRPr="00BB1E65" w:rsidRDefault="00121758" w:rsidP="00BC194D">
            <w:pPr>
              <w:pStyle w:val="BlockText"/>
            </w:pPr>
            <w:r w:rsidRPr="00BB1E65">
              <w:rPr>
                <w:b/>
                <w:bCs/>
                <w:i/>
                <w:iCs/>
              </w:rPr>
              <w:t>Reference</w:t>
            </w:r>
            <w:r w:rsidRPr="00BB1E65">
              <w:t xml:space="preserve">:  For more information on </w:t>
            </w:r>
            <w:r w:rsidR="009C3B09" w:rsidRPr="00BB1E65">
              <w:t>requesting a medical opinion</w:t>
            </w:r>
            <w:r w:rsidRPr="00BB1E65">
              <w:t xml:space="preserve"> in an impartial manner, see </w:t>
            </w:r>
            <w:hyperlink r:id="rId56" w:anchor="bmd" w:history="1">
              <w:r w:rsidRPr="00BB1E65">
                <w:rPr>
                  <w:rStyle w:val="Hyperlink"/>
                  <w:i/>
                  <w:iCs/>
                </w:rPr>
                <w:t>Douglas v. Shinseki</w:t>
              </w:r>
            </w:hyperlink>
            <w:r w:rsidRPr="00BB1E65">
              <w:rPr>
                <w:i/>
                <w:iCs/>
              </w:rPr>
              <w:t>,</w:t>
            </w:r>
            <w:r w:rsidRPr="00BB1E65">
              <w:t xml:space="preserve"> 23 </w:t>
            </w:r>
            <w:proofErr w:type="spellStart"/>
            <w:r w:rsidRPr="00BB1E65">
              <w:t>Vet.App</w:t>
            </w:r>
            <w:proofErr w:type="spellEnd"/>
            <w:r w:rsidRPr="00BB1E65">
              <w:t xml:space="preserve">. 19, 24, 25-26 (2009).  </w:t>
            </w:r>
          </w:p>
        </w:tc>
      </w:tr>
    </w:tbl>
    <w:p w14:paraId="099E3592" w14:textId="77777777" w:rsidR="00121758" w:rsidRPr="00BB1E65" w:rsidRDefault="00121758" w:rsidP="00121758">
      <w:pPr>
        <w:pStyle w:val="BlockLine"/>
      </w:pPr>
      <w:r w:rsidRPr="00BB1E65">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BB1E65" w14:paraId="56134580" w14:textId="77777777" w:rsidTr="00FB1164">
        <w:tc>
          <w:tcPr>
            <w:tcW w:w="1728" w:type="dxa"/>
            <w:tcBorders>
              <w:top w:val="nil"/>
              <w:left w:val="nil"/>
              <w:bottom w:val="nil"/>
              <w:right w:val="nil"/>
            </w:tcBorders>
          </w:tcPr>
          <w:p w14:paraId="1579D452" w14:textId="6CEAF6F3" w:rsidR="00121758" w:rsidRPr="00BB1E65" w:rsidRDefault="00A46CEF" w:rsidP="00FB1164">
            <w:pPr>
              <w:pStyle w:val="TableHeaderText"/>
              <w:jc w:val="left"/>
              <w:rPr>
                <w:sz w:val="22"/>
              </w:rPr>
            </w:pPr>
            <w:r w:rsidRPr="00BB1E65">
              <w:rPr>
                <w:sz w:val="22"/>
              </w:rPr>
              <w:t>f</w:t>
            </w:r>
            <w:r w:rsidR="00121758" w:rsidRPr="00BB1E65">
              <w:rPr>
                <w:sz w:val="22"/>
              </w:rPr>
              <w:t xml:space="preserve">. </w:t>
            </w:r>
            <w:r w:rsidR="00AE782F" w:rsidRPr="00BB1E65">
              <w:rPr>
                <w:sz w:val="22"/>
              </w:rPr>
              <w:t xml:space="preserve"> </w:t>
            </w:r>
            <w:r w:rsidR="00121758" w:rsidRPr="00BB1E65">
              <w:rPr>
                <w:sz w:val="22"/>
              </w:rPr>
              <w:t>Medical Opinions Required For Remands</w:t>
            </w:r>
          </w:p>
          <w:p w14:paraId="7DD30A86" w14:textId="77777777" w:rsidR="00121758" w:rsidRPr="00BB1E65" w:rsidRDefault="00121758" w:rsidP="00FB1164">
            <w:pPr>
              <w:pStyle w:val="TableHeaderText"/>
            </w:pPr>
          </w:p>
        </w:tc>
        <w:tc>
          <w:tcPr>
            <w:tcW w:w="7740" w:type="dxa"/>
            <w:tcBorders>
              <w:top w:val="nil"/>
              <w:left w:val="nil"/>
              <w:bottom w:val="nil"/>
              <w:right w:val="nil"/>
            </w:tcBorders>
          </w:tcPr>
          <w:p w14:paraId="2447BB66" w14:textId="77777777" w:rsidR="00121758" w:rsidRPr="00BB1E65" w:rsidRDefault="00121758" w:rsidP="00FB1164">
            <w:pPr>
              <w:pStyle w:val="TableHeaderText"/>
              <w:jc w:val="left"/>
              <w:rPr>
                <w:b w:val="0"/>
              </w:rPr>
            </w:pPr>
            <w:r w:rsidRPr="00BB1E65">
              <w:rPr>
                <w:b w:val="0"/>
              </w:rPr>
              <w:t xml:space="preserve">When requesting an opinion in compliance with BVA remand instructions explain specifically what is needed.  </w:t>
            </w:r>
          </w:p>
          <w:p w14:paraId="6EECFDF6" w14:textId="77777777" w:rsidR="00121758" w:rsidRPr="00BB1E65" w:rsidRDefault="00121758" w:rsidP="00FB1164">
            <w:pPr>
              <w:pStyle w:val="TableText"/>
            </w:pPr>
          </w:p>
          <w:p w14:paraId="14D7B244" w14:textId="77777777" w:rsidR="00121758" w:rsidRPr="00BB1E65" w:rsidRDefault="00121758" w:rsidP="00FB1164">
            <w:pPr>
              <w:pStyle w:val="TableText"/>
            </w:pPr>
            <w:r w:rsidRPr="00BB1E65">
              <w:t xml:space="preserve">Quoting the instructions from BVA on the medical opinion request may be helpful, but try to avoid legal jargon. </w:t>
            </w:r>
          </w:p>
          <w:p w14:paraId="31DEA3C2" w14:textId="77777777" w:rsidR="00121758" w:rsidRPr="00BB1E65" w:rsidRDefault="00121758" w:rsidP="00FB1164">
            <w:pPr>
              <w:pStyle w:val="TableText"/>
            </w:pPr>
          </w:p>
          <w:p w14:paraId="453D2723" w14:textId="145D4A98" w:rsidR="00121758" w:rsidRPr="00BB1E65" w:rsidRDefault="00121758" w:rsidP="00FB1164">
            <w:pPr>
              <w:pStyle w:val="TableText"/>
            </w:pPr>
            <w:r w:rsidRPr="00BB1E65">
              <w:rPr>
                <w:b/>
                <w:i/>
              </w:rPr>
              <w:t>Important</w:t>
            </w:r>
            <w:r w:rsidRPr="00BB1E65">
              <w:t xml:space="preserve">: </w:t>
            </w:r>
            <w:r w:rsidR="00567178" w:rsidRPr="00BB1E65">
              <w:t xml:space="preserve"> </w:t>
            </w:r>
            <w:r w:rsidRPr="00BB1E65">
              <w:t>Do not simply refer the examiner to the claims folder containing the remand instructions.</w:t>
            </w:r>
          </w:p>
        </w:tc>
      </w:tr>
    </w:tbl>
    <w:p w14:paraId="13944CF6" w14:textId="1287E297" w:rsidR="00121758" w:rsidRPr="00BB1E65" w:rsidRDefault="00121758" w:rsidP="00121758">
      <w:pPr>
        <w:pStyle w:val="BlockLine"/>
      </w:pPr>
      <w:r w:rsidRPr="00BB1E65">
        <w:fldChar w:fldCharType="begin"/>
      </w:r>
      <w:r w:rsidRPr="00BB1E65">
        <w:instrText xml:space="preserve"> PRIVATE INFOTYPE="PROCEDURE" </w:instrText>
      </w:r>
      <w:r w:rsidRPr="00BB1E65">
        <w:fldChar w:fldCharType="end"/>
      </w:r>
      <w:r w:rsidRPr="00BB1E65">
        <w:t xml:space="preserve"> </w:t>
      </w:r>
    </w:p>
    <w:tbl>
      <w:tblPr>
        <w:tblW w:w="0" w:type="auto"/>
        <w:tblInd w:w="-106" w:type="dxa"/>
        <w:tblLayout w:type="fixed"/>
        <w:tblLook w:val="0000" w:firstRow="0" w:lastRow="0" w:firstColumn="0" w:lastColumn="0" w:noHBand="0" w:noVBand="0"/>
      </w:tblPr>
      <w:tblGrid>
        <w:gridCol w:w="1728"/>
        <w:gridCol w:w="7740"/>
      </w:tblGrid>
      <w:tr w:rsidR="00121758" w:rsidRPr="00BB1E65" w14:paraId="3CFD8FB1" w14:textId="77777777" w:rsidTr="002E6736">
        <w:tc>
          <w:tcPr>
            <w:tcW w:w="1728" w:type="dxa"/>
            <w:tcBorders>
              <w:top w:val="nil"/>
              <w:left w:val="nil"/>
              <w:bottom w:val="nil"/>
              <w:right w:val="nil"/>
            </w:tcBorders>
          </w:tcPr>
          <w:p w14:paraId="3B5943B2" w14:textId="0D10CCC1" w:rsidR="00121758" w:rsidRPr="00BB1E65" w:rsidRDefault="00A46CEF" w:rsidP="00FB1164">
            <w:pPr>
              <w:pStyle w:val="Heading5"/>
            </w:pPr>
            <w:r w:rsidRPr="00BB1E65">
              <w:t>g</w:t>
            </w:r>
            <w:r w:rsidR="00121758" w:rsidRPr="00BB1E65">
              <w:t xml:space="preserve">.  Instructions for Providing Medical Opinions – Claims Under 38 U.S.C. 1151  </w:t>
            </w:r>
          </w:p>
        </w:tc>
        <w:tc>
          <w:tcPr>
            <w:tcW w:w="7740" w:type="dxa"/>
            <w:tcBorders>
              <w:top w:val="nil"/>
              <w:left w:val="nil"/>
              <w:bottom w:val="nil"/>
              <w:right w:val="nil"/>
            </w:tcBorders>
          </w:tcPr>
          <w:p w14:paraId="6924F178" w14:textId="1FD1C7FB" w:rsidR="00431B5B" w:rsidRPr="00BB1E65" w:rsidRDefault="00121758" w:rsidP="00431B5B">
            <w:pPr>
              <w:pStyle w:val="BlockText"/>
            </w:pPr>
            <w:r w:rsidRPr="00BB1E65">
              <w:t xml:space="preserve">When requesting a medical opinion for a claim involving benefits under </w:t>
            </w:r>
            <w:hyperlink r:id="rId57" w:history="1">
              <w:r w:rsidRPr="00BB1E65">
                <w:rPr>
                  <w:rStyle w:val="Hyperlink"/>
                </w:rPr>
                <w:t>38 U.S.C. 1151</w:t>
              </w:r>
            </w:hyperlink>
            <w:r w:rsidRPr="00BB1E65">
              <w:t xml:space="preserve">, </w:t>
            </w:r>
            <w:r w:rsidR="00CD3A4C" w:rsidRPr="00BB1E65">
              <w:t xml:space="preserve">use the </w:t>
            </w:r>
            <w:hyperlink r:id="rId58" w:history="1">
              <w:r w:rsidR="00CD3A4C" w:rsidRPr="00BB1E65">
                <w:rPr>
                  <w:rStyle w:val="Hyperlink"/>
                </w:rPr>
                <w:t>ERB tool</w:t>
              </w:r>
            </w:hyperlink>
            <w:r w:rsidR="00CD3A4C" w:rsidRPr="00BB1E65">
              <w:t xml:space="preserve"> to generate the appropriate language.</w:t>
            </w:r>
            <w:r w:rsidR="00B940B9" w:rsidRPr="00BB1E65">
              <w:t xml:space="preserve"> </w:t>
            </w:r>
            <w:r w:rsidR="001D71BA" w:rsidRPr="00BB1E65">
              <w:t xml:space="preserve"> </w:t>
            </w:r>
            <w:r w:rsidR="00B940B9" w:rsidRPr="00BB1E65">
              <w:t>Ensure t</w:t>
            </w:r>
            <w:r w:rsidR="00CD3A4C" w:rsidRPr="00BB1E65">
              <w:t>he</w:t>
            </w:r>
            <w:r w:rsidR="00B940B9" w:rsidRPr="00BB1E65">
              <w:t xml:space="preserve"> generated</w:t>
            </w:r>
            <w:r w:rsidR="00CD3A4C" w:rsidRPr="00BB1E65">
              <w:t xml:space="preserve"> request </w:t>
            </w:r>
            <w:r w:rsidRPr="00BB1E65">
              <w:t>ask</w:t>
            </w:r>
            <w:r w:rsidR="00B940B9" w:rsidRPr="00BB1E65">
              <w:t>s</w:t>
            </w:r>
            <w:r w:rsidRPr="00BB1E65">
              <w:t xml:space="preserve"> the provider </w:t>
            </w:r>
            <w:r w:rsidR="00B940B9" w:rsidRPr="00BB1E65">
              <w:t xml:space="preserve">only the </w:t>
            </w:r>
            <w:r w:rsidR="003D560A" w:rsidRPr="00BB1E65">
              <w:t xml:space="preserve">specific </w:t>
            </w:r>
            <w:r w:rsidR="00B940B9" w:rsidRPr="00BB1E65">
              <w:t>opinion</w:t>
            </w:r>
            <w:r w:rsidR="003D560A" w:rsidRPr="00BB1E65">
              <w:t>(s)</w:t>
            </w:r>
            <w:r w:rsidR="00B940B9" w:rsidRPr="00BB1E65">
              <w:t xml:space="preserve"> required by the facts of the case.</w:t>
            </w:r>
          </w:p>
          <w:p w14:paraId="2DF695D0" w14:textId="77777777" w:rsidR="00431B5B" w:rsidRPr="00BB1E65" w:rsidRDefault="00431B5B" w:rsidP="00431B5B">
            <w:pPr>
              <w:pStyle w:val="BlockText"/>
            </w:pPr>
          </w:p>
          <w:p w14:paraId="524F5B0C" w14:textId="7F50620C" w:rsidR="00BB46DD" w:rsidRPr="00BB1E65" w:rsidRDefault="00E14C93" w:rsidP="00CA1389">
            <w:pPr>
              <w:pStyle w:val="ListParagraph"/>
              <w:ind w:left="0"/>
            </w:pPr>
            <w:r w:rsidRPr="00BB1E65">
              <w:t xml:space="preserve">Medical opinions for conditions claimed under </w:t>
            </w:r>
            <w:hyperlink r:id="rId59" w:history="1">
              <w:r w:rsidRPr="00BB1E65">
                <w:rPr>
                  <w:rStyle w:val="Hyperlink"/>
                </w:rPr>
                <w:t>38 U.S.C. 1151</w:t>
              </w:r>
            </w:hyperlink>
            <w:r w:rsidRPr="00BB1E65">
              <w:t xml:space="preserve"> </w:t>
            </w:r>
            <w:r w:rsidR="00467325" w:rsidRPr="00BB1E65">
              <w:t xml:space="preserve">may </w:t>
            </w:r>
            <w:r w:rsidRPr="00BB1E65">
              <w:t>be completed at the same facility where the alleged incident happened, as long as there is no conflict of interest</w:t>
            </w:r>
            <w:r w:rsidR="00CA1389" w:rsidRPr="00BB1E65">
              <w:t>.</w:t>
            </w:r>
            <w:r w:rsidR="00BB46DD" w:rsidRPr="00BB1E65">
              <w:t xml:space="preserve">  </w:t>
            </w:r>
          </w:p>
          <w:p w14:paraId="399EDF25" w14:textId="77777777" w:rsidR="00BB46DD" w:rsidRPr="00BB1E65" w:rsidRDefault="00BB46DD" w:rsidP="00CA1389">
            <w:pPr>
              <w:pStyle w:val="ListParagraph"/>
              <w:ind w:left="0"/>
            </w:pPr>
          </w:p>
          <w:p w14:paraId="79379685" w14:textId="2E3D3835" w:rsidR="007B0EC8" w:rsidRPr="00BB1E65" w:rsidRDefault="00BB46DD" w:rsidP="00CA1389">
            <w:pPr>
              <w:pStyle w:val="ListParagraph"/>
              <w:ind w:left="0"/>
            </w:pPr>
            <w:r w:rsidRPr="00BB1E65">
              <w:t>In general, the VHA facility will determine whether a conflict of interest exists once the request is received from the RO.  If applicable, the VHA facility will work with the RO to transfer the medical opinion request to another facility</w:t>
            </w:r>
            <w:r w:rsidR="001B4F56" w:rsidRPr="00BB1E65">
              <w:t>.</w:t>
            </w:r>
            <w:r w:rsidRPr="00BB1E65">
              <w:t xml:space="preserve">   </w:t>
            </w:r>
          </w:p>
          <w:p w14:paraId="649673B6" w14:textId="77777777" w:rsidR="007B0EC8" w:rsidRPr="00BB1E65" w:rsidRDefault="007B0EC8" w:rsidP="00CA1389">
            <w:pPr>
              <w:pStyle w:val="ListParagraph"/>
              <w:ind w:left="0"/>
            </w:pPr>
          </w:p>
          <w:p w14:paraId="7122958D" w14:textId="77777777" w:rsidR="006C3FAA" w:rsidRPr="00BB1E65" w:rsidRDefault="00121758" w:rsidP="00FB1164">
            <w:pPr>
              <w:pStyle w:val="BlockText"/>
            </w:pPr>
            <w:r w:rsidRPr="00BB1E65">
              <w:rPr>
                <w:b/>
                <w:bCs/>
                <w:i/>
                <w:iCs/>
              </w:rPr>
              <w:t>Note</w:t>
            </w:r>
            <w:r w:rsidR="006C3FAA" w:rsidRPr="00BB1E65">
              <w:rPr>
                <w:b/>
                <w:bCs/>
                <w:i/>
                <w:iCs/>
              </w:rPr>
              <w:t>s</w:t>
            </w:r>
            <w:r w:rsidRPr="00BB1E65">
              <w:t xml:space="preserve">:  </w:t>
            </w:r>
          </w:p>
          <w:p w14:paraId="3A483B58" w14:textId="64396C2B" w:rsidR="00431B5B" w:rsidRPr="00BB1E65" w:rsidRDefault="00121758" w:rsidP="00CA1389">
            <w:pPr>
              <w:pStyle w:val="ListParagraph"/>
              <w:numPr>
                <w:ilvl w:val="0"/>
                <w:numId w:val="110"/>
              </w:numPr>
              <w:ind w:left="158" w:hanging="187"/>
            </w:pPr>
            <w:r w:rsidRPr="00BB1E65">
              <w:t xml:space="preserve">Do </w:t>
            </w:r>
            <w:r w:rsidRPr="00BB1E65">
              <w:rPr>
                <w:i/>
                <w:iCs/>
              </w:rPr>
              <w:t>not</w:t>
            </w:r>
            <w:r w:rsidRPr="00BB1E65">
              <w:t xml:space="preserve"> request an examiner under VA’s contract examination program to provide an examination or medical opinion on a claim involving benefits under </w:t>
            </w:r>
            <w:hyperlink r:id="rId60" w:history="1">
              <w:r w:rsidRPr="00BB1E65">
                <w:rPr>
                  <w:rStyle w:val="Hyperlink"/>
                </w:rPr>
                <w:t>38 U.S.C. 1151</w:t>
              </w:r>
            </w:hyperlink>
            <w:r w:rsidRPr="00BB1E65">
              <w:t>.</w:t>
            </w:r>
          </w:p>
          <w:p w14:paraId="402A3D74" w14:textId="0F56DEA6" w:rsidR="00431B5B" w:rsidRPr="00BB1E65" w:rsidRDefault="00431B5B" w:rsidP="00CA1389">
            <w:pPr>
              <w:pStyle w:val="ListParagraph"/>
              <w:numPr>
                <w:ilvl w:val="0"/>
                <w:numId w:val="110"/>
              </w:numPr>
              <w:ind w:left="158" w:hanging="187"/>
            </w:pPr>
            <w:r w:rsidRPr="00BB1E65">
              <w:t xml:space="preserve">The </w:t>
            </w:r>
            <w:r w:rsidR="00BB46DD" w:rsidRPr="00BB1E65">
              <w:t xml:space="preserve">medical opinion </w:t>
            </w:r>
            <w:r w:rsidR="001B4F56" w:rsidRPr="00BB1E65">
              <w:t xml:space="preserve">for a </w:t>
            </w:r>
            <w:hyperlink r:id="rId61" w:history="1">
              <w:r w:rsidR="001B4F56" w:rsidRPr="00BB1E65">
                <w:rPr>
                  <w:rStyle w:val="Hyperlink"/>
                </w:rPr>
                <w:t>38 U.S.C. 1151</w:t>
              </w:r>
            </w:hyperlink>
            <w:r w:rsidR="001B4F56" w:rsidRPr="00BB1E65">
              <w:rPr>
                <w:rStyle w:val="Hyperlink"/>
                <w:u w:val="none"/>
              </w:rPr>
              <w:t xml:space="preserve"> </w:t>
            </w:r>
            <w:r w:rsidR="001B4F56" w:rsidRPr="00BB1E65">
              <w:rPr>
                <w:rStyle w:val="Hyperlink"/>
                <w:color w:val="auto"/>
                <w:u w:val="none"/>
              </w:rPr>
              <w:t xml:space="preserve">claim </w:t>
            </w:r>
            <w:r w:rsidR="001B4F56" w:rsidRPr="00BB1E65">
              <w:t>does</w:t>
            </w:r>
            <w:r w:rsidR="00BB46DD" w:rsidRPr="00BB1E65">
              <w:t xml:space="preserve"> not have to be provided by a </w:t>
            </w:r>
            <w:r w:rsidRPr="00BB1E65">
              <w:t xml:space="preserve">C&amp;P </w:t>
            </w:r>
            <w:r w:rsidR="006D16C7" w:rsidRPr="00BB1E65">
              <w:t xml:space="preserve">certified </w:t>
            </w:r>
            <w:r w:rsidRPr="00BB1E65">
              <w:t>clinician.</w:t>
            </w:r>
            <w:r w:rsidR="001B4F56" w:rsidRPr="00BB1E65">
              <w:t xml:space="preserve">  Any qualified clinician may be designated by the chief of staff of the medical facility to render the opinion.  </w:t>
            </w:r>
          </w:p>
          <w:p w14:paraId="70A36FE5" w14:textId="77777777" w:rsidR="00311B2F" w:rsidRPr="00BB1E65" w:rsidRDefault="00311B2F" w:rsidP="00311B2F"/>
          <w:p w14:paraId="045B489E" w14:textId="379F29F8" w:rsidR="0029246F" w:rsidRPr="00BB1E65" w:rsidRDefault="00311B2F" w:rsidP="0029246F">
            <w:r w:rsidRPr="00BB1E65">
              <w:rPr>
                <w:b/>
                <w:i/>
              </w:rPr>
              <w:t>Reference</w:t>
            </w:r>
            <w:r w:rsidRPr="00BB1E65">
              <w:t>:  For more information on</w:t>
            </w:r>
            <w:r w:rsidR="0029246F" w:rsidRPr="00BB1E65">
              <w:t xml:space="preserve"> </w:t>
            </w:r>
            <w:r w:rsidRPr="00BB1E65">
              <w:t>disability examinations</w:t>
            </w:r>
            <w:r w:rsidR="00CA1389" w:rsidRPr="00BB1E65">
              <w:t xml:space="preserve"> involving claims under </w:t>
            </w:r>
            <w:hyperlink r:id="rId62" w:history="1">
              <w:r w:rsidR="00CA1389" w:rsidRPr="00BB1E65">
                <w:rPr>
                  <w:rStyle w:val="Hyperlink"/>
                </w:rPr>
                <w:t>38 U.S.C. 1151</w:t>
              </w:r>
            </w:hyperlink>
            <w:r w:rsidRPr="00BB1E65">
              <w:t xml:space="preserve">, see </w:t>
            </w:r>
            <w:r w:rsidR="00CA1389" w:rsidRPr="00BB1E65">
              <w:t xml:space="preserve">the </w:t>
            </w:r>
            <w:hyperlink r:id="rId63" w:history="1">
              <w:r w:rsidRPr="00BB1E65">
                <w:rPr>
                  <w:rStyle w:val="Hyperlink"/>
                </w:rPr>
                <w:t>C&amp;P Examinations Procedure Guide</w:t>
              </w:r>
            </w:hyperlink>
            <w:r w:rsidRPr="00BB1E65">
              <w:t>.</w:t>
            </w:r>
          </w:p>
        </w:tc>
      </w:tr>
    </w:tbl>
    <w:p w14:paraId="667E5F47" w14:textId="4530EF5E" w:rsidR="00121758" w:rsidRPr="00BB1E65" w:rsidRDefault="00121758" w:rsidP="00121758">
      <w:pPr>
        <w:pStyle w:val="BlockLine"/>
      </w:pPr>
      <w:r w:rsidRPr="00BB1E65">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BB1E65" w14:paraId="1207A1D5" w14:textId="77777777" w:rsidTr="00FB1164">
        <w:tc>
          <w:tcPr>
            <w:tcW w:w="1728" w:type="dxa"/>
            <w:tcBorders>
              <w:top w:val="nil"/>
              <w:left w:val="nil"/>
              <w:bottom w:val="nil"/>
              <w:right w:val="nil"/>
            </w:tcBorders>
          </w:tcPr>
          <w:p w14:paraId="191A08CD" w14:textId="588BC0FC" w:rsidR="00121758" w:rsidRPr="00BB1E65" w:rsidRDefault="00A46CEF" w:rsidP="00FB1164">
            <w:pPr>
              <w:pStyle w:val="Heading5"/>
            </w:pPr>
            <w:r w:rsidRPr="00BB1E65">
              <w:t>h</w:t>
            </w:r>
            <w:r w:rsidR="00121758" w:rsidRPr="00BB1E65">
              <w:t>.  Medical Opinions in the</w:t>
            </w:r>
          </w:p>
          <w:p w14:paraId="16D06A6E" w14:textId="77777777" w:rsidR="00121758" w:rsidRPr="00BB1E65" w:rsidRDefault="00121758" w:rsidP="00FB1164">
            <w:pPr>
              <w:pStyle w:val="Heading5"/>
            </w:pPr>
            <w:r w:rsidRPr="00BB1E65">
              <w:lastRenderedPageBreak/>
              <w:t>Hearing Loss and Tinnitus DBQ</w:t>
            </w:r>
          </w:p>
        </w:tc>
        <w:tc>
          <w:tcPr>
            <w:tcW w:w="7740" w:type="dxa"/>
            <w:tcBorders>
              <w:top w:val="nil"/>
              <w:left w:val="nil"/>
              <w:bottom w:val="nil"/>
              <w:right w:val="nil"/>
            </w:tcBorders>
          </w:tcPr>
          <w:p w14:paraId="548FBC27" w14:textId="79E575E4" w:rsidR="00121758" w:rsidRPr="00BB1E65" w:rsidRDefault="00121758" w:rsidP="00FB1164">
            <w:pPr>
              <w:pStyle w:val="BlockText"/>
            </w:pPr>
            <w:r w:rsidRPr="00BB1E65">
              <w:lastRenderedPageBreak/>
              <w:t xml:space="preserve">The DBQ for hearing loss and tinnitus contains specific sections for etiology </w:t>
            </w:r>
            <w:r w:rsidRPr="00BB1E65">
              <w:lastRenderedPageBreak/>
              <w:t>opinions.</w:t>
            </w:r>
            <w:r w:rsidR="005E1CFF" w:rsidRPr="00BB1E65">
              <w:t xml:space="preserve"> </w:t>
            </w:r>
            <w:r w:rsidRPr="00BB1E65">
              <w:t xml:space="preserve"> However, examiners generally are not expected to provide unsolicited medical opinions and in some types of hearing loss and tinnitus claims (such as claims for an increased evaluation) an opinion may not be routinely required. </w:t>
            </w:r>
          </w:p>
          <w:p w14:paraId="2931F4DE" w14:textId="77777777" w:rsidR="00121758" w:rsidRPr="00BB1E65" w:rsidRDefault="00121758" w:rsidP="00FB1164">
            <w:pPr>
              <w:pStyle w:val="BlockText"/>
            </w:pPr>
          </w:p>
          <w:p w14:paraId="7C8BB42C" w14:textId="7180198F" w:rsidR="00121758" w:rsidRPr="00BB1E65" w:rsidRDefault="00121758" w:rsidP="00FB1164">
            <w:pPr>
              <w:pStyle w:val="BlockText"/>
            </w:pPr>
            <w:r w:rsidRPr="00BB1E65">
              <w:t xml:space="preserve">In any case involving </w:t>
            </w:r>
            <w:r w:rsidR="00E917FB" w:rsidRPr="00BB1E65">
              <w:t>SC</w:t>
            </w:r>
            <w:r w:rsidRPr="00BB1E65">
              <w:t xml:space="preserve"> for hearing loss or tinnitus where an etiology opinion is required,</w:t>
            </w:r>
            <w:r w:rsidR="00B940B9" w:rsidRPr="00BB1E65">
              <w:t xml:space="preserve"> follow the medical opinion procedures outlined in M21-1, Part III, Subpart iv, 3.A.7.b</w:t>
            </w:r>
            <w:r w:rsidR="00876DD2" w:rsidRPr="00BB1E65">
              <w:t xml:space="preserve"> and c.  </w:t>
            </w:r>
          </w:p>
          <w:p w14:paraId="168BFFC9" w14:textId="77777777" w:rsidR="00121758" w:rsidRPr="00BB1E65" w:rsidRDefault="00121758" w:rsidP="00FB1164">
            <w:pPr>
              <w:pStyle w:val="BlockText"/>
            </w:pPr>
          </w:p>
          <w:p w14:paraId="13E088FB" w14:textId="77777777" w:rsidR="00121758" w:rsidRPr="00BB1E65" w:rsidRDefault="00121758" w:rsidP="00FB1164">
            <w:pPr>
              <w:pStyle w:val="BlockText"/>
            </w:pPr>
            <w:r w:rsidRPr="00BB1E65">
              <w:rPr>
                <w:b/>
                <w:bCs/>
                <w:i/>
                <w:iCs/>
              </w:rPr>
              <w:t>Exception</w:t>
            </w:r>
            <w:r w:rsidRPr="00BB1E65">
              <w:t xml:space="preserve">:  If tinnitus is not claimed, but reported during the conduct of the exam, examiners will provide this etiology opinion even when not solicited.  </w:t>
            </w:r>
          </w:p>
          <w:p w14:paraId="27F3B930" w14:textId="77777777" w:rsidR="00121758" w:rsidRPr="00BB1E65" w:rsidRDefault="00121758" w:rsidP="00FB1164">
            <w:pPr>
              <w:pStyle w:val="BlockText"/>
            </w:pPr>
          </w:p>
          <w:p w14:paraId="4C141C29" w14:textId="77777777" w:rsidR="00121758" w:rsidRPr="00BB1E65" w:rsidRDefault="00121758" w:rsidP="00FB1164">
            <w:pPr>
              <w:pStyle w:val="BlockText"/>
            </w:pPr>
            <w:r w:rsidRPr="00BB1E65">
              <w:rPr>
                <w:b/>
                <w:bCs/>
                <w:i/>
                <w:iCs/>
              </w:rPr>
              <w:t>Important</w:t>
            </w:r>
            <w:r w:rsidRPr="00BB1E65">
              <w:t xml:space="preserve">: </w:t>
            </w:r>
          </w:p>
          <w:p w14:paraId="3A8933CD" w14:textId="77777777" w:rsidR="00121758" w:rsidRPr="00BB1E65" w:rsidRDefault="00121758" w:rsidP="00FB1164">
            <w:pPr>
              <w:pStyle w:val="BulletText1"/>
            </w:pPr>
            <w:r w:rsidRPr="00BB1E65">
              <w:t>Do not submit a separate medical opinion DBQ unless a medical opinion is needed that is not included on the DBQ.</w:t>
            </w:r>
          </w:p>
          <w:p w14:paraId="3C951052" w14:textId="77777777" w:rsidR="00121758" w:rsidRPr="00BB1E65" w:rsidRDefault="00121758" w:rsidP="00FB1164">
            <w:pPr>
              <w:pStyle w:val="BulletText1"/>
            </w:pPr>
            <w:r w:rsidRPr="00BB1E65">
              <w:t>The claims folder should be sent when an etiology opinion or other opinion is required.</w:t>
            </w:r>
          </w:p>
          <w:p w14:paraId="3D9FF341" w14:textId="77777777" w:rsidR="00121758" w:rsidRPr="00BB1E65" w:rsidRDefault="00121758" w:rsidP="00FB1164">
            <w:pPr>
              <w:pStyle w:val="BulletText1"/>
              <w:numPr>
                <w:ilvl w:val="0"/>
                <w:numId w:val="0"/>
              </w:numPr>
              <w:ind w:left="173" w:hanging="173"/>
            </w:pPr>
          </w:p>
          <w:p w14:paraId="3C43D9CF" w14:textId="5392CA08" w:rsidR="00121758" w:rsidRPr="00BB1E65" w:rsidRDefault="00121758" w:rsidP="00FB1164">
            <w:pPr>
              <w:pStyle w:val="BulletText1"/>
              <w:numPr>
                <w:ilvl w:val="0"/>
                <w:numId w:val="0"/>
              </w:numPr>
              <w:ind w:left="173" w:hanging="173"/>
            </w:pPr>
            <w:r w:rsidRPr="00BB1E65">
              <w:rPr>
                <w:b/>
                <w:bCs/>
                <w:i/>
                <w:iCs/>
              </w:rPr>
              <w:t>Reference</w:t>
            </w:r>
            <w:r w:rsidRPr="00BB1E65">
              <w:t xml:space="preserve">: </w:t>
            </w:r>
            <w:r w:rsidR="00567178" w:rsidRPr="00BB1E65">
              <w:t xml:space="preserve"> </w:t>
            </w:r>
            <w:r w:rsidRPr="00BB1E65">
              <w:t>For more information</w:t>
            </w:r>
            <w:r w:rsidR="00161C63" w:rsidRPr="00BB1E65">
              <w:t>,</w:t>
            </w:r>
            <w:r w:rsidRPr="00BB1E65">
              <w:t xml:space="preserve"> see the </w:t>
            </w:r>
            <w:hyperlink r:id="rId64" w:history="1">
              <w:r w:rsidRPr="00BB1E65">
                <w:rPr>
                  <w:rStyle w:val="Hyperlink"/>
                </w:rPr>
                <w:t>Hearing Loss and Tinnitus DBQ</w:t>
              </w:r>
            </w:hyperlink>
            <w:r w:rsidRPr="00BB1E65">
              <w:t>.</w:t>
            </w:r>
          </w:p>
        </w:tc>
      </w:tr>
    </w:tbl>
    <w:p w14:paraId="49D834BB" w14:textId="77777777" w:rsidR="00121758" w:rsidRPr="00BB1E65" w:rsidRDefault="00121758" w:rsidP="00121758">
      <w:pPr>
        <w:pStyle w:val="BlockLine"/>
      </w:pPr>
      <w:r w:rsidRPr="00BB1E65">
        <w:lastRenderedPageBreak/>
        <w:fldChar w:fldCharType="begin"/>
      </w:r>
      <w:r w:rsidRPr="00BB1E65">
        <w:instrText xml:space="preserve"> PRIVATE INFOTYPE="PROCEDURE" </w:instrText>
      </w:r>
      <w:r w:rsidRPr="00BB1E65">
        <w:fldChar w:fldCharType="end"/>
      </w:r>
      <w:r w:rsidRPr="00BB1E65">
        <w:t xml:space="preserve"> </w:t>
      </w:r>
    </w:p>
    <w:tbl>
      <w:tblPr>
        <w:tblW w:w="0" w:type="auto"/>
        <w:tblInd w:w="-106" w:type="dxa"/>
        <w:tblLayout w:type="fixed"/>
        <w:tblLook w:val="0000" w:firstRow="0" w:lastRow="0" w:firstColumn="0" w:lastColumn="0" w:noHBand="0" w:noVBand="0"/>
      </w:tblPr>
      <w:tblGrid>
        <w:gridCol w:w="1728"/>
        <w:gridCol w:w="7740"/>
      </w:tblGrid>
      <w:tr w:rsidR="00121758" w:rsidRPr="00BB1E65" w14:paraId="67E42485" w14:textId="77777777" w:rsidTr="00FB1164">
        <w:trPr>
          <w:cantSplit/>
        </w:trPr>
        <w:tc>
          <w:tcPr>
            <w:tcW w:w="1728" w:type="dxa"/>
            <w:tcBorders>
              <w:top w:val="nil"/>
              <w:left w:val="nil"/>
              <w:bottom w:val="nil"/>
              <w:right w:val="nil"/>
            </w:tcBorders>
          </w:tcPr>
          <w:p w14:paraId="066BC74C" w14:textId="5A616C26" w:rsidR="00121758" w:rsidRPr="00BB1E65" w:rsidRDefault="00A46CEF" w:rsidP="00FB1164">
            <w:pPr>
              <w:pStyle w:val="Heading5"/>
            </w:pPr>
            <w:r w:rsidRPr="00BB1E65">
              <w:t>i</w:t>
            </w:r>
            <w:r w:rsidR="00121758" w:rsidRPr="00BB1E65">
              <w:t>.  Avoiding Asking for Legal Conclusions in Medical Opinion Requests</w:t>
            </w:r>
          </w:p>
          <w:p w14:paraId="6FC96E85" w14:textId="77777777" w:rsidR="00121758" w:rsidRPr="00BB1E65" w:rsidRDefault="00121758" w:rsidP="00FB1164">
            <w:pPr>
              <w:pStyle w:val="Heading5"/>
            </w:pPr>
          </w:p>
        </w:tc>
        <w:tc>
          <w:tcPr>
            <w:tcW w:w="7740" w:type="dxa"/>
            <w:tcBorders>
              <w:top w:val="nil"/>
              <w:left w:val="nil"/>
              <w:bottom w:val="nil"/>
              <w:right w:val="nil"/>
            </w:tcBorders>
          </w:tcPr>
          <w:p w14:paraId="1DA1E233" w14:textId="77777777" w:rsidR="00121758" w:rsidRPr="00BB1E65" w:rsidRDefault="00121758" w:rsidP="00FB1164">
            <w:pPr>
              <w:pStyle w:val="BlockText"/>
            </w:pPr>
            <w:r w:rsidRPr="00BB1E65">
              <w:t xml:space="preserve">Do </w:t>
            </w:r>
            <w:r w:rsidRPr="00BB1E65">
              <w:rPr>
                <w:i/>
                <w:iCs/>
              </w:rPr>
              <w:t>not</w:t>
            </w:r>
            <w:r w:rsidRPr="00BB1E65">
              <w:t xml:space="preserve"> request a medical authority to make conclusions of law, which is a responsibility inherent to the rating activity.  To prevent confusion, avoid using the word “opinion” when asking the examiner a question about any issue that does not require a formal medical opinion.</w:t>
            </w:r>
          </w:p>
          <w:p w14:paraId="666F77FF" w14:textId="77777777" w:rsidR="00121758" w:rsidRPr="00BB1E65" w:rsidRDefault="00121758" w:rsidP="00FB1164">
            <w:pPr>
              <w:pStyle w:val="BlockText"/>
            </w:pPr>
          </w:p>
          <w:p w14:paraId="5D5B57B0" w14:textId="77777777" w:rsidR="00121758" w:rsidRPr="00BB1E65" w:rsidRDefault="00121758" w:rsidP="00FB1164">
            <w:pPr>
              <w:pStyle w:val="BlockText"/>
            </w:pPr>
            <w:r w:rsidRPr="00BB1E65">
              <w:rPr>
                <w:b/>
                <w:bCs/>
                <w:i/>
                <w:iCs/>
              </w:rPr>
              <w:t>Examples</w:t>
            </w:r>
            <w:r w:rsidRPr="00BB1E65">
              <w:t xml:space="preserve">:  </w:t>
            </w:r>
          </w:p>
          <w:p w14:paraId="143FE3EA" w14:textId="77777777" w:rsidR="00121758" w:rsidRPr="00BB1E65" w:rsidRDefault="00121758" w:rsidP="00FB1164">
            <w:pPr>
              <w:pStyle w:val="BulletText1"/>
            </w:pPr>
            <w:r w:rsidRPr="00BB1E65">
              <w:t xml:space="preserve">Do </w:t>
            </w:r>
            <w:r w:rsidRPr="00BB1E65">
              <w:rPr>
                <w:i/>
                <w:iCs/>
              </w:rPr>
              <w:t>not</w:t>
            </w:r>
            <w:r w:rsidRPr="00BB1E65">
              <w:t xml:space="preserve"> request the medical authority to determine if there is loss of use of an extremity; ask for a description of the remaining function of the extremity.</w:t>
            </w:r>
          </w:p>
          <w:p w14:paraId="72174DD7" w14:textId="77777777" w:rsidR="00121758" w:rsidRPr="00BB1E65" w:rsidRDefault="00121758" w:rsidP="00FB1164">
            <w:pPr>
              <w:pStyle w:val="BulletText1"/>
            </w:pPr>
            <w:r w:rsidRPr="00BB1E65">
              <w:t xml:space="preserve">Do </w:t>
            </w:r>
            <w:r w:rsidRPr="00BB1E65">
              <w:rPr>
                <w:i/>
                <w:iCs/>
              </w:rPr>
              <w:t>not</w:t>
            </w:r>
            <w:r w:rsidRPr="00BB1E65">
              <w:t xml:space="preserve"> ask the medical authority to determine if a particular disability is “service-connected” or “SC.”  Instead, identify the in-service injury, event, or illness, as well as current disability, and ask the examiner to provide an opinion as to whether or not the current disability was caused by or the result of the identified in-service injury, event, or illness.</w:t>
            </w:r>
          </w:p>
          <w:p w14:paraId="0312160A" w14:textId="1C52D641" w:rsidR="00121758" w:rsidRPr="00BB1E65" w:rsidRDefault="007A34BA" w:rsidP="00B83ED7">
            <w:pPr>
              <w:pStyle w:val="BulletText1"/>
            </w:pPr>
            <w:r w:rsidRPr="00BB1E65">
              <w:t xml:space="preserve">Do </w:t>
            </w:r>
            <w:r w:rsidRPr="00BB1E65">
              <w:rPr>
                <w:i/>
                <w:iCs/>
              </w:rPr>
              <w:t>not</w:t>
            </w:r>
            <w:r w:rsidRPr="00BB1E65">
              <w:t xml:space="preserve"> ask the medical authority to provide an opinion as to whether a Veteran is “unemployable” or “entitled to individual unemployability.”  Instead, in the </w:t>
            </w:r>
            <w:r w:rsidRPr="00BB1E65">
              <w:rPr>
                <w:i/>
              </w:rPr>
              <w:t>Remarks</w:t>
            </w:r>
            <w:r w:rsidRPr="00BB1E65">
              <w:t xml:space="preserve"> section of the examination request, ask the examiner to comment on the Veteran’s ability to function in an occupational environment and to describe functional limitations. </w:t>
            </w:r>
          </w:p>
        </w:tc>
      </w:tr>
    </w:tbl>
    <w:p w14:paraId="3659E693" w14:textId="77777777" w:rsidR="00121758" w:rsidRPr="00BB1E65" w:rsidRDefault="00121758" w:rsidP="00121758">
      <w:pPr>
        <w:pStyle w:val="BlockLine"/>
      </w:pPr>
      <w:r w:rsidRPr="00BB1E65">
        <w:fldChar w:fldCharType="begin"/>
      </w:r>
      <w:r w:rsidRPr="00BB1E65">
        <w:instrText xml:space="preserve"> PRIVATE INFOTYPE="PROCEDURE"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BB1E65" w14:paraId="39D2C063" w14:textId="77777777" w:rsidTr="00161C63">
        <w:tc>
          <w:tcPr>
            <w:tcW w:w="1728" w:type="dxa"/>
            <w:tcBorders>
              <w:top w:val="nil"/>
              <w:left w:val="nil"/>
              <w:bottom w:val="nil"/>
              <w:right w:val="nil"/>
            </w:tcBorders>
          </w:tcPr>
          <w:p w14:paraId="31EF613B" w14:textId="667EC88A" w:rsidR="00121758" w:rsidRPr="00BB1E65" w:rsidRDefault="00A46CEF" w:rsidP="00B940B9">
            <w:pPr>
              <w:pStyle w:val="Heading5"/>
            </w:pPr>
            <w:r w:rsidRPr="00BB1E65">
              <w:t>j</w:t>
            </w:r>
            <w:r w:rsidR="00121758" w:rsidRPr="00BB1E65">
              <w:t>.  When to Obtain an Independent Medical Opinion</w:t>
            </w:r>
          </w:p>
        </w:tc>
        <w:tc>
          <w:tcPr>
            <w:tcW w:w="7740" w:type="dxa"/>
            <w:tcBorders>
              <w:top w:val="nil"/>
              <w:left w:val="nil"/>
              <w:bottom w:val="nil"/>
              <w:right w:val="nil"/>
            </w:tcBorders>
          </w:tcPr>
          <w:p w14:paraId="4771E761" w14:textId="6710D5A1" w:rsidR="00121758" w:rsidRPr="00BB1E65" w:rsidRDefault="00121758" w:rsidP="00FB1164">
            <w:pPr>
              <w:pStyle w:val="BlockText"/>
            </w:pPr>
            <w:r w:rsidRPr="00BB1E65">
              <w:t xml:space="preserve">If warranted by the medical complexity or the controversy of a pending claim, an independent medical opinion under </w:t>
            </w:r>
            <w:hyperlink r:id="rId65" w:history="1">
              <w:r w:rsidRPr="00BB1E65">
                <w:rPr>
                  <w:rStyle w:val="Hyperlink"/>
                </w:rPr>
                <w:t>38 CFR 3.328</w:t>
              </w:r>
            </w:hyperlink>
            <w:r w:rsidRPr="00BB1E65">
              <w:t xml:space="preserve"> may be obtained from medical experts who are not VA employees.</w:t>
            </w:r>
          </w:p>
          <w:p w14:paraId="77C650FF" w14:textId="1972E03A" w:rsidR="00121758" w:rsidRPr="00BB1E65" w:rsidRDefault="00121758" w:rsidP="00FB1164">
            <w:pPr>
              <w:pStyle w:val="BlockText"/>
            </w:pPr>
          </w:p>
          <w:p w14:paraId="3198D696" w14:textId="77777777" w:rsidR="003D6832" w:rsidRPr="00BB1E65" w:rsidRDefault="00121758" w:rsidP="003D6832">
            <w:pPr>
              <w:pStyle w:val="BlockText"/>
            </w:pPr>
            <w:r w:rsidRPr="00BB1E65">
              <w:rPr>
                <w:b/>
                <w:bCs/>
                <w:i/>
                <w:iCs/>
              </w:rPr>
              <w:t>Note</w:t>
            </w:r>
            <w:r w:rsidR="003D6832" w:rsidRPr="00BB1E65">
              <w:rPr>
                <w:b/>
                <w:bCs/>
                <w:i/>
                <w:iCs/>
              </w:rPr>
              <w:t>s</w:t>
            </w:r>
            <w:r w:rsidRPr="00BB1E65">
              <w:t xml:space="preserve">:  </w:t>
            </w:r>
          </w:p>
          <w:p w14:paraId="77DF2EFE" w14:textId="77777777" w:rsidR="003D6832" w:rsidRPr="00BB1E65" w:rsidRDefault="009F7660" w:rsidP="00661A60">
            <w:pPr>
              <w:pStyle w:val="ListParagraph"/>
              <w:numPr>
                <w:ilvl w:val="0"/>
                <w:numId w:val="73"/>
              </w:numPr>
              <w:ind w:left="158" w:hanging="187"/>
            </w:pPr>
            <w:r w:rsidRPr="00BB1E65">
              <w:t xml:space="preserve">VA Central Office has the responsibility for deciding if the independent medical opinion is warranted and </w:t>
            </w:r>
            <w:r w:rsidR="007C5250" w:rsidRPr="00BB1E65">
              <w:t>what medical expert to use</w:t>
            </w:r>
            <w:r w:rsidRPr="00BB1E65">
              <w:t>.</w:t>
            </w:r>
            <w:r w:rsidR="00731C0A" w:rsidRPr="00BB1E65">
              <w:t xml:space="preserve">  </w:t>
            </w:r>
          </w:p>
          <w:p w14:paraId="0E1E41E6" w14:textId="2929F8D7" w:rsidR="00121758" w:rsidRPr="00BB1E65" w:rsidRDefault="003D6832" w:rsidP="00661A60">
            <w:pPr>
              <w:pStyle w:val="ListParagraph"/>
              <w:numPr>
                <w:ilvl w:val="0"/>
                <w:numId w:val="73"/>
              </w:numPr>
              <w:ind w:left="158" w:hanging="187"/>
            </w:pPr>
            <w:r w:rsidRPr="00BB1E65">
              <w:lastRenderedPageBreak/>
              <w:t>U</w:t>
            </w:r>
            <w:r w:rsidR="00731C0A" w:rsidRPr="00BB1E65">
              <w:t xml:space="preserve">nder </w:t>
            </w:r>
            <w:hyperlink r:id="rId66" w:history="1">
              <w:r w:rsidR="00731C0A" w:rsidRPr="00BB1E65">
                <w:rPr>
                  <w:rStyle w:val="Hyperlink"/>
                </w:rPr>
                <w:t>38 CFR 3.328</w:t>
              </w:r>
            </w:hyperlink>
            <w:r w:rsidR="00731C0A" w:rsidRPr="00BB1E65">
              <w:rPr>
                <w:rStyle w:val="Hyperlink"/>
                <w:u w:val="none"/>
              </w:rPr>
              <w:t>,</w:t>
            </w:r>
            <w:r w:rsidR="00731C0A" w:rsidRPr="00BB1E65">
              <w:rPr>
                <w:color w:val="1F497D"/>
              </w:rPr>
              <w:t xml:space="preserve"> </w:t>
            </w:r>
            <w:r w:rsidR="00731C0A" w:rsidRPr="00BB1E65">
              <w:t xml:space="preserve">contract examiners </w:t>
            </w:r>
            <w:r w:rsidRPr="00BB1E65">
              <w:t xml:space="preserve">who perform examinations during the usual claims process </w:t>
            </w:r>
            <w:r w:rsidR="00731C0A" w:rsidRPr="00BB1E65">
              <w:t>are consi</w:t>
            </w:r>
            <w:r w:rsidRPr="00BB1E65">
              <w:t>dered hired in the service of VA</w:t>
            </w:r>
            <w:r w:rsidR="00161C63" w:rsidRPr="00BB1E65">
              <w:t>,</w:t>
            </w:r>
            <w:r w:rsidRPr="00BB1E65">
              <w:t xml:space="preserve"> and therefore, are not appropriate medical experts for the purposes of providing an independent medical opinion.</w:t>
            </w:r>
          </w:p>
        </w:tc>
      </w:tr>
    </w:tbl>
    <w:p w14:paraId="652B79C4" w14:textId="77777777" w:rsidR="00121758" w:rsidRPr="00BB1E65" w:rsidRDefault="00121758" w:rsidP="00121758">
      <w:pPr>
        <w:pStyle w:val="BlockLine"/>
      </w:pPr>
      <w:r w:rsidRPr="00BB1E65">
        <w:lastRenderedPageBreak/>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BB1E65" w14:paraId="7225C213" w14:textId="77777777" w:rsidTr="00FB1164">
        <w:trPr>
          <w:cantSplit/>
        </w:trPr>
        <w:tc>
          <w:tcPr>
            <w:tcW w:w="1728" w:type="dxa"/>
            <w:tcBorders>
              <w:top w:val="nil"/>
              <w:left w:val="nil"/>
              <w:bottom w:val="nil"/>
              <w:right w:val="nil"/>
            </w:tcBorders>
          </w:tcPr>
          <w:p w14:paraId="4FEB524F" w14:textId="28E05510" w:rsidR="00121758" w:rsidRPr="00BB1E65" w:rsidRDefault="00A46CEF" w:rsidP="00376607">
            <w:pPr>
              <w:pStyle w:val="Heading5"/>
            </w:pPr>
            <w:r w:rsidRPr="00BB1E65">
              <w:t>k</w:t>
            </w:r>
            <w:r w:rsidR="00121758" w:rsidRPr="00BB1E65">
              <w:t>.  Initiating a Request for an Independent Medical Opinion</w:t>
            </w:r>
          </w:p>
        </w:tc>
        <w:tc>
          <w:tcPr>
            <w:tcW w:w="7740" w:type="dxa"/>
            <w:tcBorders>
              <w:top w:val="nil"/>
              <w:left w:val="nil"/>
              <w:bottom w:val="nil"/>
              <w:right w:val="nil"/>
            </w:tcBorders>
          </w:tcPr>
          <w:p w14:paraId="11C16F14" w14:textId="77777777" w:rsidR="00121758" w:rsidRPr="00BB1E65" w:rsidRDefault="00121758" w:rsidP="00FB1164">
            <w:pPr>
              <w:pStyle w:val="BlockText"/>
            </w:pPr>
            <w:r w:rsidRPr="00BB1E65">
              <w:t xml:space="preserve">A request for an independent medical opinion under </w:t>
            </w:r>
            <w:hyperlink r:id="rId67" w:history="1">
              <w:r w:rsidRPr="00BB1E65">
                <w:rPr>
                  <w:rStyle w:val="Hyperlink"/>
                </w:rPr>
                <w:t>38 CFR 3.328</w:t>
              </w:r>
            </w:hyperlink>
            <w:r w:rsidRPr="00BB1E65">
              <w:t xml:space="preserve">, in conjunction with a pending claim, may be initiated by the </w:t>
            </w:r>
          </w:p>
          <w:p w14:paraId="44CF0597" w14:textId="77777777" w:rsidR="00121758" w:rsidRPr="00BB1E65" w:rsidRDefault="00121758" w:rsidP="00FB1164">
            <w:pPr>
              <w:pStyle w:val="BlockText"/>
            </w:pPr>
          </w:p>
          <w:p w14:paraId="55165BF4" w14:textId="4F149108" w:rsidR="00121758" w:rsidRPr="00BB1E65" w:rsidRDefault="00121758" w:rsidP="00FB1164">
            <w:pPr>
              <w:pStyle w:val="BulletText1"/>
            </w:pPr>
            <w:r w:rsidRPr="00BB1E65">
              <w:t>RO</w:t>
            </w:r>
          </w:p>
          <w:p w14:paraId="55D28145" w14:textId="77777777" w:rsidR="00121758" w:rsidRPr="00BB1E65" w:rsidRDefault="00121758" w:rsidP="00FB1164">
            <w:pPr>
              <w:pStyle w:val="BulletText1"/>
            </w:pPr>
            <w:r w:rsidRPr="00BB1E65">
              <w:t>claimant, or</w:t>
            </w:r>
          </w:p>
          <w:p w14:paraId="07B627E9" w14:textId="77777777" w:rsidR="00121758" w:rsidRPr="00BB1E65" w:rsidRDefault="00121758" w:rsidP="00FB1164">
            <w:pPr>
              <w:pStyle w:val="BulletText1"/>
            </w:pPr>
            <w:r w:rsidRPr="00BB1E65">
              <w:t>claimant’s representative.</w:t>
            </w:r>
          </w:p>
        </w:tc>
      </w:tr>
    </w:tbl>
    <w:p w14:paraId="2D934817" w14:textId="77777777" w:rsidR="00121758" w:rsidRPr="00BB1E65" w:rsidRDefault="00121758" w:rsidP="00121758">
      <w:pPr>
        <w:pStyle w:val="BlockLine"/>
      </w:pPr>
      <w:r w:rsidRPr="00BB1E65">
        <w:fldChar w:fldCharType="begin"/>
      </w:r>
      <w:r w:rsidRPr="00BB1E65">
        <w:instrText xml:space="preserve"> PRIVATE INFOTYPE="PROCEDURE"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BB1E65" w14:paraId="3A9886FA" w14:textId="77777777" w:rsidTr="00FB1164">
        <w:trPr>
          <w:cantSplit/>
        </w:trPr>
        <w:tc>
          <w:tcPr>
            <w:tcW w:w="1728" w:type="dxa"/>
            <w:tcBorders>
              <w:top w:val="nil"/>
              <w:left w:val="nil"/>
              <w:bottom w:val="nil"/>
              <w:right w:val="nil"/>
            </w:tcBorders>
          </w:tcPr>
          <w:p w14:paraId="0641777F" w14:textId="412C151D" w:rsidR="00121758" w:rsidRPr="00BB1E65" w:rsidRDefault="00A46CEF" w:rsidP="00376607">
            <w:pPr>
              <w:pStyle w:val="Heading5"/>
            </w:pPr>
            <w:r w:rsidRPr="00BB1E65">
              <w:t>l</w:t>
            </w:r>
            <w:r w:rsidR="00121758" w:rsidRPr="00BB1E65">
              <w:t>.  Submitting a Request for an Independent Medical Opinion</w:t>
            </w:r>
          </w:p>
        </w:tc>
        <w:tc>
          <w:tcPr>
            <w:tcW w:w="7740" w:type="dxa"/>
            <w:tcBorders>
              <w:top w:val="nil"/>
              <w:left w:val="nil"/>
              <w:bottom w:val="nil"/>
              <w:right w:val="nil"/>
            </w:tcBorders>
          </w:tcPr>
          <w:p w14:paraId="1891EE26" w14:textId="77777777" w:rsidR="00121758" w:rsidRPr="00BB1E65" w:rsidRDefault="00121758" w:rsidP="00FB1164">
            <w:pPr>
              <w:pStyle w:val="BlockText"/>
            </w:pPr>
            <w:r w:rsidRPr="00BB1E65">
              <w:t xml:space="preserve">Submit a request for an independent medical opinion under </w:t>
            </w:r>
            <w:hyperlink r:id="rId68" w:history="1">
              <w:r w:rsidRPr="00BB1E65">
                <w:rPr>
                  <w:rStyle w:val="Hyperlink"/>
                </w:rPr>
                <w:t>38 CFR 3.328</w:t>
              </w:r>
            </w:hyperlink>
            <w:r w:rsidRPr="00BB1E65">
              <w:t xml:space="preserve"> </w:t>
            </w:r>
          </w:p>
          <w:p w14:paraId="3169E552" w14:textId="77777777" w:rsidR="00121758" w:rsidRPr="00BB1E65" w:rsidRDefault="00121758" w:rsidP="00FB1164">
            <w:pPr>
              <w:pStyle w:val="BlockText"/>
            </w:pPr>
          </w:p>
          <w:p w14:paraId="468F5980" w14:textId="5826443C" w:rsidR="00121758" w:rsidRPr="00BB1E65" w:rsidRDefault="00121758" w:rsidP="00FB1164">
            <w:pPr>
              <w:pStyle w:val="BulletText1"/>
            </w:pPr>
            <w:r w:rsidRPr="00BB1E65">
              <w:t>in writing</w:t>
            </w:r>
          </w:p>
          <w:p w14:paraId="04694DC2" w14:textId="6AD966BA" w:rsidR="00121758" w:rsidRPr="00BB1E65" w:rsidRDefault="00121758" w:rsidP="00FB1164">
            <w:pPr>
              <w:pStyle w:val="BulletText1"/>
            </w:pPr>
            <w:r w:rsidRPr="00BB1E65">
              <w:t>through the VSCM</w:t>
            </w:r>
            <w:r w:rsidR="00567178" w:rsidRPr="00BB1E65">
              <w:t>,</w:t>
            </w:r>
            <w:r w:rsidR="00C15C19" w:rsidRPr="00BB1E65">
              <w:t xml:space="preserve"> and</w:t>
            </w:r>
          </w:p>
          <w:p w14:paraId="56D8BF2D" w14:textId="77777777" w:rsidR="00121758" w:rsidRPr="00BB1E65" w:rsidRDefault="00121758" w:rsidP="00FB1164">
            <w:pPr>
              <w:pStyle w:val="BulletText1"/>
            </w:pPr>
            <w:r w:rsidRPr="00BB1E65">
              <w:t xml:space="preserve">by stating, in detail, </w:t>
            </w:r>
          </w:p>
          <w:p w14:paraId="542B07EC" w14:textId="77777777" w:rsidR="00121758" w:rsidRPr="00BB1E65" w:rsidRDefault="00121758" w:rsidP="00FB1164">
            <w:pPr>
              <w:pStyle w:val="BulletText2"/>
            </w:pPr>
            <w:r w:rsidRPr="00BB1E65">
              <w:t>the reasons why the opinion is necessary, and</w:t>
            </w:r>
          </w:p>
          <w:p w14:paraId="11DBDC21" w14:textId="77777777" w:rsidR="00121758" w:rsidRPr="00BB1E65" w:rsidRDefault="00121758" w:rsidP="00FB1164">
            <w:pPr>
              <w:pStyle w:val="BulletText2"/>
            </w:pPr>
            <w:r w:rsidRPr="00BB1E65">
              <w:t>the specific information or opinion required.</w:t>
            </w:r>
          </w:p>
        </w:tc>
      </w:tr>
    </w:tbl>
    <w:p w14:paraId="087EE603" w14:textId="77777777" w:rsidR="00121758" w:rsidRPr="00BB1E65" w:rsidRDefault="00121758" w:rsidP="00121758">
      <w:pPr>
        <w:pStyle w:val="BlockLine"/>
      </w:pPr>
      <w:r w:rsidRPr="00BB1E65">
        <w:fldChar w:fldCharType="begin"/>
      </w:r>
      <w:r w:rsidRPr="00BB1E65">
        <w:instrText xml:space="preserve"> PRIVATE INFOTYPE="PROCESS"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21758" w:rsidRPr="00BB1E65" w14:paraId="5FD91F74" w14:textId="77777777" w:rsidTr="00376607">
        <w:trPr>
          <w:trHeight w:val="1386"/>
        </w:trPr>
        <w:tc>
          <w:tcPr>
            <w:tcW w:w="1728" w:type="dxa"/>
            <w:tcBorders>
              <w:top w:val="nil"/>
              <w:left w:val="nil"/>
              <w:bottom w:val="nil"/>
              <w:right w:val="nil"/>
            </w:tcBorders>
          </w:tcPr>
          <w:p w14:paraId="074AB59E" w14:textId="5332CC41" w:rsidR="00121758" w:rsidRPr="00BB1E65" w:rsidRDefault="00A46CEF" w:rsidP="00376607">
            <w:pPr>
              <w:pStyle w:val="Heading5"/>
            </w:pPr>
            <w:r w:rsidRPr="00BB1E65">
              <w:t>m</w:t>
            </w:r>
            <w:r w:rsidR="00121758" w:rsidRPr="00BB1E65">
              <w:t>.  Processing Requests for an Independent Medical Opinion</w:t>
            </w:r>
          </w:p>
        </w:tc>
        <w:tc>
          <w:tcPr>
            <w:tcW w:w="7740" w:type="dxa"/>
            <w:tcBorders>
              <w:top w:val="nil"/>
              <w:left w:val="nil"/>
              <w:bottom w:val="nil"/>
              <w:right w:val="nil"/>
            </w:tcBorders>
          </w:tcPr>
          <w:p w14:paraId="0A46F95D" w14:textId="76AE2E10" w:rsidR="00551549" w:rsidRPr="00BB1E65" w:rsidRDefault="00121758" w:rsidP="00376607">
            <w:pPr>
              <w:pStyle w:val="BlockText"/>
            </w:pPr>
            <w:r w:rsidRPr="00BB1E65">
              <w:t xml:space="preserve">The table below describes how to process a request for an independent medical opinion under </w:t>
            </w:r>
            <w:hyperlink r:id="rId69" w:history="1">
              <w:r w:rsidRPr="00BB1E65">
                <w:rPr>
                  <w:rStyle w:val="Hyperlink"/>
                </w:rPr>
                <w:t>38 CFR 3.328</w:t>
              </w:r>
            </w:hyperlink>
            <w:r w:rsidRPr="00BB1E65">
              <w:t xml:space="preserve"> and identifies the responsible parties.</w:t>
            </w:r>
          </w:p>
        </w:tc>
      </w:tr>
    </w:tbl>
    <w:p w14:paraId="4450F22A" w14:textId="77777777" w:rsidR="00376607" w:rsidRPr="00BB1E65" w:rsidRDefault="00376607" w:rsidP="00376607"/>
    <w:tbl>
      <w:tblPr>
        <w:tblStyle w:val="TableGrid"/>
        <w:tblW w:w="7650" w:type="dxa"/>
        <w:tblInd w:w="1728" w:type="dxa"/>
        <w:tblLayout w:type="fixed"/>
        <w:tblLook w:val="04A0" w:firstRow="1" w:lastRow="0" w:firstColumn="1" w:lastColumn="0" w:noHBand="0" w:noVBand="1"/>
      </w:tblPr>
      <w:tblGrid>
        <w:gridCol w:w="810"/>
        <w:gridCol w:w="2880"/>
        <w:gridCol w:w="3960"/>
      </w:tblGrid>
      <w:tr w:rsidR="00376607" w:rsidRPr="00BB1E65" w14:paraId="1F40B9EF" w14:textId="77777777" w:rsidTr="002D0488">
        <w:tc>
          <w:tcPr>
            <w:tcW w:w="810" w:type="dxa"/>
          </w:tcPr>
          <w:p w14:paraId="013A6778" w14:textId="01588C73" w:rsidR="00376607" w:rsidRPr="00BB1E65" w:rsidRDefault="002D0488" w:rsidP="002D0488">
            <w:pPr>
              <w:jc w:val="center"/>
              <w:rPr>
                <w:b/>
              </w:rPr>
            </w:pPr>
            <w:r w:rsidRPr="00BB1E65">
              <w:rPr>
                <w:b/>
              </w:rPr>
              <w:t>Stage</w:t>
            </w:r>
          </w:p>
        </w:tc>
        <w:tc>
          <w:tcPr>
            <w:tcW w:w="2880" w:type="dxa"/>
          </w:tcPr>
          <w:p w14:paraId="38A00CBC" w14:textId="1ED661AD" w:rsidR="00376607" w:rsidRPr="00BB1E65" w:rsidRDefault="00376607" w:rsidP="00376607">
            <w:pPr>
              <w:jc w:val="center"/>
              <w:rPr>
                <w:b/>
              </w:rPr>
            </w:pPr>
            <w:r w:rsidRPr="00BB1E65">
              <w:rPr>
                <w:b/>
              </w:rPr>
              <w:t>Who is Responsible</w:t>
            </w:r>
          </w:p>
        </w:tc>
        <w:tc>
          <w:tcPr>
            <w:tcW w:w="3960" w:type="dxa"/>
          </w:tcPr>
          <w:p w14:paraId="6F154D3B" w14:textId="216DE26C" w:rsidR="00376607" w:rsidRPr="00BB1E65" w:rsidRDefault="00376607" w:rsidP="00376607">
            <w:pPr>
              <w:jc w:val="center"/>
              <w:rPr>
                <w:b/>
              </w:rPr>
            </w:pPr>
            <w:r w:rsidRPr="00BB1E65">
              <w:rPr>
                <w:b/>
              </w:rPr>
              <w:t>Description</w:t>
            </w:r>
          </w:p>
        </w:tc>
      </w:tr>
      <w:tr w:rsidR="00376607" w:rsidRPr="00BB1E65" w14:paraId="0DB14FF8" w14:textId="77777777" w:rsidTr="002D0488">
        <w:tc>
          <w:tcPr>
            <w:tcW w:w="810" w:type="dxa"/>
          </w:tcPr>
          <w:p w14:paraId="1129D613" w14:textId="712CB412" w:rsidR="00376607" w:rsidRPr="00BB1E65" w:rsidRDefault="00376607" w:rsidP="002D0488">
            <w:pPr>
              <w:jc w:val="center"/>
            </w:pPr>
            <w:r w:rsidRPr="00BB1E65">
              <w:t>1</w:t>
            </w:r>
          </w:p>
        </w:tc>
        <w:tc>
          <w:tcPr>
            <w:tcW w:w="2880" w:type="dxa"/>
          </w:tcPr>
          <w:p w14:paraId="5B050D73" w14:textId="77777777" w:rsidR="00376607" w:rsidRPr="00BB1E65" w:rsidRDefault="00376607" w:rsidP="00376607">
            <w:pPr>
              <w:pStyle w:val="BulletText1"/>
            </w:pPr>
            <w:r w:rsidRPr="00BB1E65">
              <w:t>RVSR</w:t>
            </w:r>
          </w:p>
          <w:p w14:paraId="6BE1D8CE" w14:textId="77777777" w:rsidR="00376607" w:rsidRPr="00BB1E65" w:rsidRDefault="00376607" w:rsidP="00376607">
            <w:pPr>
              <w:pStyle w:val="BulletText1"/>
            </w:pPr>
            <w:r w:rsidRPr="00BB1E65">
              <w:t>DRO, or</w:t>
            </w:r>
          </w:p>
          <w:p w14:paraId="0D065EFD" w14:textId="5247437B" w:rsidR="00376607" w:rsidRPr="00BB1E65" w:rsidRDefault="00376607" w:rsidP="00661A60">
            <w:pPr>
              <w:pStyle w:val="ListParagraph"/>
              <w:numPr>
                <w:ilvl w:val="0"/>
                <w:numId w:val="49"/>
              </w:numPr>
              <w:ind w:left="158" w:hanging="187"/>
            </w:pPr>
            <w:r w:rsidRPr="00BB1E65">
              <w:t xml:space="preserve">service organization representative </w:t>
            </w:r>
          </w:p>
        </w:tc>
        <w:tc>
          <w:tcPr>
            <w:tcW w:w="3960" w:type="dxa"/>
          </w:tcPr>
          <w:p w14:paraId="4876B958" w14:textId="12F4AE10" w:rsidR="00376607" w:rsidRPr="00BB1E65" w:rsidRDefault="00376607" w:rsidP="00376607">
            <w:r w:rsidRPr="00BB1E65">
              <w:t>Brings the request for an independent medical opinion to the attention of the VSCM.</w:t>
            </w:r>
          </w:p>
        </w:tc>
      </w:tr>
      <w:tr w:rsidR="00376607" w:rsidRPr="00BB1E65" w14:paraId="358E8645" w14:textId="77777777" w:rsidTr="002D0488">
        <w:tc>
          <w:tcPr>
            <w:tcW w:w="810" w:type="dxa"/>
          </w:tcPr>
          <w:p w14:paraId="66559F41" w14:textId="4FC65043" w:rsidR="00376607" w:rsidRPr="00BB1E65" w:rsidRDefault="00376607" w:rsidP="002D0488">
            <w:pPr>
              <w:jc w:val="center"/>
            </w:pPr>
            <w:r w:rsidRPr="00BB1E65">
              <w:t>2</w:t>
            </w:r>
          </w:p>
        </w:tc>
        <w:tc>
          <w:tcPr>
            <w:tcW w:w="2880" w:type="dxa"/>
          </w:tcPr>
          <w:p w14:paraId="7DCB695C" w14:textId="0601F9E1" w:rsidR="00376607" w:rsidRPr="00BB1E65" w:rsidRDefault="00376607" w:rsidP="00376607">
            <w:r w:rsidRPr="00BB1E65">
              <w:t>VSCM</w:t>
            </w:r>
          </w:p>
        </w:tc>
        <w:tc>
          <w:tcPr>
            <w:tcW w:w="3960" w:type="dxa"/>
          </w:tcPr>
          <w:p w14:paraId="7F95EC13" w14:textId="3674515C" w:rsidR="00376607" w:rsidRPr="00BB1E65" w:rsidRDefault="00376607" w:rsidP="00376607">
            <w:r w:rsidRPr="00BB1E65">
              <w:t>Decides whether the request has merit</w:t>
            </w:r>
            <w:r w:rsidR="009F7660" w:rsidRPr="00BB1E65">
              <w:t>.</w:t>
            </w:r>
          </w:p>
        </w:tc>
      </w:tr>
      <w:tr w:rsidR="00376607" w:rsidRPr="00BB1E65" w14:paraId="537FA3E2" w14:textId="77777777" w:rsidTr="002D0488">
        <w:tc>
          <w:tcPr>
            <w:tcW w:w="810" w:type="dxa"/>
          </w:tcPr>
          <w:p w14:paraId="37C1D82A" w14:textId="4FDCAAAE" w:rsidR="00376607" w:rsidRPr="00BB1E65" w:rsidRDefault="00376607" w:rsidP="002D0488">
            <w:pPr>
              <w:jc w:val="center"/>
            </w:pPr>
            <w:r w:rsidRPr="00BB1E65">
              <w:t>3</w:t>
            </w:r>
          </w:p>
        </w:tc>
        <w:tc>
          <w:tcPr>
            <w:tcW w:w="2880" w:type="dxa"/>
          </w:tcPr>
          <w:p w14:paraId="228E8798" w14:textId="5F8CBFE8" w:rsidR="00376607" w:rsidRPr="00BB1E65" w:rsidRDefault="00376607" w:rsidP="00376607">
            <w:r w:rsidRPr="00BB1E65">
              <w:t>VSCM</w:t>
            </w:r>
          </w:p>
        </w:tc>
        <w:tc>
          <w:tcPr>
            <w:tcW w:w="3960" w:type="dxa"/>
          </w:tcPr>
          <w:p w14:paraId="35AB1A4C" w14:textId="77777777" w:rsidR="00376607" w:rsidRPr="00BB1E65" w:rsidRDefault="00376607" w:rsidP="00376607">
            <w:pPr>
              <w:pStyle w:val="TableText"/>
            </w:pPr>
            <w:r w:rsidRPr="00BB1E65">
              <w:t>Does the request have merit?</w:t>
            </w:r>
          </w:p>
          <w:p w14:paraId="001CA87C" w14:textId="77777777" w:rsidR="00376607" w:rsidRPr="00BB1E65" w:rsidRDefault="00376607" w:rsidP="00376607">
            <w:pPr>
              <w:pStyle w:val="TableText"/>
            </w:pPr>
          </w:p>
          <w:p w14:paraId="66784C79" w14:textId="77777777" w:rsidR="00376607" w:rsidRPr="00BB1E65" w:rsidRDefault="00376607" w:rsidP="00376607">
            <w:pPr>
              <w:pStyle w:val="BulletText1"/>
            </w:pPr>
            <w:r w:rsidRPr="00BB1E65">
              <w:t xml:space="preserve">If </w:t>
            </w:r>
            <w:r w:rsidRPr="00BB1E65">
              <w:rPr>
                <w:i/>
                <w:iCs/>
              </w:rPr>
              <w:t>yes</w:t>
            </w:r>
            <w:r w:rsidRPr="00BB1E65">
              <w:t>, refers the request to Compensation Service (211) for review.</w:t>
            </w:r>
          </w:p>
          <w:p w14:paraId="301ABD56" w14:textId="77777777" w:rsidR="00376607" w:rsidRPr="00BB1E65" w:rsidRDefault="00376607" w:rsidP="00376607">
            <w:pPr>
              <w:pStyle w:val="BulletText1"/>
            </w:pPr>
            <w:r w:rsidRPr="00BB1E65">
              <w:t xml:space="preserve">If </w:t>
            </w:r>
            <w:r w:rsidRPr="00BB1E65">
              <w:rPr>
                <w:i/>
                <w:iCs/>
              </w:rPr>
              <w:t>no</w:t>
            </w:r>
            <w:r w:rsidRPr="00BB1E65">
              <w:t>, denies the request without the need for referral to Compensation Service.</w:t>
            </w:r>
          </w:p>
          <w:p w14:paraId="0CDE6C61" w14:textId="77777777" w:rsidR="00376607" w:rsidRPr="00BB1E65" w:rsidRDefault="00376607" w:rsidP="00376607">
            <w:pPr>
              <w:pStyle w:val="TableText"/>
            </w:pPr>
          </w:p>
          <w:p w14:paraId="50F49EDF" w14:textId="4BF07A70" w:rsidR="00376607" w:rsidRPr="00BB1E65" w:rsidRDefault="00376607" w:rsidP="00376607">
            <w:r w:rsidRPr="00BB1E65">
              <w:rPr>
                <w:b/>
                <w:bCs/>
                <w:i/>
                <w:iCs/>
              </w:rPr>
              <w:t>Important</w:t>
            </w:r>
            <w:r w:rsidRPr="00BB1E65">
              <w:t>:  This determination may be contested as part of an appeal on the primary issue under consideration.</w:t>
            </w:r>
          </w:p>
        </w:tc>
      </w:tr>
      <w:tr w:rsidR="00376607" w:rsidRPr="00BB1E65" w14:paraId="05025F39" w14:textId="77777777" w:rsidTr="002D0488">
        <w:tc>
          <w:tcPr>
            <w:tcW w:w="810" w:type="dxa"/>
          </w:tcPr>
          <w:p w14:paraId="6FE671E6" w14:textId="23CB758F" w:rsidR="00376607" w:rsidRPr="00BB1E65" w:rsidRDefault="00376607" w:rsidP="002D0488">
            <w:pPr>
              <w:jc w:val="center"/>
            </w:pPr>
            <w:r w:rsidRPr="00BB1E65">
              <w:t>4</w:t>
            </w:r>
          </w:p>
        </w:tc>
        <w:tc>
          <w:tcPr>
            <w:tcW w:w="2880" w:type="dxa"/>
          </w:tcPr>
          <w:p w14:paraId="76AC7DEF" w14:textId="132A1A12" w:rsidR="00376607" w:rsidRPr="00BB1E65" w:rsidRDefault="00376607" w:rsidP="00376607">
            <w:r w:rsidRPr="00BB1E65">
              <w:t>Compensation Service</w:t>
            </w:r>
          </w:p>
        </w:tc>
        <w:tc>
          <w:tcPr>
            <w:tcW w:w="3960" w:type="dxa"/>
          </w:tcPr>
          <w:p w14:paraId="526843EB" w14:textId="2662F4EA" w:rsidR="00376607" w:rsidRPr="00BB1E65" w:rsidRDefault="00376607" w:rsidP="00376607">
            <w:pPr>
              <w:pStyle w:val="TableText"/>
            </w:pPr>
            <w:r w:rsidRPr="00BB1E65">
              <w:t>Decides whether the request has merit.</w:t>
            </w:r>
          </w:p>
        </w:tc>
      </w:tr>
      <w:tr w:rsidR="00376607" w:rsidRPr="00BB1E65" w14:paraId="12F25511" w14:textId="77777777" w:rsidTr="002D0488">
        <w:tc>
          <w:tcPr>
            <w:tcW w:w="810" w:type="dxa"/>
          </w:tcPr>
          <w:p w14:paraId="45942881" w14:textId="3D5A6DF4" w:rsidR="00376607" w:rsidRPr="00BB1E65" w:rsidRDefault="00376607" w:rsidP="002D0488">
            <w:pPr>
              <w:jc w:val="center"/>
            </w:pPr>
            <w:r w:rsidRPr="00BB1E65">
              <w:t>5</w:t>
            </w:r>
          </w:p>
        </w:tc>
        <w:tc>
          <w:tcPr>
            <w:tcW w:w="2880" w:type="dxa"/>
          </w:tcPr>
          <w:p w14:paraId="5FE2BA39" w14:textId="5136DA90" w:rsidR="00376607" w:rsidRPr="00BB1E65" w:rsidRDefault="00376607" w:rsidP="00376607">
            <w:r w:rsidRPr="00BB1E65">
              <w:t>Compensation Service</w:t>
            </w:r>
          </w:p>
        </w:tc>
        <w:tc>
          <w:tcPr>
            <w:tcW w:w="3960" w:type="dxa"/>
          </w:tcPr>
          <w:p w14:paraId="138C5441" w14:textId="77777777" w:rsidR="00376607" w:rsidRPr="00BB1E65" w:rsidRDefault="00376607" w:rsidP="00376607">
            <w:pPr>
              <w:pStyle w:val="TableText"/>
            </w:pPr>
            <w:r w:rsidRPr="00BB1E65">
              <w:t>Does the request have merit?</w:t>
            </w:r>
          </w:p>
          <w:p w14:paraId="098904D4" w14:textId="77777777" w:rsidR="00376607" w:rsidRPr="00BB1E65" w:rsidRDefault="00376607" w:rsidP="00376607">
            <w:pPr>
              <w:pStyle w:val="TableText"/>
            </w:pPr>
          </w:p>
          <w:p w14:paraId="688AE9DE" w14:textId="58B62B01" w:rsidR="00376607" w:rsidRPr="00BB1E65" w:rsidRDefault="00376607" w:rsidP="00376607">
            <w:pPr>
              <w:pStyle w:val="BulletText1"/>
            </w:pPr>
            <w:r w:rsidRPr="00BB1E65">
              <w:t xml:space="preserve">If </w:t>
            </w:r>
            <w:r w:rsidRPr="00BB1E65">
              <w:rPr>
                <w:i/>
                <w:iCs/>
              </w:rPr>
              <w:t>yes</w:t>
            </w:r>
            <w:r w:rsidR="005E1CFF" w:rsidRPr="00BB1E65">
              <w:rPr>
                <w:i/>
                <w:iCs/>
              </w:rPr>
              <w:t>,</w:t>
            </w:r>
          </w:p>
          <w:p w14:paraId="343AD3F9" w14:textId="77777777" w:rsidR="00376607" w:rsidRPr="00BB1E65" w:rsidRDefault="00376607" w:rsidP="00376607">
            <w:pPr>
              <w:pStyle w:val="BulletText2"/>
            </w:pPr>
            <w:r w:rsidRPr="00BB1E65">
              <w:t xml:space="preserve">notifies the claimant that the request has been approved </w:t>
            </w:r>
          </w:p>
          <w:p w14:paraId="4FE2C7A1" w14:textId="0BE0630C" w:rsidR="00376607" w:rsidRPr="00BB1E65" w:rsidRDefault="00376607" w:rsidP="00376607">
            <w:pPr>
              <w:pStyle w:val="BulletText2"/>
            </w:pPr>
            <w:r w:rsidRPr="00BB1E65">
              <w:t>obtains the opinion</w:t>
            </w:r>
            <w:r w:rsidR="009F7660" w:rsidRPr="00BB1E65">
              <w:t xml:space="preserve"> from the appropriate medical expert</w:t>
            </w:r>
            <w:r w:rsidRPr="00BB1E65">
              <w:t>, and</w:t>
            </w:r>
          </w:p>
          <w:p w14:paraId="4A1152F7" w14:textId="77777777" w:rsidR="00376607" w:rsidRPr="00BB1E65" w:rsidRDefault="00376607" w:rsidP="00376607">
            <w:pPr>
              <w:pStyle w:val="BulletText2"/>
            </w:pPr>
            <w:r w:rsidRPr="00BB1E65">
              <w:t>sends a copy of the opinion when it is available.</w:t>
            </w:r>
          </w:p>
          <w:p w14:paraId="15A8A1A7" w14:textId="77777777" w:rsidR="00376607" w:rsidRPr="00BB1E65" w:rsidRDefault="00376607" w:rsidP="00376607">
            <w:pPr>
              <w:pStyle w:val="BulletText1"/>
            </w:pPr>
            <w:r w:rsidRPr="00BB1E65">
              <w:t xml:space="preserve">If </w:t>
            </w:r>
            <w:r w:rsidRPr="00BB1E65">
              <w:rPr>
                <w:i/>
                <w:iCs/>
              </w:rPr>
              <w:t>no</w:t>
            </w:r>
            <w:r w:rsidRPr="00BB1E65">
              <w:t>, denies the request.</w:t>
            </w:r>
          </w:p>
          <w:p w14:paraId="014E47EF" w14:textId="77777777" w:rsidR="00376607" w:rsidRPr="00BB1E65" w:rsidRDefault="00376607" w:rsidP="00376607">
            <w:pPr>
              <w:pStyle w:val="TableText"/>
            </w:pPr>
          </w:p>
          <w:p w14:paraId="180F02FD" w14:textId="332A3B25" w:rsidR="00376607" w:rsidRPr="00BB1E65" w:rsidRDefault="00376607" w:rsidP="00376607">
            <w:pPr>
              <w:pStyle w:val="TableText"/>
            </w:pPr>
            <w:r w:rsidRPr="00BB1E65">
              <w:rPr>
                <w:b/>
                <w:bCs/>
                <w:i/>
                <w:iCs/>
              </w:rPr>
              <w:t>Important</w:t>
            </w:r>
            <w:r w:rsidRPr="00BB1E65">
              <w:t>:  This determination may be contested as part of an appeal on the primary issue under consideration.</w:t>
            </w:r>
          </w:p>
        </w:tc>
      </w:tr>
    </w:tbl>
    <w:p w14:paraId="29B86B6D" w14:textId="7D12D47A" w:rsidR="00121758" w:rsidRPr="00BB1E65" w:rsidRDefault="00376607" w:rsidP="00DC6C05">
      <w:pPr>
        <w:tabs>
          <w:tab w:val="left" w:pos="9360"/>
        </w:tabs>
        <w:ind w:left="1714"/>
      </w:pPr>
      <w:r w:rsidRPr="00BB1E65">
        <w:rPr>
          <w:u w:val="single"/>
        </w:rPr>
        <w:lastRenderedPageBreak/>
        <w:tab/>
      </w:r>
    </w:p>
    <w:p w14:paraId="29864E03" w14:textId="77777777" w:rsidR="00795689" w:rsidRPr="00BB1E65" w:rsidRDefault="00795689" w:rsidP="00133EBE">
      <w:pPr>
        <w:pStyle w:val="Heading4"/>
      </w:pPr>
      <w:bookmarkStart w:id="12" w:name="_8.__Aid"/>
      <w:bookmarkEnd w:id="12"/>
    </w:p>
    <w:p w14:paraId="627DCAC4" w14:textId="77777777" w:rsidR="00161C63" w:rsidRPr="00BB1E65" w:rsidRDefault="00161C63">
      <w:pPr>
        <w:rPr>
          <w:rFonts w:ascii="Arial" w:hAnsi="Arial" w:cs="Arial"/>
          <w:b/>
          <w:bCs/>
          <w:sz w:val="32"/>
          <w:szCs w:val="32"/>
        </w:rPr>
      </w:pPr>
      <w:r w:rsidRPr="00BB1E65">
        <w:br w:type="page"/>
      </w:r>
    </w:p>
    <w:p w14:paraId="730CFCE7" w14:textId="3ACCEBC5" w:rsidR="00133EBE" w:rsidRPr="00BB1E65" w:rsidRDefault="00A17A25" w:rsidP="00133EBE">
      <w:pPr>
        <w:pStyle w:val="Heading4"/>
      </w:pPr>
      <w:r w:rsidRPr="00BB1E65">
        <w:lastRenderedPageBreak/>
        <w:t>8.</w:t>
      </w:r>
      <w:r w:rsidR="00133EBE" w:rsidRPr="00BB1E65">
        <w:t xml:space="preserve">  A&amp;A and Housebound Examinations</w:t>
      </w:r>
    </w:p>
    <w:p w14:paraId="544F1C42" w14:textId="77777777" w:rsidR="00133EBE" w:rsidRPr="00BB1E65" w:rsidRDefault="00133EBE" w:rsidP="00133EBE">
      <w:pPr>
        <w:pStyle w:val="BlockLine"/>
      </w:pPr>
      <w:r w:rsidRPr="00BB1E65">
        <w:fldChar w:fldCharType="begin"/>
      </w:r>
      <w:r w:rsidRPr="00BB1E65">
        <w:instrText xml:space="preserve"> PRIVATE INFOTYPE="OTHER"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3EBE" w:rsidRPr="00BB1E65" w14:paraId="0A035953" w14:textId="77777777" w:rsidTr="00FB1164">
        <w:trPr>
          <w:cantSplit/>
        </w:trPr>
        <w:tc>
          <w:tcPr>
            <w:tcW w:w="1728" w:type="dxa"/>
            <w:tcBorders>
              <w:top w:val="nil"/>
              <w:left w:val="nil"/>
              <w:bottom w:val="nil"/>
              <w:right w:val="nil"/>
            </w:tcBorders>
          </w:tcPr>
          <w:p w14:paraId="79FBF0DB" w14:textId="77777777" w:rsidR="00133EBE" w:rsidRPr="00BB1E65" w:rsidRDefault="00133EBE" w:rsidP="00FB1164">
            <w:pPr>
              <w:pStyle w:val="Heading5"/>
            </w:pPr>
            <w:r w:rsidRPr="00BB1E65">
              <w:t>Introduction</w:t>
            </w:r>
          </w:p>
        </w:tc>
        <w:tc>
          <w:tcPr>
            <w:tcW w:w="7740" w:type="dxa"/>
            <w:tcBorders>
              <w:top w:val="nil"/>
              <w:left w:val="nil"/>
              <w:bottom w:val="nil"/>
              <w:right w:val="nil"/>
            </w:tcBorders>
          </w:tcPr>
          <w:p w14:paraId="5153FC71" w14:textId="77777777" w:rsidR="00133EBE" w:rsidRPr="00BB1E65" w:rsidRDefault="00133EBE" w:rsidP="00FB1164">
            <w:pPr>
              <w:pStyle w:val="BlockText"/>
            </w:pPr>
            <w:r w:rsidRPr="00BB1E65">
              <w:t>This topic contains information about A&amp;A and Housebound examinations, including</w:t>
            </w:r>
          </w:p>
          <w:p w14:paraId="1E0850B2" w14:textId="77777777" w:rsidR="00133EBE" w:rsidRPr="00BB1E65" w:rsidRDefault="00133EBE" w:rsidP="00FB1164">
            <w:pPr>
              <w:pStyle w:val="BlockText"/>
            </w:pPr>
          </w:p>
          <w:p w14:paraId="400C87BE" w14:textId="77777777" w:rsidR="00133EBE" w:rsidRPr="00BB1E65" w:rsidRDefault="00133EBE" w:rsidP="00FB1164">
            <w:pPr>
              <w:pStyle w:val="BulletText1"/>
            </w:pPr>
            <w:r w:rsidRPr="00BB1E65">
              <w:t>purpose of an A&amp;A and Housebound examination</w:t>
            </w:r>
          </w:p>
          <w:p w14:paraId="3BC05E03" w14:textId="77777777" w:rsidR="00133EBE" w:rsidRPr="00BB1E65" w:rsidRDefault="00133EBE" w:rsidP="00FB1164">
            <w:pPr>
              <w:pStyle w:val="BulletText1"/>
            </w:pPr>
            <w:r w:rsidRPr="00BB1E65">
              <w:t>when an A&amp;A and Housebound examination may be useful</w:t>
            </w:r>
          </w:p>
          <w:p w14:paraId="5DE378B2" w14:textId="77777777" w:rsidR="00133EBE" w:rsidRPr="00BB1E65" w:rsidRDefault="00133EBE" w:rsidP="00FB1164">
            <w:pPr>
              <w:pStyle w:val="BulletText1"/>
            </w:pPr>
            <w:r w:rsidRPr="00BB1E65">
              <w:t>requesting an A&amp;A and Housebound examination, and</w:t>
            </w:r>
          </w:p>
          <w:p w14:paraId="7A9A3C2C" w14:textId="77777777" w:rsidR="00133EBE" w:rsidRPr="00BB1E65" w:rsidRDefault="00133EBE" w:rsidP="00FB1164">
            <w:pPr>
              <w:pStyle w:val="BulletText1"/>
            </w:pPr>
            <w:r w:rsidRPr="00BB1E65">
              <w:t>locally devised checklists.</w:t>
            </w:r>
          </w:p>
        </w:tc>
      </w:tr>
    </w:tbl>
    <w:p w14:paraId="3D8689DD" w14:textId="77777777" w:rsidR="00133EBE" w:rsidRPr="00BB1E65" w:rsidRDefault="00133EBE" w:rsidP="00133EBE">
      <w:pPr>
        <w:pStyle w:val="BlockLine"/>
      </w:pPr>
    </w:p>
    <w:tbl>
      <w:tblPr>
        <w:tblW w:w="0" w:type="auto"/>
        <w:tblInd w:w="-106" w:type="dxa"/>
        <w:tblLayout w:type="fixed"/>
        <w:tblLook w:val="0000" w:firstRow="0" w:lastRow="0" w:firstColumn="0" w:lastColumn="0" w:noHBand="0" w:noVBand="0"/>
      </w:tblPr>
      <w:tblGrid>
        <w:gridCol w:w="1728"/>
        <w:gridCol w:w="7740"/>
      </w:tblGrid>
      <w:tr w:rsidR="00133EBE" w:rsidRPr="00BB1E65" w14:paraId="074E6D76" w14:textId="77777777" w:rsidTr="00FB1164">
        <w:trPr>
          <w:cantSplit/>
        </w:trPr>
        <w:tc>
          <w:tcPr>
            <w:tcW w:w="1728" w:type="dxa"/>
            <w:tcBorders>
              <w:top w:val="nil"/>
              <w:left w:val="nil"/>
              <w:bottom w:val="nil"/>
              <w:right w:val="nil"/>
            </w:tcBorders>
          </w:tcPr>
          <w:p w14:paraId="6D63AC6A" w14:textId="77777777" w:rsidR="00133EBE" w:rsidRPr="00BB1E65" w:rsidRDefault="00133EBE" w:rsidP="00FB1164">
            <w:pPr>
              <w:pStyle w:val="Heading5"/>
            </w:pPr>
            <w:r w:rsidRPr="00BB1E65">
              <w:t>Change Date</w:t>
            </w:r>
          </w:p>
        </w:tc>
        <w:tc>
          <w:tcPr>
            <w:tcW w:w="7740" w:type="dxa"/>
            <w:tcBorders>
              <w:top w:val="nil"/>
              <w:left w:val="nil"/>
              <w:bottom w:val="nil"/>
              <w:right w:val="nil"/>
            </w:tcBorders>
          </w:tcPr>
          <w:p w14:paraId="23DA4323" w14:textId="4AF9DF40" w:rsidR="00133EBE" w:rsidRPr="00BB1E65" w:rsidRDefault="00892D5C" w:rsidP="00FB1164">
            <w:pPr>
              <w:pStyle w:val="BlockText"/>
            </w:pPr>
            <w:r w:rsidRPr="00BB1E65">
              <w:t>July 30, 2015</w:t>
            </w:r>
          </w:p>
        </w:tc>
      </w:tr>
    </w:tbl>
    <w:p w14:paraId="66C9EFE0" w14:textId="77777777" w:rsidR="00133EBE" w:rsidRPr="00BB1E65" w:rsidRDefault="00133EBE" w:rsidP="00133EBE">
      <w:pPr>
        <w:pStyle w:val="BlockLine"/>
      </w:pPr>
      <w:r w:rsidRPr="00BB1E65">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3EBE" w:rsidRPr="00BB1E65" w14:paraId="655E85F7" w14:textId="77777777" w:rsidTr="00FB1164">
        <w:trPr>
          <w:cantSplit/>
        </w:trPr>
        <w:tc>
          <w:tcPr>
            <w:tcW w:w="1728" w:type="dxa"/>
            <w:tcBorders>
              <w:top w:val="nil"/>
              <w:left w:val="nil"/>
              <w:bottom w:val="nil"/>
              <w:right w:val="nil"/>
            </w:tcBorders>
          </w:tcPr>
          <w:p w14:paraId="6C04646D" w14:textId="77777777" w:rsidR="00133EBE" w:rsidRPr="00BB1E65" w:rsidRDefault="00133EBE" w:rsidP="00FB1164">
            <w:pPr>
              <w:pStyle w:val="Heading5"/>
            </w:pPr>
            <w:r w:rsidRPr="00BB1E65">
              <w:t>a.  Purpose of an A&amp;A and Housebound Examination</w:t>
            </w:r>
          </w:p>
        </w:tc>
        <w:tc>
          <w:tcPr>
            <w:tcW w:w="7740" w:type="dxa"/>
            <w:tcBorders>
              <w:top w:val="nil"/>
              <w:left w:val="nil"/>
              <w:bottom w:val="nil"/>
              <w:right w:val="nil"/>
            </w:tcBorders>
          </w:tcPr>
          <w:p w14:paraId="7F8D93B1" w14:textId="77777777" w:rsidR="00133EBE" w:rsidRPr="00BB1E65" w:rsidRDefault="00133EBE" w:rsidP="00FB1164">
            <w:pPr>
              <w:pStyle w:val="BlockText"/>
            </w:pPr>
            <w:r w:rsidRPr="00BB1E65">
              <w:t>The Aid and Attendance (A&amp;A) and Housebound examination is designed to</w:t>
            </w:r>
          </w:p>
          <w:p w14:paraId="7567F54B" w14:textId="77777777" w:rsidR="00133EBE" w:rsidRPr="00BB1E65" w:rsidRDefault="00133EBE" w:rsidP="00FB1164">
            <w:pPr>
              <w:pStyle w:val="BlockText"/>
            </w:pPr>
          </w:p>
          <w:p w14:paraId="303A3229" w14:textId="42E0E0A9" w:rsidR="00133EBE" w:rsidRPr="00BB1E65" w:rsidRDefault="00133EBE" w:rsidP="00FB1164">
            <w:pPr>
              <w:pStyle w:val="BulletText1"/>
            </w:pPr>
            <w:r w:rsidRPr="00BB1E65">
              <w:t xml:space="preserve">pinpoint findings relevant to </w:t>
            </w:r>
            <w:r w:rsidR="002D0488" w:rsidRPr="00BB1E65">
              <w:t>A&amp;A</w:t>
            </w:r>
            <w:r w:rsidRPr="00BB1E65">
              <w:t xml:space="preserve"> determinations under </w:t>
            </w:r>
            <w:hyperlink r:id="rId70" w:history="1">
              <w:r w:rsidRPr="00BB1E65">
                <w:rPr>
                  <w:rStyle w:val="Hyperlink"/>
                </w:rPr>
                <w:t>38 CFR 3.351</w:t>
              </w:r>
            </w:hyperlink>
            <w:r w:rsidRPr="00BB1E65">
              <w:t xml:space="preserve"> and </w:t>
            </w:r>
            <w:hyperlink r:id="rId71" w:history="1">
              <w:r w:rsidRPr="00BB1E65">
                <w:rPr>
                  <w:rStyle w:val="Hyperlink"/>
                </w:rPr>
                <w:t>38 CFR 3.352</w:t>
              </w:r>
            </w:hyperlink>
            <w:r w:rsidRPr="00BB1E65">
              <w:t>, and</w:t>
            </w:r>
          </w:p>
          <w:p w14:paraId="43A328BC" w14:textId="77777777" w:rsidR="00133EBE" w:rsidRPr="00BB1E65" w:rsidRDefault="00133EBE" w:rsidP="00FB1164">
            <w:pPr>
              <w:pStyle w:val="BulletText1"/>
            </w:pPr>
            <w:r w:rsidRPr="00BB1E65">
              <w:t>provide a basis for determining if the Housebound benefit may be paid if need for A&amp;A is not shown.</w:t>
            </w:r>
          </w:p>
        </w:tc>
      </w:tr>
    </w:tbl>
    <w:p w14:paraId="7646547B" w14:textId="77777777" w:rsidR="00133EBE" w:rsidRPr="00BB1E65" w:rsidRDefault="00133EBE" w:rsidP="00133EBE">
      <w:pPr>
        <w:pStyle w:val="BlockLine"/>
      </w:pPr>
      <w:r w:rsidRPr="00BB1E65">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3EBE" w:rsidRPr="00BB1E65" w14:paraId="5186D99B" w14:textId="77777777" w:rsidTr="00FB1164">
        <w:trPr>
          <w:cantSplit/>
        </w:trPr>
        <w:tc>
          <w:tcPr>
            <w:tcW w:w="1728" w:type="dxa"/>
            <w:tcBorders>
              <w:top w:val="nil"/>
              <w:left w:val="nil"/>
              <w:bottom w:val="nil"/>
              <w:right w:val="nil"/>
            </w:tcBorders>
          </w:tcPr>
          <w:p w14:paraId="0323E747" w14:textId="77777777" w:rsidR="00133EBE" w:rsidRPr="00BB1E65" w:rsidRDefault="00133EBE" w:rsidP="00FB1164">
            <w:pPr>
              <w:pStyle w:val="Heading5"/>
            </w:pPr>
            <w:r w:rsidRPr="00BB1E65">
              <w:t>b.  When an A&amp;A and Housebound Examination May Be Useful</w:t>
            </w:r>
          </w:p>
        </w:tc>
        <w:tc>
          <w:tcPr>
            <w:tcW w:w="7740" w:type="dxa"/>
            <w:tcBorders>
              <w:top w:val="nil"/>
              <w:left w:val="nil"/>
              <w:bottom w:val="nil"/>
              <w:right w:val="nil"/>
            </w:tcBorders>
          </w:tcPr>
          <w:p w14:paraId="391ABB0E" w14:textId="48178358" w:rsidR="00133EBE" w:rsidRPr="00BB1E65" w:rsidRDefault="00133EBE" w:rsidP="00FB1164">
            <w:pPr>
              <w:pStyle w:val="BlockText"/>
            </w:pPr>
            <w:r w:rsidRPr="00BB1E65">
              <w:t>It may be useful to request an A&amp;A and Housebound examination before a final determination is made, especially if the evidence of record demonstrates a reasonable probability of entitlement to A&amp;A or Housebound benefits but is not sufficient to allow the benefit.</w:t>
            </w:r>
          </w:p>
        </w:tc>
      </w:tr>
    </w:tbl>
    <w:p w14:paraId="3D570120" w14:textId="77777777" w:rsidR="00133EBE" w:rsidRPr="00BB1E65" w:rsidRDefault="00133EBE" w:rsidP="00133EBE">
      <w:pPr>
        <w:pStyle w:val="BlockLine"/>
      </w:pPr>
      <w:r w:rsidRPr="00BB1E65">
        <w:fldChar w:fldCharType="begin"/>
      </w:r>
      <w:r w:rsidRPr="00BB1E65">
        <w:instrText xml:space="preserve"> PRIVATE INFOTYPE="PROCEDURE"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3EBE" w:rsidRPr="00BB1E65" w14:paraId="00BBBA3B" w14:textId="77777777" w:rsidTr="00FB1164">
        <w:trPr>
          <w:cantSplit/>
        </w:trPr>
        <w:tc>
          <w:tcPr>
            <w:tcW w:w="1728" w:type="dxa"/>
            <w:tcBorders>
              <w:top w:val="nil"/>
              <w:left w:val="nil"/>
              <w:bottom w:val="nil"/>
              <w:right w:val="nil"/>
            </w:tcBorders>
          </w:tcPr>
          <w:p w14:paraId="4DD2FF17" w14:textId="77777777" w:rsidR="00133EBE" w:rsidRPr="00BB1E65" w:rsidRDefault="00133EBE" w:rsidP="00FB1164">
            <w:pPr>
              <w:pStyle w:val="Heading5"/>
            </w:pPr>
            <w:r w:rsidRPr="00BB1E65">
              <w:t>c.  Requesting an A&amp;A and Housebound Examination</w:t>
            </w:r>
          </w:p>
        </w:tc>
        <w:tc>
          <w:tcPr>
            <w:tcW w:w="7740" w:type="dxa"/>
            <w:tcBorders>
              <w:top w:val="nil"/>
              <w:left w:val="nil"/>
              <w:bottom w:val="nil"/>
              <w:right w:val="nil"/>
            </w:tcBorders>
          </w:tcPr>
          <w:p w14:paraId="6647E2CC" w14:textId="77777777" w:rsidR="00200E27" w:rsidRPr="00BB1E65" w:rsidRDefault="00133EBE" w:rsidP="00200E27">
            <w:pPr>
              <w:pStyle w:val="BlockText"/>
            </w:pPr>
            <w:r w:rsidRPr="00BB1E65">
              <w:t xml:space="preserve">When </w:t>
            </w:r>
            <w:r w:rsidR="00111CE5" w:rsidRPr="00BB1E65">
              <w:t>requesting an</w:t>
            </w:r>
            <w:r w:rsidRPr="00BB1E65">
              <w:t xml:space="preserve"> A&amp;A and Housebound examination</w:t>
            </w:r>
          </w:p>
          <w:p w14:paraId="6B685E55" w14:textId="77777777" w:rsidR="00200E27" w:rsidRPr="00BB1E65" w:rsidRDefault="00200E27" w:rsidP="00200E27">
            <w:pPr>
              <w:pStyle w:val="BlockText"/>
            </w:pPr>
          </w:p>
          <w:p w14:paraId="79262293" w14:textId="32DFF247" w:rsidR="00200E27" w:rsidRPr="00BB1E65" w:rsidRDefault="00111CE5" w:rsidP="00661A60">
            <w:pPr>
              <w:pStyle w:val="ListParagraph"/>
              <w:numPr>
                <w:ilvl w:val="0"/>
                <w:numId w:val="50"/>
              </w:numPr>
              <w:ind w:left="158" w:hanging="187"/>
            </w:pPr>
            <w:r w:rsidRPr="00BB1E65">
              <w:t>select the</w:t>
            </w:r>
            <w:r w:rsidR="00133EBE" w:rsidRPr="00BB1E65">
              <w:t xml:space="preserve"> A&amp;A and Housebound examination</w:t>
            </w:r>
            <w:r w:rsidRPr="00BB1E65">
              <w:t xml:space="preserve"> field in either CAPRI or CAATS</w:t>
            </w:r>
            <w:r w:rsidR="00200E27" w:rsidRPr="00BB1E65">
              <w:t xml:space="preserve">, </w:t>
            </w:r>
            <w:r w:rsidR="00036F6A" w:rsidRPr="00BB1E65">
              <w:t>and</w:t>
            </w:r>
          </w:p>
          <w:p w14:paraId="055050AA" w14:textId="4916998A" w:rsidR="00133EBE" w:rsidRPr="00BB1E65" w:rsidRDefault="00200E27" w:rsidP="00661A60">
            <w:pPr>
              <w:pStyle w:val="ListParagraph"/>
              <w:numPr>
                <w:ilvl w:val="0"/>
                <w:numId w:val="50"/>
              </w:numPr>
              <w:ind w:left="158" w:hanging="187"/>
            </w:pPr>
            <w:r w:rsidRPr="00BB1E65">
              <w:t>ensure any relevant information for the examiner is placed in the REMARKS field</w:t>
            </w:r>
            <w:r w:rsidR="00133EBE" w:rsidRPr="00BB1E65">
              <w:t>.</w:t>
            </w:r>
            <w:r w:rsidR="00AC7CA7" w:rsidRPr="00BB1E65">
              <w:t xml:space="preserve"> </w:t>
            </w:r>
          </w:p>
          <w:p w14:paraId="75333F1B" w14:textId="77777777" w:rsidR="00200E27" w:rsidRPr="00BB1E65" w:rsidRDefault="00200E27" w:rsidP="00200E27">
            <w:pPr>
              <w:pStyle w:val="BlockText"/>
            </w:pPr>
          </w:p>
          <w:p w14:paraId="1E6210CF" w14:textId="73AC1290" w:rsidR="00200E27" w:rsidRPr="00BB1E65" w:rsidRDefault="00200E27" w:rsidP="00200E27">
            <w:pPr>
              <w:pStyle w:val="BlockText"/>
            </w:pPr>
            <w:r w:rsidRPr="00BB1E65">
              <w:rPr>
                <w:b/>
                <w:bCs/>
                <w:i/>
                <w:iCs/>
              </w:rPr>
              <w:t>Note</w:t>
            </w:r>
            <w:r w:rsidRPr="00BB1E65">
              <w:t xml:space="preserve">: </w:t>
            </w:r>
            <w:r w:rsidR="00BC194D" w:rsidRPr="00BB1E65">
              <w:t xml:space="preserve"> </w:t>
            </w:r>
            <w:r w:rsidRPr="00BB1E65">
              <w:t>A DBQ does not exist at this time for A&amp;A and Housebound examinations.</w:t>
            </w:r>
          </w:p>
          <w:p w14:paraId="332BA8E5" w14:textId="77777777" w:rsidR="00036F6A" w:rsidRPr="00BB1E65" w:rsidRDefault="00036F6A" w:rsidP="00200E27">
            <w:pPr>
              <w:pStyle w:val="BlockText"/>
            </w:pPr>
          </w:p>
          <w:p w14:paraId="329106B9" w14:textId="43B20F6C" w:rsidR="00036F6A" w:rsidRPr="00BB1E65" w:rsidRDefault="00036F6A" w:rsidP="00036F6A">
            <w:pPr>
              <w:pStyle w:val="BlockText"/>
            </w:pPr>
            <w:r w:rsidRPr="00BB1E65">
              <w:rPr>
                <w:b/>
                <w:i/>
              </w:rPr>
              <w:t>Reference</w:t>
            </w:r>
            <w:r w:rsidRPr="00BB1E65">
              <w:t>:  For more information on developing for A&amp;A and housebound status, see M21-1, Part V, Subpart iii, 2.A.3.</w:t>
            </w:r>
          </w:p>
        </w:tc>
      </w:tr>
    </w:tbl>
    <w:p w14:paraId="27AF1C2F" w14:textId="7146ABF4" w:rsidR="00AC7CA7" w:rsidRPr="00BB1E65" w:rsidRDefault="00AC7CA7" w:rsidP="00AC7CA7">
      <w:pPr>
        <w:tabs>
          <w:tab w:val="left" w:pos="9360"/>
        </w:tabs>
        <w:ind w:left="1714"/>
      </w:pPr>
      <w:r w:rsidRPr="00BB1E65">
        <w:rPr>
          <w:u w:val="single"/>
        </w:rPr>
        <w:tab/>
      </w:r>
    </w:p>
    <w:p w14:paraId="371D6D31" w14:textId="77777777" w:rsidR="00AC7CA7" w:rsidRPr="00BB1E65" w:rsidRDefault="00AC7CA7" w:rsidP="00AC7CA7">
      <w:pPr>
        <w:ind w:left="1714"/>
      </w:pPr>
    </w:p>
    <w:tbl>
      <w:tblPr>
        <w:tblW w:w="0" w:type="auto"/>
        <w:tblInd w:w="-106" w:type="dxa"/>
        <w:tblLayout w:type="fixed"/>
        <w:tblLook w:val="0000" w:firstRow="0" w:lastRow="0" w:firstColumn="0" w:lastColumn="0" w:noHBand="0" w:noVBand="0"/>
      </w:tblPr>
      <w:tblGrid>
        <w:gridCol w:w="1728"/>
        <w:gridCol w:w="7740"/>
      </w:tblGrid>
      <w:tr w:rsidR="00133EBE" w:rsidRPr="00BB1E65" w14:paraId="5E7A4362" w14:textId="77777777" w:rsidTr="002A155E">
        <w:tc>
          <w:tcPr>
            <w:tcW w:w="1728" w:type="dxa"/>
            <w:tcBorders>
              <w:top w:val="nil"/>
              <w:left w:val="nil"/>
              <w:bottom w:val="nil"/>
              <w:right w:val="nil"/>
            </w:tcBorders>
          </w:tcPr>
          <w:p w14:paraId="17B15740" w14:textId="77777777" w:rsidR="00133EBE" w:rsidRPr="00BB1E65" w:rsidRDefault="00133EBE" w:rsidP="00FB1164">
            <w:pPr>
              <w:pStyle w:val="Heading5"/>
            </w:pPr>
            <w:r w:rsidRPr="00BB1E65">
              <w:t>d.  Locally Devised Checklists</w:t>
            </w:r>
          </w:p>
        </w:tc>
        <w:tc>
          <w:tcPr>
            <w:tcW w:w="7740" w:type="dxa"/>
            <w:tcBorders>
              <w:top w:val="nil"/>
              <w:left w:val="nil"/>
              <w:bottom w:val="nil"/>
              <w:right w:val="nil"/>
            </w:tcBorders>
          </w:tcPr>
          <w:p w14:paraId="096CE9DA" w14:textId="77777777" w:rsidR="00133EBE" w:rsidRPr="00BB1E65" w:rsidRDefault="00133EBE" w:rsidP="00FB1164">
            <w:pPr>
              <w:pStyle w:val="BlockText"/>
            </w:pPr>
            <w:r w:rsidRPr="00BB1E65">
              <w:t xml:space="preserve">ROs are not authorized to create local checklists for A&amp;A and/or Housebound Examinations. </w:t>
            </w:r>
          </w:p>
          <w:p w14:paraId="3253FB21" w14:textId="77777777" w:rsidR="00133EBE" w:rsidRPr="00BB1E65" w:rsidRDefault="00133EBE" w:rsidP="00FB1164">
            <w:pPr>
              <w:pStyle w:val="BlockText"/>
            </w:pPr>
          </w:p>
          <w:p w14:paraId="5AD5FDE6" w14:textId="77777777" w:rsidR="00133EBE" w:rsidRPr="00BB1E65" w:rsidRDefault="00133EBE" w:rsidP="00FB1164">
            <w:pPr>
              <w:pStyle w:val="BlockText"/>
            </w:pPr>
            <w:r w:rsidRPr="00BB1E65">
              <w:t xml:space="preserve">Checklists created and submitted by individual treatment providers should be evaluated as any other item of evidence.  However, </w:t>
            </w:r>
            <w:r w:rsidRPr="00BB1E65">
              <w:rPr>
                <w:i/>
                <w:iCs/>
              </w:rPr>
              <w:t>Yes</w:t>
            </w:r>
            <w:r w:rsidRPr="00BB1E65">
              <w:t xml:space="preserve"> or </w:t>
            </w:r>
            <w:r w:rsidRPr="00BB1E65">
              <w:rPr>
                <w:i/>
                <w:iCs/>
              </w:rPr>
              <w:t>No</w:t>
            </w:r>
            <w:r w:rsidRPr="00BB1E65">
              <w:t xml:space="preserve"> blocks do not </w:t>
            </w:r>
            <w:r w:rsidRPr="00BB1E65">
              <w:lastRenderedPageBreak/>
              <w:t>provide sufficient descriptive information to assess the extent of a claimant’s incapacitation.</w:t>
            </w:r>
          </w:p>
        </w:tc>
      </w:tr>
    </w:tbl>
    <w:p w14:paraId="1F8ABAA1" w14:textId="782CB1B0" w:rsidR="00121758" w:rsidRPr="00BB1E65" w:rsidRDefault="00CA68FD" w:rsidP="00CA68FD">
      <w:pPr>
        <w:tabs>
          <w:tab w:val="left" w:pos="9360"/>
        </w:tabs>
        <w:ind w:left="1714"/>
      </w:pPr>
      <w:r w:rsidRPr="00BB1E65">
        <w:rPr>
          <w:u w:val="single"/>
        </w:rPr>
        <w:lastRenderedPageBreak/>
        <w:tab/>
      </w:r>
    </w:p>
    <w:p w14:paraId="65A9A472" w14:textId="38169ED4" w:rsidR="00CA68FD" w:rsidRPr="00BB1E65" w:rsidRDefault="00CA68FD" w:rsidP="00CA68FD">
      <w:pPr>
        <w:ind w:left="1714"/>
      </w:pPr>
    </w:p>
    <w:p w14:paraId="56D7F6B1" w14:textId="77777777" w:rsidR="00CA68FD" w:rsidRPr="00BB1E65" w:rsidRDefault="00CA68FD" w:rsidP="00D05880"/>
    <w:p w14:paraId="75CDDC62" w14:textId="77777777" w:rsidR="00E91F31" w:rsidRPr="00BB1E65" w:rsidRDefault="00E91F31">
      <w:pPr>
        <w:rPr>
          <w:rFonts w:ascii="Arial" w:hAnsi="Arial" w:cs="Arial"/>
          <w:b/>
          <w:bCs/>
          <w:sz w:val="32"/>
          <w:szCs w:val="32"/>
        </w:rPr>
      </w:pPr>
      <w:r w:rsidRPr="00BB1E65">
        <w:br w:type="page"/>
      </w:r>
    </w:p>
    <w:p w14:paraId="740F4BC6" w14:textId="030D236B" w:rsidR="003659F4" w:rsidRPr="00BB1E65" w:rsidRDefault="007D015E" w:rsidP="003659F4">
      <w:pPr>
        <w:pStyle w:val="Heading4"/>
      </w:pPr>
      <w:bookmarkStart w:id="13" w:name="_9.__Other"/>
      <w:bookmarkEnd w:id="13"/>
      <w:r w:rsidRPr="00BB1E65">
        <w:lastRenderedPageBreak/>
        <w:t>9</w:t>
      </w:r>
      <w:r w:rsidR="003659F4" w:rsidRPr="00BB1E65">
        <w:t xml:space="preserve">.  </w:t>
      </w:r>
      <w:r w:rsidR="00675099" w:rsidRPr="00BB1E65">
        <w:t xml:space="preserve">Special Issue Claims and </w:t>
      </w:r>
      <w:r w:rsidR="003659F4" w:rsidRPr="00BB1E65">
        <w:t>Other Types of Examination Requests</w:t>
      </w:r>
    </w:p>
    <w:p w14:paraId="09DADF39" w14:textId="77777777" w:rsidR="003659F4" w:rsidRPr="00BB1E65" w:rsidRDefault="003659F4" w:rsidP="003659F4">
      <w:pPr>
        <w:pStyle w:val="BlockLine"/>
      </w:pPr>
      <w:r w:rsidRPr="00BB1E65">
        <w:fldChar w:fldCharType="begin"/>
      </w:r>
      <w:r w:rsidRPr="00BB1E65">
        <w:instrText xml:space="preserve"> PRIVATE INFOTYPE="OTHER"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3659F4" w:rsidRPr="00BB1E65" w14:paraId="45EAB9CE" w14:textId="77777777" w:rsidTr="00FB1164">
        <w:trPr>
          <w:cantSplit/>
        </w:trPr>
        <w:tc>
          <w:tcPr>
            <w:tcW w:w="1728" w:type="dxa"/>
            <w:tcBorders>
              <w:top w:val="nil"/>
              <w:left w:val="nil"/>
              <w:bottom w:val="nil"/>
              <w:right w:val="nil"/>
            </w:tcBorders>
          </w:tcPr>
          <w:p w14:paraId="2CB23D96" w14:textId="77777777" w:rsidR="003659F4" w:rsidRPr="00BB1E65" w:rsidRDefault="003659F4" w:rsidP="00FB1164">
            <w:pPr>
              <w:pStyle w:val="Heading5"/>
            </w:pPr>
            <w:r w:rsidRPr="00BB1E65">
              <w:t>Introduction</w:t>
            </w:r>
          </w:p>
        </w:tc>
        <w:tc>
          <w:tcPr>
            <w:tcW w:w="7740" w:type="dxa"/>
            <w:tcBorders>
              <w:top w:val="nil"/>
              <w:left w:val="nil"/>
              <w:bottom w:val="nil"/>
              <w:right w:val="nil"/>
            </w:tcBorders>
          </w:tcPr>
          <w:p w14:paraId="4CF17FF4" w14:textId="77777777" w:rsidR="003659F4" w:rsidRPr="00BB1E65" w:rsidRDefault="003659F4" w:rsidP="00FB1164">
            <w:pPr>
              <w:pStyle w:val="BlockText"/>
            </w:pPr>
            <w:r w:rsidRPr="00BB1E65">
              <w:t>This topic contains information about other types of examination requests, including</w:t>
            </w:r>
          </w:p>
          <w:p w14:paraId="49339DA1" w14:textId="77777777" w:rsidR="00C90689" w:rsidRPr="00BB1E65" w:rsidRDefault="00C90689" w:rsidP="00D05880">
            <w:pPr>
              <w:pStyle w:val="BulletText1"/>
              <w:numPr>
                <w:ilvl w:val="0"/>
                <w:numId w:val="0"/>
              </w:numPr>
            </w:pPr>
          </w:p>
          <w:p w14:paraId="48032FC9" w14:textId="77777777" w:rsidR="003659F4" w:rsidRPr="00BB1E65" w:rsidRDefault="003659F4" w:rsidP="00FB1164">
            <w:pPr>
              <w:pStyle w:val="BulletText1"/>
            </w:pPr>
            <w:r w:rsidRPr="00BB1E65">
              <w:t>examinations of non-Veteran claimants and beneficiaries</w:t>
            </w:r>
          </w:p>
          <w:p w14:paraId="3D4D0D5C" w14:textId="77777777" w:rsidR="003659F4" w:rsidRPr="00BB1E65" w:rsidRDefault="003659F4" w:rsidP="00FB1164">
            <w:pPr>
              <w:pStyle w:val="BulletText1"/>
            </w:pPr>
            <w:r w:rsidRPr="00BB1E65">
              <w:t>hospital observation</w:t>
            </w:r>
          </w:p>
          <w:p w14:paraId="50064602" w14:textId="77777777" w:rsidR="003659F4" w:rsidRPr="00BB1E65" w:rsidRDefault="003659F4" w:rsidP="00FB1164">
            <w:pPr>
              <w:pStyle w:val="BulletText1"/>
            </w:pPr>
            <w:r w:rsidRPr="00BB1E65">
              <w:t>field examinations</w:t>
            </w:r>
          </w:p>
          <w:p w14:paraId="1BB88E6D" w14:textId="77777777" w:rsidR="003659F4" w:rsidRPr="00BB1E65" w:rsidRDefault="003659F4" w:rsidP="00FB1164">
            <w:pPr>
              <w:pStyle w:val="BulletText1"/>
            </w:pPr>
            <w:r w:rsidRPr="00BB1E65">
              <w:t>examinations of incarcerated Veterans</w:t>
            </w:r>
          </w:p>
          <w:p w14:paraId="123C9AF5" w14:textId="2A148302" w:rsidR="003659F4" w:rsidRPr="00BB1E65" w:rsidRDefault="00C90689" w:rsidP="00FB1164">
            <w:pPr>
              <w:pStyle w:val="BulletText1"/>
            </w:pPr>
            <w:r w:rsidRPr="00BB1E65">
              <w:t>board examinations</w:t>
            </w:r>
          </w:p>
          <w:p w14:paraId="57E8B7CD" w14:textId="77777777" w:rsidR="003659F4" w:rsidRPr="00BB1E65" w:rsidRDefault="003659F4" w:rsidP="00FB1164">
            <w:pPr>
              <w:pStyle w:val="BulletText1"/>
            </w:pPr>
            <w:r w:rsidRPr="00BB1E65">
              <w:t>reexami</w:t>
            </w:r>
            <w:r w:rsidR="00C90689" w:rsidRPr="00BB1E65">
              <w:t>nations by a different examiner, and</w:t>
            </w:r>
          </w:p>
          <w:p w14:paraId="3A1154B0" w14:textId="2CEDB446" w:rsidR="00370F6C" w:rsidRPr="00BB1E65" w:rsidRDefault="00370F6C" w:rsidP="00FB1164">
            <w:pPr>
              <w:pStyle w:val="BulletText1"/>
            </w:pPr>
            <w:r w:rsidRPr="00BB1E65">
              <w:t>homeless Veterans examination requests</w:t>
            </w:r>
          </w:p>
        </w:tc>
      </w:tr>
    </w:tbl>
    <w:p w14:paraId="58E6F3D1" w14:textId="77777777" w:rsidR="003659F4" w:rsidRPr="00BB1E65" w:rsidRDefault="003659F4" w:rsidP="003659F4">
      <w:pPr>
        <w:pStyle w:val="BlockLine"/>
      </w:pPr>
    </w:p>
    <w:tbl>
      <w:tblPr>
        <w:tblW w:w="0" w:type="auto"/>
        <w:tblInd w:w="-106" w:type="dxa"/>
        <w:tblLayout w:type="fixed"/>
        <w:tblLook w:val="0000" w:firstRow="0" w:lastRow="0" w:firstColumn="0" w:lastColumn="0" w:noHBand="0" w:noVBand="0"/>
      </w:tblPr>
      <w:tblGrid>
        <w:gridCol w:w="1728"/>
        <w:gridCol w:w="7740"/>
      </w:tblGrid>
      <w:tr w:rsidR="003659F4" w:rsidRPr="00BB1E65" w14:paraId="0C67B89C" w14:textId="77777777" w:rsidTr="00FB1164">
        <w:trPr>
          <w:cantSplit/>
        </w:trPr>
        <w:tc>
          <w:tcPr>
            <w:tcW w:w="1728" w:type="dxa"/>
            <w:tcBorders>
              <w:top w:val="nil"/>
              <w:left w:val="nil"/>
              <w:bottom w:val="nil"/>
              <w:right w:val="nil"/>
            </w:tcBorders>
          </w:tcPr>
          <w:p w14:paraId="2F248CEB" w14:textId="77777777" w:rsidR="003659F4" w:rsidRPr="00BB1E65" w:rsidRDefault="003659F4" w:rsidP="00FB1164">
            <w:pPr>
              <w:pStyle w:val="Heading5"/>
            </w:pPr>
            <w:r w:rsidRPr="00BB1E65">
              <w:t>Change Date</w:t>
            </w:r>
          </w:p>
        </w:tc>
        <w:tc>
          <w:tcPr>
            <w:tcW w:w="7740" w:type="dxa"/>
            <w:tcBorders>
              <w:top w:val="nil"/>
              <w:left w:val="nil"/>
              <w:bottom w:val="nil"/>
              <w:right w:val="nil"/>
            </w:tcBorders>
          </w:tcPr>
          <w:p w14:paraId="283ECDBE" w14:textId="025FCA8C" w:rsidR="003659F4" w:rsidRPr="00BB1E65" w:rsidRDefault="00892D5C" w:rsidP="00FB1164">
            <w:pPr>
              <w:pStyle w:val="BlockText"/>
            </w:pPr>
            <w:r w:rsidRPr="00BB1E65">
              <w:t>July 30, 2015</w:t>
            </w:r>
          </w:p>
        </w:tc>
      </w:tr>
    </w:tbl>
    <w:p w14:paraId="0221F033" w14:textId="77777777" w:rsidR="003659F4" w:rsidRPr="00BB1E65" w:rsidRDefault="003659F4" w:rsidP="003659F4">
      <w:pPr>
        <w:pStyle w:val="BlockLine"/>
      </w:pPr>
      <w:r w:rsidRPr="00BB1E65">
        <w:fldChar w:fldCharType="begin"/>
      </w:r>
      <w:r w:rsidRPr="00BB1E65">
        <w:instrText xml:space="preserve"> PRIVATE INFOTYPE="PROCEDURE"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3659F4" w:rsidRPr="00BB1E65" w14:paraId="716E33C5" w14:textId="77777777" w:rsidTr="00FB1164">
        <w:trPr>
          <w:cantSplit/>
        </w:trPr>
        <w:tc>
          <w:tcPr>
            <w:tcW w:w="1728" w:type="dxa"/>
            <w:tcBorders>
              <w:top w:val="nil"/>
              <w:left w:val="nil"/>
              <w:bottom w:val="nil"/>
              <w:right w:val="nil"/>
            </w:tcBorders>
          </w:tcPr>
          <w:p w14:paraId="6B08787E" w14:textId="77777777" w:rsidR="003659F4" w:rsidRPr="00BB1E65" w:rsidRDefault="003659F4" w:rsidP="00FB1164">
            <w:pPr>
              <w:pStyle w:val="Heading5"/>
            </w:pPr>
            <w:r w:rsidRPr="00BB1E65">
              <w:t>a.  Examinations of Non-Veteran Claimants and Beneficiaries</w:t>
            </w:r>
          </w:p>
        </w:tc>
        <w:tc>
          <w:tcPr>
            <w:tcW w:w="7740" w:type="dxa"/>
            <w:tcBorders>
              <w:top w:val="nil"/>
              <w:left w:val="nil"/>
              <w:bottom w:val="nil"/>
              <w:right w:val="nil"/>
            </w:tcBorders>
          </w:tcPr>
          <w:p w14:paraId="3F035ACF" w14:textId="77777777" w:rsidR="003659F4" w:rsidRPr="00BB1E65" w:rsidRDefault="003659F4" w:rsidP="00FB1164">
            <w:pPr>
              <w:pStyle w:val="BlockText"/>
            </w:pPr>
            <w:r w:rsidRPr="00BB1E65">
              <w:t>Schedule examinations of non-Veteran claimants and beneficiaries</w:t>
            </w:r>
          </w:p>
          <w:p w14:paraId="7EBF8A4B" w14:textId="77777777" w:rsidR="003659F4" w:rsidRPr="00BB1E65" w:rsidRDefault="003659F4" w:rsidP="00FB1164">
            <w:pPr>
              <w:pStyle w:val="BlockText"/>
            </w:pPr>
          </w:p>
          <w:p w14:paraId="152949F2" w14:textId="77777777" w:rsidR="003659F4" w:rsidRPr="00BB1E65" w:rsidRDefault="003659F4" w:rsidP="00FB1164">
            <w:pPr>
              <w:pStyle w:val="BulletText1"/>
            </w:pPr>
            <w:r w:rsidRPr="00BB1E65">
              <w:t>only after approval by the VSCM, or</w:t>
            </w:r>
          </w:p>
          <w:p w14:paraId="6C069590" w14:textId="6FF2B3F9" w:rsidR="003659F4" w:rsidRPr="00BB1E65" w:rsidRDefault="003659F4" w:rsidP="00FB1164">
            <w:pPr>
              <w:pStyle w:val="BulletText1"/>
            </w:pPr>
            <w:r w:rsidRPr="00BB1E65">
              <w:t xml:space="preserve">to determine </w:t>
            </w:r>
            <w:r w:rsidR="009B491C" w:rsidRPr="00BB1E65">
              <w:t>if</w:t>
            </w:r>
            <w:r w:rsidRPr="00BB1E65">
              <w:t xml:space="preserve"> a</w:t>
            </w:r>
          </w:p>
          <w:p w14:paraId="53A4AE8C" w14:textId="77777777" w:rsidR="003659F4" w:rsidRPr="00BB1E65" w:rsidRDefault="003659F4" w:rsidP="00FB1164">
            <w:pPr>
              <w:pStyle w:val="BulletText2"/>
            </w:pPr>
            <w:r w:rsidRPr="00BB1E65">
              <w:t>claimant is entitled to A&amp;A or Housebound benefits</w:t>
            </w:r>
          </w:p>
          <w:p w14:paraId="63B22ECA" w14:textId="3581963E" w:rsidR="00FD75FC" w:rsidRPr="00BB1E65" w:rsidRDefault="009B491C" w:rsidP="00FB1164">
            <w:pPr>
              <w:pStyle w:val="BulletText2"/>
            </w:pPr>
            <w:r w:rsidRPr="00BB1E65">
              <w:t>Chapter 18 birth defect diagnosis exists</w:t>
            </w:r>
          </w:p>
          <w:p w14:paraId="6FC906A6" w14:textId="77777777" w:rsidR="003659F4" w:rsidRPr="00BB1E65" w:rsidRDefault="003659F4" w:rsidP="00FB1164">
            <w:pPr>
              <w:pStyle w:val="BulletText2"/>
            </w:pPr>
            <w:r w:rsidRPr="00BB1E65">
              <w:t>claimant was insane at the time he/she caused the death of the Veteran</w:t>
            </w:r>
          </w:p>
          <w:p w14:paraId="0E110DB0" w14:textId="77777777" w:rsidR="003659F4" w:rsidRPr="00BB1E65" w:rsidRDefault="003659F4" w:rsidP="00FB1164">
            <w:pPr>
              <w:pStyle w:val="BulletText2"/>
            </w:pPr>
            <w:r w:rsidRPr="00BB1E65">
              <w:t>child claimant is helpless and/or incompetent, and/or</w:t>
            </w:r>
          </w:p>
          <w:p w14:paraId="3F46C452" w14:textId="77777777" w:rsidR="003659F4" w:rsidRPr="00BB1E65" w:rsidRDefault="003659F4" w:rsidP="00FB1164">
            <w:pPr>
              <w:pStyle w:val="BulletText2"/>
            </w:pPr>
            <w:r w:rsidRPr="00BB1E65">
              <w:t>beneficiary is competent to handle his/her funds.</w:t>
            </w:r>
          </w:p>
          <w:p w14:paraId="18E65E26" w14:textId="77777777" w:rsidR="003659F4" w:rsidRPr="00BB1E65" w:rsidRDefault="003659F4" w:rsidP="00FB1164">
            <w:pPr>
              <w:pStyle w:val="BlockText"/>
            </w:pPr>
          </w:p>
          <w:p w14:paraId="113D3F5B" w14:textId="2B1C147E" w:rsidR="00FD75FC" w:rsidRPr="00BB1E65" w:rsidRDefault="003659F4" w:rsidP="00FB1164">
            <w:pPr>
              <w:pStyle w:val="BlockText"/>
            </w:pPr>
            <w:r w:rsidRPr="00BB1E65">
              <w:rPr>
                <w:b/>
                <w:bCs/>
                <w:i/>
                <w:iCs/>
              </w:rPr>
              <w:t>Reference</w:t>
            </w:r>
            <w:r w:rsidR="00161C63" w:rsidRPr="00BB1E65">
              <w:rPr>
                <w:b/>
                <w:bCs/>
                <w:i/>
                <w:iCs/>
              </w:rPr>
              <w:t>s</w:t>
            </w:r>
            <w:r w:rsidRPr="00BB1E65">
              <w:t xml:space="preserve">:  For more information on </w:t>
            </w:r>
          </w:p>
          <w:p w14:paraId="4011A7A8" w14:textId="4A3C266C" w:rsidR="00FD75FC" w:rsidRPr="00BB1E65" w:rsidRDefault="009B491C" w:rsidP="00661A60">
            <w:pPr>
              <w:pStyle w:val="ListParagraph"/>
              <w:numPr>
                <w:ilvl w:val="0"/>
                <w:numId w:val="26"/>
              </w:numPr>
              <w:ind w:left="158" w:hanging="187"/>
            </w:pPr>
            <w:r w:rsidRPr="00BB1E65">
              <w:t>Chapter 18 birth defects eligibility and development</w:t>
            </w:r>
            <w:r w:rsidR="00FD75FC" w:rsidRPr="00BB1E65">
              <w:t>, see M21-1, Part VI, 2</w:t>
            </w:r>
            <w:r w:rsidR="00114A7E" w:rsidRPr="00BB1E65">
              <w:t>.</w:t>
            </w:r>
            <w:r w:rsidR="00FD75FC" w:rsidRPr="00BB1E65">
              <w:t>B</w:t>
            </w:r>
            <w:r w:rsidRPr="00BB1E65">
              <w:t>, and</w:t>
            </w:r>
          </w:p>
          <w:p w14:paraId="58B6A1E8" w14:textId="4CEF5CE7" w:rsidR="003659F4" w:rsidRPr="00BB1E65" w:rsidRDefault="003659F4" w:rsidP="00661A60">
            <w:pPr>
              <w:pStyle w:val="ListParagraph"/>
              <w:numPr>
                <w:ilvl w:val="0"/>
                <w:numId w:val="26"/>
              </w:numPr>
              <w:ind w:left="158" w:hanging="187"/>
            </w:pPr>
            <w:r w:rsidRPr="00BB1E65">
              <w:t>the facts to be considered in a wrongful and intentional death, see</w:t>
            </w:r>
            <w:r w:rsidRPr="00BB1E65">
              <w:rPr>
                <w:color w:val="auto"/>
              </w:rPr>
              <w:t xml:space="preserve"> </w:t>
            </w:r>
            <w:r w:rsidR="00F10681" w:rsidRPr="00BB1E65">
              <w:rPr>
                <w:color w:val="auto"/>
              </w:rPr>
              <w:t>M21-1, Part III, Subpart v, 1.F.3</w:t>
            </w:r>
            <w:r w:rsidRPr="00BB1E65">
              <w:t>.</w:t>
            </w:r>
          </w:p>
        </w:tc>
      </w:tr>
    </w:tbl>
    <w:p w14:paraId="2BC4FB63" w14:textId="77777777" w:rsidR="003659F4" w:rsidRPr="00BB1E65" w:rsidRDefault="003659F4" w:rsidP="003659F4">
      <w:pPr>
        <w:pStyle w:val="BlockLine"/>
      </w:pPr>
      <w:r w:rsidRPr="00BB1E65">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3659F4" w:rsidRPr="00BB1E65" w14:paraId="567D1E4C" w14:textId="77777777" w:rsidTr="00FB1164">
        <w:trPr>
          <w:cantSplit/>
        </w:trPr>
        <w:tc>
          <w:tcPr>
            <w:tcW w:w="1728" w:type="dxa"/>
            <w:tcBorders>
              <w:top w:val="nil"/>
              <w:left w:val="nil"/>
              <w:bottom w:val="nil"/>
              <w:right w:val="nil"/>
            </w:tcBorders>
          </w:tcPr>
          <w:p w14:paraId="3EECD151" w14:textId="77777777" w:rsidR="003659F4" w:rsidRPr="00BB1E65" w:rsidRDefault="003659F4" w:rsidP="00FB1164">
            <w:pPr>
              <w:pStyle w:val="Heading5"/>
            </w:pPr>
            <w:r w:rsidRPr="00BB1E65">
              <w:t>b.  Hospital Observation</w:t>
            </w:r>
          </w:p>
        </w:tc>
        <w:tc>
          <w:tcPr>
            <w:tcW w:w="7740" w:type="dxa"/>
            <w:tcBorders>
              <w:top w:val="nil"/>
              <w:left w:val="nil"/>
              <w:bottom w:val="nil"/>
              <w:right w:val="nil"/>
            </w:tcBorders>
          </w:tcPr>
          <w:p w14:paraId="1E26EDCA" w14:textId="77777777" w:rsidR="003659F4" w:rsidRPr="00BB1E65" w:rsidRDefault="003659F4" w:rsidP="00FB1164">
            <w:pPr>
              <w:pStyle w:val="BlockText"/>
              <w:rPr>
                <w:b/>
                <w:bCs/>
              </w:rPr>
            </w:pPr>
            <w:r w:rsidRPr="00BB1E65">
              <w:t>To properly visualize and evaluate complex disability issues the rating activity may request a period of hospitalization for observation and examination.</w:t>
            </w:r>
          </w:p>
        </w:tc>
      </w:tr>
    </w:tbl>
    <w:p w14:paraId="19002121" w14:textId="77777777" w:rsidR="003659F4" w:rsidRPr="00BB1E65" w:rsidRDefault="003659F4" w:rsidP="003659F4">
      <w:pPr>
        <w:pStyle w:val="BlockLine"/>
      </w:pPr>
      <w:r w:rsidRPr="00BB1E65">
        <w:fldChar w:fldCharType="begin"/>
      </w:r>
      <w:r w:rsidRPr="00BB1E65">
        <w:instrText xml:space="preserve"> PRIVATE INFOTYPE="PROCEDURE"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3659F4" w:rsidRPr="00BB1E65" w14:paraId="57CF2917" w14:textId="77777777" w:rsidTr="00C157F0">
        <w:tc>
          <w:tcPr>
            <w:tcW w:w="1728" w:type="dxa"/>
            <w:tcBorders>
              <w:top w:val="nil"/>
              <w:left w:val="nil"/>
              <w:bottom w:val="nil"/>
              <w:right w:val="nil"/>
            </w:tcBorders>
          </w:tcPr>
          <w:p w14:paraId="3503A876" w14:textId="77777777" w:rsidR="003659F4" w:rsidRPr="00BB1E65" w:rsidRDefault="003659F4" w:rsidP="00FB1164">
            <w:pPr>
              <w:pStyle w:val="Heading5"/>
            </w:pPr>
            <w:r w:rsidRPr="00BB1E65">
              <w:t>c.  Field Examinations</w:t>
            </w:r>
          </w:p>
        </w:tc>
        <w:tc>
          <w:tcPr>
            <w:tcW w:w="7740" w:type="dxa"/>
            <w:tcBorders>
              <w:top w:val="nil"/>
              <w:left w:val="nil"/>
              <w:bottom w:val="nil"/>
              <w:right w:val="nil"/>
            </w:tcBorders>
          </w:tcPr>
          <w:p w14:paraId="6862768E" w14:textId="77777777" w:rsidR="003659F4" w:rsidRPr="00BB1E65" w:rsidRDefault="003659F4" w:rsidP="00FB1164">
            <w:pPr>
              <w:pStyle w:val="BlockText"/>
            </w:pPr>
            <w:r w:rsidRPr="00BB1E65">
              <w:t>Request a field examination when it is not possible, through the routine examination process, to</w:t>
            </w:r>
          </w:p>
          <w:p w14:paraId="246B0E90" w14:textId="77777777" w:rsidR="003659F4" w:rsidRPr="00BB1E65" w:rsidRDefault="003659F4" w:rsidP="00FB1164">
            <w:pPr>
              <w:pStyle w:val="BlockText"/>
            </w:pPr>
          </w:p>
          <w:p w14:paraId="3A1A7025" w14:textId="77777777" w:rsidR="003659F4" w:rsidRPr="00BB1E65" w:rsidRDefault="003659F4" w:rsidP="00FB1164">
            <w:pPr>
              <w:pStyle w:val="BulletText1"/>
            </w:pPr>
            <w:r w:rsidRPr="00BB1E65">
              <w:t>determine the competency of the beneficiary</w:t>
            </w:r>
          </w:p>
          <w:p w14:paraId="234D205F" w14:textId="77777777" w:rsidR="003659F4" w:rsidRPr="00BB1E65" w:rsidRDefault="003659F4" w:rsidP="00FB1164">
            <w:pPr>
              <w:pStyle w:val="BulletText1"/>
            </w:pPr>
            <w:r w:rsidRPr="00BB1E65">
              <w:t>assess employment and social adjustment, or</w:t>
            </w:r>
          </w:p>
          <w:p w14:paraId="60DFA9B0" w14:textId="77777777" w:rsidR="003659F4" w:rsidRPr="00BB1E65" w:rsidRDefault="003659F4" w:rsidP="00FB1164">
            <w:pPr>
              <w:pStyle w:val="BulletText1"/>
            </w:pPr>
            <w:r w:rsidRPr="00BB1E65">
              <w:t>substantiate items of evidence regarding the existence of disease or injury prior to enlistment.</w:t>
            </w:r>
          </w:p>
          <w:p w14:paraId="7F7DA238" w14:textId="77777777" w:rsidR="003659F4" w:rsidRPr="00BB1E65" w:rsidRDefault="003659F4" w:rsidP="00FB1164">
            <w:pPr>
              <w:pStyle w:val="BlockText"/>
            </w:pPr>
          </w:p>
          <w:p w14:paraId="11C54405" w14:textId="1066CEAE" w:rsidR="003659F4" w:rsidRPr="00BB1E65" w:rsidRDefault="003659F4" w:rsidP="00FB1164">
            <w:pPr>
              <w:pStyle w:val="BlockText"/>
            </w:pPr>
            <w:r w:rsidRPr="00BB1E65">
              <w:rPr>
                <w:b/>
                <w:bCs/>
                <w:i/>
                <w:iCs/>
              </w:rPr>
              <w:t>Reference</w:t>
            </w:r>
            <w:r w:rsidRPr="00BB1E65">
              <w:t xml:space="preserve">:  For more information on requests for field examinations, see </w:t>
            </w:r>
            <w:r w:rsidR="00F10681" w:rsidRPr="00BB1E65">
              <w:t>M21-1, Part III, Subpart vi, 8.8</w:t>
            </w:r>
            <w:r w:rsidR="00292787" w:rsidRPr="00BB1E65">
              <w:t>.a</w:t>
            </w:r>
            <w:r w:rsidRPr="00BB1E65">
              <w:t>.</w:t>
            </w:r>
          </w:p>
        </w:tc>
      </w:tr>
    </w:tbl>
    <w:p w14:paraId="416836D0" w14:textId="77777777" w:rsidR="003659F4" w:rsidRPr="00BB1E65" w:rsidRDefault="003659F4" w:rsidP="003659F4">
      <w:pPr>
        <w:pStyle w:val="BlockLine"/>
      </w:pPr>
      <w:r w:rsidRPr="00BB1E65">
        <w:lastRenderedPageBreak/>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3659F4" w:rsidRPr="00BB1E65" w14:paraId="28576386" w14:textId="77777777" w:rsidTr="002E6736">
        <w:tc>
          <w:tcPr>
            <w:tcW w:w="1728" w:type="dxa"/>
            <w:tcBorders>
              <w:top w:val="nil"/>
              <w:left w:val="nil"/>
              <w:bottom w:val="nil"/>
              <w:right w:val="nil"/>
            </w:tcBorders>
          </w:tcPr>
          <w:p w14:paraId="560BB323" w14:textId="77777777" w:rsidR="003659F4" w:rsidRPr="00BB1E65" w:rsidRDefault="003659F4" w:rsidP="00FB1164">
            <w:pPr>
              <w:pStyle w:val="Heading5"/>
            </w:pPr>
            <w:r w:rsidRPr="00BB1E65">
              <w:t>d.  Examinations of Incarcerated Veterans</w:t>
            </w:r>
          </w:p>
        </w:tc>
        <w:tc>
          <w:tcPr>
            <w:tcW w:w="7740" w:type="dxa"/>
            <w:tcBorders>
              <w:top w:val="nil"/>
              <w:left w:val="nil"/>
              <w:bottom w:val="nil"/>
              <w:right w:val="nil"/>
            </w:tcBorders>
          </w:tcPr>
          <w:p w14:paraId="19E41CEF" w14:textId="1D345BF8" w:rsidR="003659F4" w:rsidRPr="00BB1E65" w:rsidRDefault="003659F4" w:rsidP="00FB1164">
            <w:pPr>
              <w:pStyle w:val="BlockText"/>
            </w:pPr>
            <w:r w:rsidRPr="00BB1E65">
              <w:t xml:space="preserve">An incarcerated Veteran is entitled to a VA compensation examination as part of the duty to assist. </w:t>
            </w:r>
            <w:r w:rsidR="00FB5D28" w:rsidRPr="00BB1E65">
              <w:t xml:space="preserve"> </w:t>
            </w:r>
            <w:r w:rsidRPr="00BB1E65">
              <w:t xml:space="preserve">Requests for examination for </w:t>
            </w:r>
            <w:r w:rsidR="009976EE" w:rsidRPr="00BB1E65">
              <w:t>IU</w:t>
            </w:r>
            <w:r w:rsidRPr="00BB1E65">
              <w:t xml:space="preserve"> are to be treated as claims for increased evaluation of the underlying disability(ies)</w:t>
            </w:r>
            <w:r w:rsidR="000B0588" w:rsidRPr="00BB1E65">
              <w:t xml:space="preserve"> for incarcerated Veterans</w:t>
            </w:r>
            <w:r w:rsidRPr="00BB1E65">
              <w:t xml:space="preserve">. </w:t>
            </w:r>
            <w:r w:rsidR="001D71BA" w:rsidRPr="00BB1E65">
              <w:t xml:space="preserve"> </w:t>
            </w:r>
            <w:r w:rsidRPr="00BB1E65">
              <w:t xml:space="preserve">Examinations for claims for IU are to be scheduled even though there may be no </w:t>
            </w:r>
            <w:r w:rsidR="004F230A" w:rsidRPr="00BB1E65">
              <w:t xml:space="preserve">award </w:t>
            </w:r>
            <w:r w:rsidRPr="00BB1E65">
              <w:t xml:space="preserve">of IU while the Veteran is incarcerated. </w:t>
            </w:r>
          </w:p>
          <w:p w14:paraId="5F36C0C8" w14:textId="77777777" w:rsidR="003659F4" w:rsidRPr="00BB1E65" w:rsidRDefault="003659F4" w:rsidP="00FB1164">
            <w:pPr>
              <w:pStyle w:val="BlockText"/>
            </w:pPr>
          </w:p>
          <w:p w14:paraId="528EAF31" w14:textId="77777777" w:rsidR="003659F4" w:rsidRPr="00BB1E65" w:rsidRDefault="003659F4" w:rsidP="00FB1164">
            <w:pPr>
              <w:pStyle w:val="BlockText"/>
            </w:pPr>
            <w:r w:rsidRPr="00BB1E65">
              <w:t>When examination of an incarcerated Veteran is required, the RO and/or the local VHA Medical Examination Coordinator must confer with prison authorities to determine whether the Veteran should be</w:t>
            </w:r>
          </w:p>
          <w:p w14:paraId="46E3D247" w14:textId="77777777" w:rsidR="003659F4" w:rsidRPr="00BB1E65" w:rsidRDefault="003659F4" w:rsidP="00FB1164">
            <w:pPr>
              <w:pStyle w:val="BlockText"/>
            </w:pPr>
          </w:p>
          <w:p w14:paraId="2D06C1B7" w14:textId="77777777" w:rsidR="003659F4" w:rsidRPr="00BB1E65" w:rsidRDefault="003659F4" w:rsidP="00FB1164">
            <w:pPr>
              <w:pStyle w:val="BulletText1"/>
            </w:pPr>
            <w:r w:rsidRPr="00BB1E65">
              <w:t>escorted to a VA medical facility for examination by VHA personnel, or</w:t>
            </w:r>
          </w:p>
          <w:p w14:paraId="77424DBD" w14:textId="77777777" w:rsidR="003659F4" w:rsidRPr="00BB1E65" w:rsidRDefault="003659F4" w:rsidP="00FB1164">
            <w:pPr>
              <w:pStyle w:val="BulletText1"/>
            </w:pPr>
            <w:r w:rsidRPr="00BB1E65">
              <w:t>examined at the prison by</w:t>
            </w:r>
          </w:p>
          <w:p w14:paraId="45AD37B5" w14:textId="77777777" w:rsidR="003659F4" w:rsidRPr="00BB1E65" w:rsidRDefault="003659F4" w:rsidP="00FB1164">
            <w:pPr>
              <w:pStyle w:val="BulletText2"/>
            </w:pPr>
            <w:r w:rsidRPr="00BB1E65">
              <w:t>VHA personnel</w:t>
            </w:r>
          </w:p>
          <w:p w14:paraId="213EF1BF" w14:textId="77777777" w:rsidR="003659F4" w:rsidRPr="00BB1E65" w:rsidRDefault="003659F4" w:rsidP="00FB1164">
            <w:pPr>
              <w:pStyle w:val="BulletText2"/>
            </w:pPr>
            <w:r w:rsidRPr="00BB1E65">
              <w:t>prison medical providers at VA expense, or</w:t>
            </w:r>
          </w:p>
          <w:p w14:paraId="06CD01CF" w14:textId="77777777" w:rsidR="003659F4" w:rsidRPr="00BB1E65" w:rsidRDefault="003659F4" w:rsidP="00FB1164">
            <w:pPr>
              <w:pStyle w:val="BulletText2"/>
            </w:pPr>
            <w:r w:rsidRPr="00BB1E65">
              <w:t>fee-basis providers contracted by VHA.</w:t>
            </w:r>
          </w:p>
          <w:p w14:paraId="01CB1860" w14:textId="77777777" w:rsidR="003659F4" w:rsidRPr="00BB1E65" w:rsidRDefault="003659F4" w:rsidP="00FB1164">
            <w:pPr>
              <w:pStyle w:val="BlockText"/>
            </w:pPr>
          </w:p>
          <w:p w14:paraId="6772DADD" w14:textId="30E712B4" w:rsidR="003659F4" w:rsidRPr="00BB1E65" w:rsidRDefault="003659F4" w:rsidP="00FB1164">
            <w:pPr>
              <w:pStyle w:val="BlockText"/>
            </w:pPr>
            <w:r w:rsidRPr="00BB1E65">
              <w:rPr>
                <w:b/>
                <w:bCs/>
                <w:i/>
                <w:iCs/>
              </w:rPr>
              <w:t>Important</w:t>
            </w:r>
            <w:r w:rsidRPr="00BB1E65">
              <w:t xml:space="preserve">:  Because some State laws restrict the movement of and access to prison inmates, neither of the above options may be possible.  In such cases, documentation of substantial efforts to schedule and conduct the examination must be added to the </w:t>
            </w:r>
            <w:r w:rsidR="00D3307B" w:rsidRPr="00BB1E65">
              <w:t>claims folder</w:t>
            </w:r>
            <w:r w:rsidRPr="00BB1E65">
              <w:t xml:space="preserve">. </w:t>
            </w:r>
          </w:p>
          <w:p w14:paraId="3C432EC6" w14:textId="77777777" w:rsidR="003659F4" w:rsidRPr="00BB1E65" w:rsidRDefault="003659F4" w:rsidP="00661A60">
            <w:pPr>
              <w:pStyle w:val="ListParagraph"/>
              <w:numPr>
                <w:ilvl w:val="0"/>
                <w:numId w:val="51"/>
              </w:numPr>
              <w:ind w:left="158" w:hanging="187"/>
            </w:pPr>
            <w:r w:rsidRPr="00BB1E65">
              <w:t xml:space="preserve">VSRs must document all efforts made to schedule an examination including identifying and requesting the assistance of the appropriate prison officials.  </w:t>
            </w:r>
          </w:p>
          <w:p w14:paraId="78662E47" w14:textId="2BC55B48" w:rsidR="003659F4" w:rsidRPr="00BB1E65" w:rsidRDefault="003659F4" w:rsidP="00661A60">
            <w:pPr>
              <w:pStyle w:val="ListParagraph"/>
              <w:numPr>
                <w:ilvl w:val="0"/>
                <w:numId w:val="52"/>
              </w:numPr>
              <w:ind w:left="158" w:hanging="187"/>
            </w:pPr>
            <w:r w:rsidRPr="00BB1E65">
              <w:t xml:space="preserve">VHA compensation clinics are required to provide documentation that they have made substantial attempts to schedule and conduct the examination and that they have exhausted all possible avenues for obtaining access to the incarcerated Veteran for the examination. </w:t>
            </w:r>
          </w:p>
          <w:p w14:paraId="030A5D85" w14:textId="77777777" w:rsidR="003659F4" w:rsidRPr="00BB1E65" w:rsidRDefault="003659F4" w:rsidP="00FB1164">
            <w:pPr>
              <w:pStyle w:val="BlockText"/>
            </w:pPr>
          </w:p>
          <w:p w14:paraId="3FB2773B" w14:textId="77777777" w:rsidR="003659F4" w:rsidRPr="00BB1E65" w:rsidRDefault="003659F4" w:rsidP="00FB1164">
            <w:pPr>
              <w:pStyle w:val="BlockText"/>
            </w:pPr>
            <w:r w:rsidRPr="00BB1E65">
              <w:rPr>
                <w:b/>
                <w:bCs/>
                <w:i/>
                <w:iCs/>
              </w:rPr>
              <w:t>References</w:t>
            </w:r>
            <w:r w:rsidRPr="00BB1E65">
              <w:t>:  For more information on</w:t>
            </w:r>
          </w:p>
          <w:p w14:paraId="6260A190" w14:textId="4E4C3B6B" w:rsidR="00F32A18" w:rsidRPr="00BB1E65" w:rsidRDefault="00F32A18" w:rsidP="00A77B5D">
            <w:pPr>
              <w:pStyle w:val="BulletText1"/>
            </w:pPr>
            <w:r w:rsidRPr="00BB1E65">
              <w:t xml:space="preserve">limitations on payment of compensation for incarcerated Veterans, see </w:t>
            </w:r>
            <w:hyperlink r:id="rId72" w:history="1">
              <w:r w:rsidRPr="00BB1E65">
                <w:rPr>
                  <w:rStyle w:val="Hyperlink"/>
                </w:rPr>
                <w:t>38 U.S.C. 5313</w:t>
              </w:r>
            </w:hyperlink>
          </w:p>
          <w:p w14:paraId="4E91AE63" w14:textId="77777777" w:rsidR="006B7A68" w:rsidRPr="00BB1E65" w:rsidRDefault="003659F4" w:rsidP="00A77B5D">
            <w:pPr>
              <w:pStyle w:val="BulletText1"/>
            </w:pPr>
            <w:r w:rsidRPr="00BB1E65">
              <w:t xml:space="preserve">VA’s duty to examine incarcerated Veterans, see </w:t>
            </w:r>
          </w:p>
          <w:p w14:paraId="52E0ED29" w14:textId="7DA2276F" w:rsidR="006B7A68" w:rsidRPr="00BB1E65" w:rsidRDefault="00BB1E65" w:rsidP="00661A60">
            <w:pPr>
              <w:pStyle w:val="ListParagraph"/>
              <w:numPr>
                <w:ilvl w:val="0"/>
                <w:numId w:val="53"/>
              </w:numPr>
              <w:ind w:left="346" w:hanging="187"/>
            </w:pPr>
            <w:hyperlink r:id="rId73" w:history="1">
              <w:r w:rsidR="003659F4" w:rsidRPr="00BB1E65">
                <w:rPr>
                  <w:rStyle w:val="Hyperlink"/>
                  <w:i/>
                  <w:iCs/>
                  <w:shd w:val="clear" w:color="auto" w:fill="FFFFFF"/>
                </w:rPr>
                <w:t>Bolton v. Brown</w:t>
              </w:r>
            </w:hyperlink>
            <w:r w:rsidR="003659F4" w:rsidRPr="00BB1E65">
              <w:rPr>
                <w:shd w:val="clear" w:color="auto" w:fill="FFFFFF"/>
              </w:rPr>
              <w:t xml:space="preserve">, </w:t>
            </w:r>
            <w:proofErr w:type="gramStart"/>
            <w:r w:rsidR="003659F4" w:rsidRPr="00BB1E65">
              <w:rPr>
                <w:shd w:val="clear" w:color="auto" w:fill="FFFFFF"/>
              </w:rPr>
              <w:t xml:space="preserve">8 </w:t>
            </w:r>
            <w:proofErr w:type="spellStart"/>
            <w:r w:rsidR="003659F4" w:rsidRPr="00BB1E65">
              <w:rPr>
                <w:shd w:val="clear" w:color="auto" w:fill="FFFFFF"/>
              </w:rPr>
              <w:t>Vet.App</w:t>
            </w:r>
            <w:proofErr w:type="spellEnd"/>
            <w:proofErr w:type="gramEnd"/>
            <w:r w:rsidR="003659F4" w:rsidRPr="00BB1E65">
              <w:rPr>
                <w:shd w:val="clear" w:color="auto" w:fill="FFFFFF"/>
              </w:rPr>
              <w:t>. 185 (1995)</w:t>
            </w:r>
          </w:p>
          <w:p w14:paraId="3C94E9F4" w14:textId="7A90E5B7" w:rsidR="003659F4" w:rsidRPr="00BB1E65" w:rsidRDefault="00BB1E65" w:rsidP="00661A60">
            <w:pPr>
              <w:pStyle w:val="ListParagraph"/>
              <w:numPr>
                <w:ilvl w:val="0"/>
                <w:numId w:val="53"/>
              </w:numPr>
              <w:ind w:left="346" w:hanging="187"/>
            </w:pPr>
            <w:hyperlink r:id="rId74" w:history="1">
              <w:r w:rsidR="00A77B5D" w:rsidRPr="00BB1E65">
                <w:rPr>
                  <w:rStyle w:val="Hyperlink"/>
                  <w:i/>
                </w:rPr>
                <w:t>Wood v. Derwinski</w:t>
              </w:r>
            </w:hyperlink>
            <w:r w:rsidR="00A77B5D" w:rsidRPr="00BB1E65">
              <w:rPr>
                <w:shd w:val="clear" w:color="auto" w:fill="FFFFFF"/>
              </w:rPr>
              <w:t xml:space="preserve">, 1 Vet.App.190 (1991), </w:t>
            </w:r>
            <w:r w:rsidR="006B7A68" w:rsidRPr="00BB1E65">
              <w:rPr>
                <w:shd w:val="clear" w:color="auto" w:fill="FFFFFF"/>
              </w:rPr>
              <w:t>and</w:t>
            </w:r>
          </w:p>
          <w:p w14:paraId="75133C8B" w14:textId="60FE9438" w:rsidR="006814FF" w:rsidRPr="00BB1E65" w:rsidRDefault="00BB1E65" w:rsidP="00661A60">
            <w:pPr>
              <w:pStyle w:val="ListParagraph"/>
              <w:numPr>
                <w:ilvl w:val="0"/>
                <w:numId w:val="54"/>
              </w:numPr>
              <w:ind w:left="346" w:hanging="187"/>
            </w:pPr>
            <w:hyperlink r:id="rId75" w:history="1">
              <w:r w:rsidR="006814FF" w:rsidRPr="00BB1E65">
                <w:rPr>
                  <w:rStyle w:val="Hyperlink"/>
                </w:rPr>
                <w:t xml:space="preserve">DMA </w:t>
              </w:r>
              <w:r w:rsidR="006B7A68" w:rsidRPr="00BB1E65">
                <w:rPr>
                  <w:rStyle w:val="Hyperlink"/>
                </w:rPr>
                <w:t xml:space="preserve">Fact Sheet </w:t>
              </w:r>
              <w:r w:rsidR="006814FF" w:rsidRPr="00BB1E65">
                <w:rPr>
                  <w:rStyle w:val="Hyperlink"/>
                </w:rPr>
                <w:t>11-001</w:t>
              </w:r>
            </w:hyperlink>
          </w:p>
          <w:p w14:paraId="634F39E4" w14:textId="3A1AA3F0" w:rsidR="00A77B5D" w:rsidRPr="00BB1E65" w:rsidRDefault="003659F4" w:rsidP="005A2594">
            <w:pPr>
              <w:pStyle w:val="BulletText1"/>
            </w:pPr>
            <w:r w:rsidRPr="00BB1E65">
              <w:t xml:space="preserve">VHA Medical Examination Coordinators, see </w:t>
            </w:r>
            <w:hyperlink r:id="rId76" w:history="1">
              <w:r w:rsidR="002C1151" w:rsidRPr="00BB1E65">
                <w:rPr>
                  <w:rStyle w:val="Hyperlink"/>
                </w:rPr>
                <w:t>C&amp;P Exam Point of Contact List</w:t>
              </w:r>
            </w:hyperlink>
            <w:r w:rsidR="00A77B5D" w:rsidRPr="00BB1E65">
              <w:t>, and</w:t>
            </w:r>
          </w:p>
          <w:p w14:paraId="37E0061D" w14:textId="2A1C9937" w:rsidR="003659F4" w:rsidRPr="00BB1E65" w:rsidRDefault="00A77B5D" w:rsidP="00A77B5D">
            <w:pPr>
              <w:pStyle w:val="BulletText1"/>
            </w:pPr>
            <w:r w:rsidRPr="00BB1E65">
              <w:t xml:space="preserve">VHA policy on incarcerated Veteran examinations, see </w:t>
            </w:r>
            <w:hyperlink r:id="rId77" w:history="1">
              <w:r w:rsidRPr="00BB1E65">
                <w:rPr>
                  <w:rStyle w:val="Hyperlink"/>
                </w:rPr>
                <w:t>VHA DIRECTIVE 1046</w:t>
              </w:r>
            </w:hyperlink>
            <w:r w:rsidR="006B7A68" w:rsidRPr="00BB1E65">
              <w:rPr>
                <w:rStyle w:val="Hyperlink"/>
                <w:u w:val="none"/>
              </w:rPr>
              <w:t>.</w:t>
            </w:r>
          </w:p>
        </w:tc>
      </w:tr>
    </w:tbl>
    <w:p w14:paraId="3B91CF1E" w14:textId="716CD550" w:rsidR="003659F4" w:rsidRPr="00BB1E65" w:rsidRDefault="003659F4" w:rsidP="003659F4">
      <w:pPr>
        <w:pStyle w:val="BlockLine"/>
      </w:pPr>
      <w:r w:rsidRPr="00BB1E65">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3659F4" w:rsidRPr="00BB1E65" w14:paraId="5B0FF4A9" w14:textId="77777777" w:rsidTr="00C157F0">
        <w:tc>
          <w:tcPr>
            <w:tcW w:w="1728" w:type="dxa"/>
            <w:tcBorders>
              <w:top w:val="nil"/>
              <w:left w:val="nil"/>
              <w:bottom w:val="nil"/>
              <w:right w:val="nil"/>
            </w:tcBorders>
          </w:tcPr>
          <w:p w14:paraId="63C377A8" w14:textId="77777777" w:rsidR="003659F4" w:rsidRPr="00BB1E65" w:rsidRDefault="003659F4" w:rsidP="00FB1164">
            <w:pPr>
              <w:pStyle w:val="Heading5"/>
            </w:pPr>
            <w:r w:rsidRPr="00BB1E65">
              <w:t>e.  Board Examinations</w:t>
            </w:r>
          </w:p>
        </w:tc>
        <w:tc>
          <w:tcPr>
            <w:tcW w:w="7740" w:type="dxa"/>
            <w:tcBorders>
              <w:top w:val="nil"/>
              <w:left w:val="nil"/>
              <w:bottom w:val="nil"/>
              <w:right w:val="nil"/>
            </w:tcBorders>
          </w:tcPr>
          <w:p w14:paraId="5CD245FD" w14:textId="77777777" w:rsidR="003659F4" w:rsidRPr="00BB1E65" w:rsidRDefault="003659F4" w:rsidP="00FB1164">
            <w:pPr>
              <w:pStyle w:val="BlockText"/>
            </w:pPr>
            <w:r w:rsidRPr="00BB1E65">
              <w:t>There should be at least two physicians, preferably three, on “board examinations” and at least one, preferably all, should be a recognized specialists in the particular field involved.</w:t>
            </w:r>
          </w:p>
          <w:p w14:paraId="09D3F293" w14:textId="77777777" w:rsidR="003659F4" w:rsidRPr="00BB1E65" w:rsidRDefault="003659F4" w:rsidP="00FB1164">
            <w:pPr>
              <w:pStyle w:val="BlockText"/>
            </w:pPr>
          </w:p>
          <w:p w14:paraId="230DA7F4" w14:textId="77777777" w:rsidR="003659F4" w:rsidRPr="00BB1E65" w:rsidRDefault="003659F4" w:rsidP="00FB1164">
            <w:pPr>
              <w:pStyle w:val="BlockText"/>
            </w:pPr>
            <w:r w:rsidRPr="00BB1E65">
              <w:t xml:space="preserve">The rating activity has the authority to request board examinations to </w:t>
            </w:r>
          </w:p>
          <w:p w14:paraId="5DF0F81B" w14:textId="77777777" w:rsidR="003659F4" w:rsidRPr="00BB1E65" w:rsidRDefault="003659F4" w:rsidP="00FB1164">
            <w:pPr>
              <w:pStyle w:val="BlockText"/>
            </w:pPr>
          </w:p>
          <w:p w14:paraId="006B140E" w14:textId="77777777" w:rsidR="003659F4" w:rsidRPr="00BB1E65" w:rsidRDefault="003659F4" w:rsidP="00FB1164">
            <w:pPr>
              <w:pStyle w:val="BulletText1"/>
            </w:pPr>
            <w:r w:rsidRPr="00BB1E65">
              <w:t>reconcile differing diagnoses, or</w:t>
            </w:r>
          </w:p>
          <w:p w14:paraId="26ED144F" w14:textId="77777777" w:rsidR="003659F4" w:rsidRPr="00BB1E65" w:rsidRDefault="003659F4" w:rsidP="00FB1164">
            <w:pPr>
              <w:pStyle w:val="BulletText1"/>
            </w:pPr>
            <w:r w:rsidRPr="00BB1E65">
              <w:t xml:space="preserve">resolve particularly complex issues concerning </w:t>
            </w:r>
          </w:p>
          <w:p w14:paraId="7030EF84" w14:textId="262E9405" w:rsidR="003659F4" w:rsidRPr="00BB1E65" w:rsidRDefault="004F230A" w:rsidP="00FB1164">
            <w:pPr>
              <w:pStyle w:val="BulletText2"/>
            </w:pPr>
            <w:r w:rsidRPr="00BB1E65">
              <w:t xml:space="preserve">awards </w:t>
            </w:r>
            <w:r w:rsidR="003659F4" w:rsidRPr="00BB1E65">
              <w:t>of Special Monthly Compensation (SMC), or</w:t>
            </w:r>
          </w:p>
          <w:p w14:paraId="206197F9" w14:textId="77777777" w:rsidR="003659F4" w:rsidRPr="00BB1E65" w:rsidRDefault="003659F4" w:rsidP="00FB1164">
            <w:pPr>
              <w:pStyle w:val="BulletText2"/>
            </w:pPr>
            <w:r w:rsidRPr="00BB1E65">
              <w:t>entitlement to specially adapted housing (SAH).</w:t>
            </w:r>
          </w:p>
        </w:tc>
      </w:tr>
    </w:tbl>
    <w:p w14:paraId="0E29E2FF" w14:textId="77777777" w:rsidR="003659F4" w:rsidRPr="00BB1E65" w:rsidRDefault="003659F4" w:rsidP="003659F4">
      <w:pPr>
        <w:pStyle w:val="BlockLine"/>
      </w:pPr>
      <w:r w:rsidRPr="00BB1E65">
        <w:lastRenderedPageBreak/>
        <w:fldChar w:fldCharType="begin"/>
      </w:r>
      <w:r w:rsidRPr="00BB1E65">
        <w:instrText xml:space="preserve"> PRIVATE INFOTYPE="PROCEDURE"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3659F4" w:rsidRPr="00BB1E65" w14:paraId="302CEB43" w14:textId="77777777" w:rsidTr="00FB1164">
        <w:trPr>
          <w:cantSplit/>
        </w:trPr>
        <w:tc>
          <w:tcPr>
            <w:tcW w:w="1728" w:type="dxa"/>
            <w:tcBorders>
              <w:top w:val="nil"/>
              <w:left w:val="nil"/>
              <w:bottom w:val="nil"/>
              <w:right w:val="nil"/>
            </w:tcBorders>
          </w:tcPr>
          <w:p w14:paraId="77F5FDD1" w14:textId="77777777" w:rsidR="003659F4" w:rsidRPr="00BB1E65" w:rsidRDefault="003659F4" w:rsidP="00FB1164">
            <w:pPr>
              <w:pStyle w:val="Heading5"/>
            </w:pPr>
            <w:r w:rsidRPr="00BB1E65">
              <w:t>f.  Reexaminations by a Different Examiner</w:t>
            </w:r>
          </w:p>
        </w:tc>
        <w:tc>
          <w:tcPr>
            <w:tcW w:w="7740" w:type="dxa"/>
            <w:tcBorders>
              <w:top w:val="nil"/>
              <w:left w:val="nil"/>
              <w:bottom w:val="nil"/>
              <w:right w:val="nil"/>
            </w:tcBorders>
          </w:tcPr>
          <w:p w14:paraId="33172912" w14:textId="77777777" w:rsidR="003659F4" w:rsidRPr="00BB1E65" w:rsidRDefault="003659F4" w:rsidP="00FB1164">
            <w:pPr>
              <w:pStyle w:val="BlockText"/>
            </w:pPr>
            <w:r w:rsidRPr="00BB1E65">
              <w:t>The rating activity may request that the claimant be reexamined by another medical examiner if compelling reasons exist.</w:t>
            </w:r>
          </w:p>
          <w:p w14:paraId="1A8F71D5" w14:textId="77777777" w:rsidR="003659F4" w:rsidRPr="00BB1E65" w:rsidRDefault="003659F4" w:rsidP="00FB1164">
            <w:pPr>
              <w:pStyle w:val="BlockText"/>
            </w:pPr>
          </w:p>
          <w:p w14:paraId="0C0EA723" w14:textId="77777777" w:rsidR="003659F4" w:rsidRPr="00BB1E65" w:rsidRDefault="003659F4" w:rsidP="00FB1164">
            <w:pPr>
              <w:pStyle w:val="BlockText"/>
            </w:pPr>
            <w:r w:rsidRPr="00BB1E65">
              <w:t>To request a reexamination</w:t>
            </w:r>
          </w:p>
          <w:p w14:paraId="292EAA61" w14:textId="77777777" w:rsidR="003659F4" w:rsidRPr="00BB1E65" w:rsidRDefault="003659F4" w:rsidP="00FB1164">
            <w:pPr>
              <w:pStyle w:val="BlockText"/>
            </w:pPr>
          </w:p>
          <w:p w14:paraId="7E4B1BB5" w14:textId="77777777" w:rsidR="003659F4" w:rsidRPr="00BB1E65" w:rsidRDefault="003659F4" w:rsidP="00FB1164">
            <w:pPr>
              <w:pStyle w:val="BulletText1"/>
            </w:pPr>
            <w:r w:rsidRPr="00BB1E65">
              <w:t>prepare another examination request</w:t>
            </w:r>
          </w:p>
          <w:p w14:paraId="2272F21B" w14:textId="77777777" w:rsidR="003659F4" w:rsidRPr="00BB1E65" w:rsidRDefault="003659F4" w:rsidP="00FB1164">
            <w:pPr>
              <w:pStyle w:val="BulletText1"/>
            </w:pPr>
            <w:r w:rsidRPr="00BB1E65">
              <w:t>annotate it to show that reexamination is necessary</w:t>
            </w:r>
          </w:p>
          <w:p w14:paraId="2EBEB952" w14:textId="77777777" w:rsidR="003659F4" w:rsidRPr="00BB1E65" w:rsidRDefault="003659F4" w:rsidP="00FB1164">
            <w:pPr>
              <w:pStyle w:val="BulletText1"/>
            </w:pPr>
            <w:r w:rsidRPr="00BB1E65">
              <w:t>identify any specific information needed in the examination report, and</w:t>
            </w:r>
          </w:p>
          <w:p w14:paraId="65D84B83" w14:textId="77777777" w:rsidR="003659F4" w:rsidRPr="00BB1E65" w:rsidRDefault="003659F4" w:rsidP="00FB1164">
            <w:pPr>
              <w:pStyle w:val="BulletText1"/>
            </w:pPr>
            <w:r w:rsidRPr="00BB1E65">
              <w:t>include the name and the facility of the medical examiner who conducted the prior examination.</w:t>
            </w:r>
          </w:p>
          <w:p w14:paraId="35D5E0CB" w14:textId="77777777" w:rsidR="003659F4" w:rsidRPr="00BB1E65" w:rsidRDefault="003659F4" w:rsidP="00FB1164">
            <w:pPr>
              <w:pStyle w:val="BlockText"/>
            </w:pPr>
          </w:p>
          <w:p w14:paraId="691D9D6A" w14:textId="63F150C4" w:rsidR="003659F4" w:rsidRPr="00BB1E65" w:rsidRDefault="003659F4" w:rsidP="00005F3D">
            <w:pPr>
              <w:pStyle w:val="BlockText"/>
            </w:pPr>
            <w:r w:rsidRPr="00BB1E65">
              <w:rPr>
                <w:b/>
                <w:bCs/>
                <w:i/>
                <w:iCs/>
              </w:rPr>
              <w:t>Reference</w:t>
            </w:r>
            <w:r w:rsidRPr="00BB1E65">
              <w:t xml:space="preserve">:  For more information on preparing examination requests, see </w:t>
            </w:r>
            <w:r w:rsidR="002C1151" w:rsidRPr="00BB1E65">
              <w:t>M21</w:t>
            </w:r>
            <w:r w:rsidR="00FC6485" w:rsidRPr="00BB1E65">
              <w:t>-1, Part III, Subpart iv, 3.A.</w:t>
            </w:r>
            <w:r w:rsidR="00005F3D" w:rsidRPr="00BB1E65">
              <w:t>16</w:t>
            </w:r>
            <w:r w:rsidRPr="00BB1E65">
              <w:t>.</w:t>
            </w:r>
          </w:p>
        </w:tc>
      </w:tr>
    </w:tbl>
    <w:p w14:paraId="464A3791" w14:textId="320D9B04" w:rsidR="003659F4" w:rsidRPr="00BB1E65" w:rsidRDefault="003659F4" w:rsidP="003659F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90689" w:rsidRPr="00BB1E65" w14:paraId="68E2E3C9" w14:textId="77777777" w:rsidTr="009D3F89">
        <w:tc>
          <w:tcPr>
            <w:tcW w:w="1728" w:type="dxa"/>
            <w:shd w:val="clear" w:color="auto" w:fill="auto"/>
          </w:tcPr>
          <w:p w14:paraId="48F1EE5E" w14:textId="7DD6B4E6" w:rsidR="00C90689" w:rsidRPr="00BB1E65" w:rsidRDefault="00370F6C" w:rsidP="00EA7D40">
            <w:pPr>
              <w:pStyle w:val="Heading5"/>
            </w:pPr>
            <w:r w:rsidRPr="00BB1E65">
              <w:t xml:space="preserve">g.  </w:t>
            </w:r>
            <w:r w:rsidR="00C90689" w:rsidRPr="00BB1E65">
              <w:t>Homeless Veteran Examination Requests</w:t>
            </w:r>
          </w:p>
        </w:tc>
        <w:tc>
          <w:tcPr>
            <w:tcW w:w="7740" w:type="dxa"/>
            <w:shd w:val="clear" w:color="auto" w:fill="auto"/>
          </w:tcPr>
          <w:p w14:paraId="7D78EA7E" w14:textId="6C1A5721" w:rsidR="000A2DD7" w:rsidRPr="00BB1E65" w:rsidRDefault="006042E5" w:rsidP="000A2DD7">
            <w:r w:rsidRPr="00BB1E65">
              <w:t>All processing of homeless and at immediate risk of homelessness claims must</w:t>
            </w:r>
            <w:r w:rsidR="000A2DD7" w:rsidRPr="00BB1E65">
              <w:t xml:space="preserve"> be expedited by the RO. </w:t>
            </w:r>
            <w:r w:rsidR="00FB5D28" w:rsidRPr="00BB1E65">
              <w:t xml:space="preserve"> </w:t>
            </w:r>
            <w:r w:rsidRPr="00BB1E65">
              <w:t>Request examination</w:t>
            </w:r>
            <w:r w:rsidR="000A2DD7" w:rsidRPr="00BB1E65">
              <w:t>s</w:t>
            </w:r>
            <w:r w:rsidRPr="00BB1E65">
              <w:t xml:space="preserve"> for </w:t>
            </w:r>
            <w:r w:rsidR="000A2DD7" w:rsidRPr="00BB1E65">
              <w:t xml:space="preserve">these claims </w:t>
            </w:r>
            <w:r w:rsidRPr="00BB1E65">
              <w:t>via CAPRI</w:t>
            </w:r>
            <w:r w:rsidR="000A2DD7" w:rsidRPr="00BB1E65">
              <w:t xml:space="preserve"> and add </w:t>
            </w:r>
            <w:r w:rsidR="00B65D02" w:rsidRPr="00BB1E65">
              <w:t>the following comment in the examination request</w:t>
            </w:r>
            <w:r w:rsidR="000A2DD7" w:rsidRPr="00BB1E65">
              <w:t xml:space="preserve"> </w:t>
            </w:r>
          </w:p>
          <w:p w14:paraId="0E1E53BF" w14:textId="77777777" w:rsidR="000A2DD7" w:rsidRPr="00BB1E65" w:rsidRDefault="000A2DD7" w:rsidP="000A2DD7"/>
          <w:p w14:paraId="500B7BF3" w14:textId="22C8D84A" w:rsidR="00B65D02" w:rsidRPr="00BB1E65" w:rsidRDefault="00B65D02" w:rsidP="000A2DD7">
            <w:pPr>
              <w:rPr>
                <w:i/>
              </w:rPr>
            </w:pPr>
            <w:r w:rsidRPr="00BB1E65">
              <w:rPr>
                <w:i/>
              </w:rPr>
              <w:t xml:space="preserve">Claim for a homeless or at imminent risk of homelessness Veteran, expeditious processing is requested.  </w:t>
            </w:r>
          </w:p>
          <w:p w14:paraId="63FA63D4" w14:textId="77777777" w:rsidR="006042E5" w:rsidRPr="00BB1E65" w:rsidRDefault="006042E5" w:rsidP="006042E5"/>
          <w:p w14:paraId="3B441E7E" w14:textId="17D4A332" w:rsidR="00566FE6" w:rsidRPr="00BB1E65" w:rsidRDefault="006042E5" w:rsidP="006042E5">
            <w:r w:rsidRPr="00BB1E65">
              <w:rPr>
                <w:b/>
                <w:i/>
              </w:rPr>
              <w:t>Note</w:t>
            </w:r>
            <w:r w:rsidRPr="00BB1E65">
              <w:t xml:space="preserve">:  </w:t>
            </w:r>
            <w:r w:rsidR="00B65D02" w:rsidRPr="00BB1E65">
              <w:t>Do not request expeditious examinations through contract examiners.</w:t>
            </w:r>
          </w:p>
          <w:p w14:paraId="53934F48" w14:textId="77777777" w:rsidR="00370F6C" w:rsidRPr="00BB1E65" w:rsidRDefault="00370F6C" w:rsidP="00C90689"/>
          <w:p w14:paraId="04526B16" w14:textId="009AE0AB" w:rsidR="00091A44" w:rsidRPr="00BB1E65" w:rsidRDefault="00091A44" w:rsidP="006042E5">
            <w:r w:rsidRPr="00BB1E65">
              <w:rPr>
                <w:b/>
                <w:i/>
              </w:rPr>
              <w:t>Reference</w:t>
            </w:r>
            <w:r w:rsidRPr="00BB1E65">
              <w:t xml:space="preserve">: </w:t>
            </w:r>
            <w:r w:rsidR="002E6736" w:rsidRPr="00BB1E65">
              <w:t xml:space="preserve"> F</w:t>
            </w:r>
            <w:r w:rsidR="00B65D02" w:rsidRPr="00BB1E65">
              <w:t xml:space="preserve">or more information on homeless </w:t>
            </w:r>
            <w:r w:rsidR="006042E5" w:rsidRPr="00BB1E65">
              <w:t>V</w:t>
            </w:r>
            <w:r w:rsidR="00B65D02" w:rsidRPr="00BB1E65">
              <w:t>eteran claims priority processing</w:t>
            </w:r>
            <w:r w:rsidR="00976A15" w:rsidRPr="00BB1E65">
              <w:t xml:space="preserve">, see </w:t>
            </w:r>
            <w:r w:rsidR="006042E5" w:rsidRPr="00BB1E65">
              <w:t>M21-1</w:t>
            </w:r>
            <w:r w:rsidR="006042E5" w:rsidRPr="00BB1E65">
              <w:rPr>
                <w:color w:val="auto"/>
              </w:rPr>
              <w:t>,</w:t>
            </w:r>
            <w:r w:rsidR="006042E5" w:rsidRPr="00BB1E65">
              <w:rPr>
                <w:rStyle w:val="Hyperlink"/>
                <w:color w:val="auto"/>
                <w:u w:val="none"/>
              </w:rPr>
              <w:t xml:space="preserve"> Part III, Subpart ii, 1.D.2.</w:t>
            </w:r>
          </w:p>
        </w:tc>
      </w:tr>
    </w:tbl>
    <w:p w14:paraId="3E03C79D" w14:textId="6388575E" w:rsidR="00C90689" w:rsidRPr="00BB1E65" w:rsidRDefault="00656012" w:rsidP="00656012">
      <w:pPr>
        <w:tabs>
          <w:tab w:val="left" w:pos="9360"/>
        </w:tabs>
        <w:ind w:left="1714"/>
      </w:pPr>
      <w:r w:rsidRPr="00BB1E65">
        <w:rPr>
          <w:u w:val="single"/>
        </w:rPr>
        <w:tab/>
      </w:r>
    </w:p>
    <w:p w14:paraId="120759AA" w14:textId="1FBD957A" w:rsidR="00135DC0" w:rsidRPr="00BB1E65" w:rsidRDefault="002E6736" w:rsidP="007D015E">
      <w:pPr>
        <w:pStyle w:val="Heading4"/>
      </w:pPr>
      <w:r w:rsidRPr="00BB1E65">
        <w:br w:type="page"/>
      </w:r>
      <w:bookmarkStart w:id="14" w:name="_10.__General"/>
      <w:bookmarkEnd w:id="14"/>
      <w:r w:rsidR="007D015E" w:rsidRPr="00BB1E65">
        <w:lastRenderedPageBreak/>
        <w:t>10</w:t>
      </w:r>
      <w:r w:rsidR="00135DC0" w:rsidRPr="00BB1E65">
        <w:t>.  General Information on Social Surveys</w:t>
      </w:r>
    </w:p>
    <w:p w14:paraId="120759AB" w14:textId="77777777" w:rsidR="00135DC0" w:rsidRPr="00BB1E65" w:rsidRDefault="00DE46D0">
      <w:pPr>
        <w:pStyle w:val="BlockLine"/>
      </w:pPr>
      <w:r w:rsidRPr="00BB1E65">
        <w:fldChar w:fldCharType="begin"/>
      </w:r>
      <w:r w:rsidR="00135DC0" w:rsidRPr="00BB1E65">
        <w:instrText xml:space="preserve"> PRIVATE INFOTYPE="OTHER"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BB1E65" w14:paraId="120759B5" w14:textId="77777777">
        <w:trPr>
          <w:cantSplit/>
        </w:trPr>
        <w:tc>
          <w:tcPr>
            <w:tcW w:w="1728" w:type="dxa"/>
            <w:tcBorders>
              <w:top w:val="nil"/>
              <w:left w:val="nil"/>
              <w:bottom w:val="nil"/>
              <w:right w:val="nil"/>
            </w:tcBorders>
          </w:tcPr>
          <w:p w14:paraId="120759AC" w14:textId="77777777" w:rsidR="00135DC0" w:rsidRPr="00BB1E65" w:rsidRDefault="00135DC0">
            <w:pPr>
              <w:pStyle w:val="Heading5"/>
            </w:pPr>
            <w:r w:rsidRPr="00BB1E65">
              <w:t>Introduction</w:t>
            </w:r>
          </w:p>
        </w:tc>
        <w:tc>
          <w:tcPr>
            <w:tcW w:w="7740" w:type="dxa"/>
            <w:tcBorders>
              <w:top w:val="nil"/>
              <w:left w:val="nil"/>
              <w:bottom w:val="nil"/>
              <w:right w:val="nil"/>
            </w:tcBorders>
          </w:tcPr>
          <w:p w14:paraId="120759AD" w14:textId="77777777" w:rsidR="00135DC0" w:rsidRPr="00BB1E65" w:rsidRDefault="00135DC0">
            <w:pPr>
              <w:pStyle w:val="BlockText"/>
            </w:pPr>
            <w:r w:rsidRPr="00BB1E65">
              <w:t>This topic contains general information about social surveys, including</w:t>
            </w:r>
          </w:p>
          <w:p w14:paraId="120759AE" w14:textId="77777777" w:rsidR="00135DC0" w:rsidRPr="00BB1E65" w:rsidRDefault="00135DC0">
            <w:pPr>
              <w:pStyle w:val="BlockText"/>
            </w:pPr>
          </w:p>
          <w:p w14:paraId="120759AF" w14:textId="77777777" w:rsidR="00135DC0" w:rsidRPr="00BB1E65" w:rsidRDefault="00135DC0">
            <w:pPr>
              <w:pStyle w:val="BulletText1"/>
            </w:pPr>
            <w:r w:rsidRPr="00BB1E65">
              <w:t>description of a social survey</w:t>
            </w:r>
          </w:p>
          <w:p w14:paraId="120759B0" w14:textId="471C3646" w:rsidR="00135DC0" w:rsidRPr="00BB1E65" w:rsidRDefault="00135DC0">
            <w:pPr>
              <w:pStyle w:val="BulletText1"/>
            </w:pPr>
            <w:r w:rsidRPr="00BB1E65">
              <w:t xml:space="preserve">when social surveys can be used to evaluate social and </w:t>
            </w:r>
            <w:r w:rsidR="00976BB1" w:rsidRPr="00BB1E65">
              <w:t>occupational</w:t>
            </w:r>
            <w:r w:rsidRPr="00BB1E65">
              <w:t xml:space="preserve"> impairment</w:t>
            </w:r>
          </w:p>
          <w:p w14:paraId="120759B1" w14:textId="77777777" w:rsidR="00135DC0" w:rsidRPr="00BB1E65" w:rsidRDefault="00135DC0">
            <w:pPr>
              <w:pStyle w:val="BulletText1"/>
            </w:pPr>
            <w:r w:rsidRPr="00BB1E65">
              <w:t>when social surveys should be used to evaluate physical or mental disability</w:t>
            </w:r>
          </w:p>
          <w:p w14:paraId="120759B2" w14:textId="77777777" w:rsidR="00135DC0" w:rsidRPr="00BB1E65" w:rsidRDefault="00135DC0">
            <w:pPr>
              <w:pStyle w:val="BulletText1"/>
            </w:pPr>
            <w:r w:rsidRPr="00BB1E65">
              <w:t>who conducts a social survey</w:t>
            </w:r>
          </w:p>
          <w:p w14:paraId="120759B3" w14:textId="77777777" w:rsidR="00135DC0" w:rsidRPr="00BB1E65" w:rsidRDefault="00135DC0">
            <w:pPr>
              <w:pStyle w:val="BulletText1"/>
            </w:pPr>
            <w:r w:rsidRPr="00BB1E65">
              <w:t>considerations when requesting a social survey, and</w:t>
            </w:r>
          </w:p>
          <w:p w14:paraId="120759B4" w14:textId="77777777" w:rsidR="00135DC0" w:rsidRPr="00BB1E65" w:rsidRDefault="00135DC0">
            <w:pPr>
              <w:pStyle w:val="BulletText1"/>
            </w:pPr>
            <w:r w:rsidRPr="00BB1E65">
              <w:t>returning social surveys for clarification.</w:t>
            </w:r>
          </w:p>
        </w:tc>
      </w:tr>
    </w:tbl>
    <w:p w14:paraId="120759B6" w14:textId="77777777" w:rsidR="00135DC0" w:rsidRPr="00BB1E65" w:rsidRDefault="00135DC0">
      <w:pPr>
        <w:pStyle w:val="BlockLine"/>
      </w:pPr>
    </w:p>
    <w:tbl>
      <w:tblPr>
        <w:tblW w:w="0" w:type="auto"/>
        <w:tblInd w:w="-106" w:type="dxa"/>
        <w:tblLayout w:type="fixed"/>
        <w:tblLook w:val="0000" w:firstRow="0" w:lastRow="0" w:firstColumn="0" w:lastColumn="0" w:noHBand="0" w:noVBand="0"/>
      </w:tblPr>
      <w:tblGrid>
        <w:gridCol w:w="1728"/>
        <w:gridCol w:w="7740"/>
      </w:tblGrid>
      <w:tr w:rsidR="00135DC0" w:rsidRPr="00BB1E65" w14:paraId="120759B9" w14:textId="77777777">
        <w:trPr>
          <w:cantSplit/>
        </w:trPr>
        <w:tc>
          <w:tcPr>
            <w:tcW w:w="1728" w:type="dxa"/>
            <w:tcBorders>
              <w:top w:val="nil"/>
              <w:left w:val="nil"/>
              <w:bottom w:val="nil"/>
              <w:right w:val="nil"/>
            </w:tcBorders>
          </w:tcPr>
          <w:p w14:paraId="120759B7" w14:textId="77777777" w:rsidR="00135DC0" w:rsidRPr="00BB1E65" w:rsidRDefault="00135DC0">
            <w:pPr>
              <w:pStyle w:val="Heading5"/>
            </w:pPr>
            <w:r w:rsidRPr="00BB1E65">
              <w:t>Change Date</w:t>
            </w:r>
          </w:p>
        </w:tc>
        <w:tc>
          <w:tcPr>
            <w:tcW w:w="7740" w:type="dxa"/>
            <w:tcBorders>
              <w:top w:val="nil"/>
              <w:left w:val="nil"/>
              <w:bottom w:val="nil"/>
              <w:right w:val="nil"/>
            </w:tcBorders>
          </w:tcPr>
          <w:p w14:paraId="120759B8" w14:textId="3EA1A606" w:rsidR="00135DC0" w:rsidRPr="00BB1E65" w:rsidRDefault="00892D5C">
            <w:pPr>
              <w:pStyle w:val="BlockText"/>
            </w:pPr>
            <w:r w:rsidRPr="00BB1E65">
              <w:t>July 30, 2015</w:t>
            </w:r>
          </w:p>
        </w:tc>
      </w:tr>
    </w:tbl>
    <w:p w14:paraId="120759BA" w14:textId="77777777" w:rsidR="00135DC0" w:rsidRPr="00BB1E65" w:rsidRDefault="00DE46D0">
      <w:pPr>
        <w:pStyle w:val="BlockLine"/>
      </w:pPr>
      <w:r w:rsidRPr="00BB1E65">
        <w:fldChar w:fldCharType="begin"/>
      </w:r>
      <w:r w:rsidR="00135DC0" w:rsidRPr="00BB1E65">
        <w:instrText xml:space="preserve"> PRIVATE INFOTYPE="CONCEPT"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BB1E65" w14:paraId="120759BF" w14:textId="77777777">
        <w:trPr>
          <w:cantSplit/>
        </w:trPr>
        <w:tc>
          <w:tcPr>
            <w:tcW w:w="1728" w:type="dxa"/>
            <w:tcBorders>
              <w:top w:val="nil"/>
              <w:left w:val="nil"/>
              <w:bottom w:val="nil"/>
              <w:right w:val="nil"/>
            </w:tcBorders>
          </w:tcPr>
          <w:p w14:paraId="120759BB" w14:textId="4C64EA1F" w:rsidR="00135DC0" w:rsidRPr="00BB1E65" w:rsidRDefault="00AE782F">
            <w:pPr>
              <w:pStyle w:val="Heading5"/>
            </w:pPr>
            <w:r w:rsidRPr="00BB1E65">
              <w:t xml:space="preserve">a.  </w:t>
            </w:r>
            <w:r w:rsidR="00135DC0" w:rsidRPr="00BB1E65">
              <w:t>Description of a Social Survey</w:t>
            </w:r>
          </w:p>
        </w:tc>
        <w:tc>
          <w:tcPr>
            <w:tcW w:w="7740" w:type="dxa"/>
            <w:tcBorders>
              <w:top w:val="nil"/>
              <w:left w:val="nil"/>
              <w:bottom w:val="nil"/>
              <w:right w:val="nil"/>
            </w:tcBorders>
          </w:tcPr>
          <w:p w14:paraId="120759BC" w14:textId="205AE3D0" w:rsidR="00135DC0" w:rsidRPr="00BB1E65" w:rsidRDefault="00135DC0">
            <w:pPr>
              <w:pStyle w:val="BlockText"/>
            </w:pPr>
            <w:r w:rsidRPr="00BB1E65">
              <w:t xml:space="preserve">A social survey is an interview with the Veteran to assess the impact of disability on the capacity to interact with others and function in an </w:t>
            </w:r>
            <w:r w:rsidR="00976BB1" w:rsidRPr="00BB1E65">
              <w:t>occupational</w:t>
            </w:r>
            <w:r w:rsidRPr="00BB1E65">
              <w:t xml:space="preserve"> setting.  </w:t>
            </w:r>
          </w:p>
          <w:p w14:paraId="120759BD" w14:textId="77777777" w:rsidR="00135DC0" w:rsidRPr="00BB1E65" w:rsidRDefault="00135DC0">
            <w:pPr>
              <w:pStyle w:val="BlockText"/>
            </w:pPr>
          </w:p>
          <w:p w14:paraId="120759BE" w14:textId="5DB7B086" w:rsidR="00135DC0" w:rsidRPr="00BB1E65" w:rsidRDefault="00135DC0" w:rsidP="009976EE">
            <w:pPr>
              <w:pStyle w:val="BlockText"/>
            </w:pPr>
            <w:r w:rsidRPr="00BB1E65">
              <w:t xml:space="preserve">This type of information may be used in conjunction with objective clinical findings when, for example, evaluating psychiatric disabilities, examining FPOWs, or considering IU.  </w:t>
            </w:r>
          </w:p>
        </w:tc>
      </w:tr>
    </w:tbl>
    <w:p w14:paraId="120759C0" w14:textId="77777777" w:rsidR="00135DC0" w:rsidRPr="00BB1E65" w:rsidRDefault="00DE46D0">
      <w:pPr>
        <w:pStyle w:val="BlockLine"/>
      </w:pPr>
      <w:r w:rsidRPr="00BB1E65">
        <w:fldChar w:fldCharType="begin"/>
      </w:r>
      <w:r w:rsidR="00135DC0"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BB1E65" w14:paraId="120759C8" w14:textId="77777777">
        <w:trPr>
          <w:cantSplit/>
        </w:trPr>
        <w:tc>
          <w:tcPr>
            <w:tcW w:w="1728" w:type="dxa"/>
            <w:tcBorders>
              <w:top w:val="nil"/>
              <w:left w:val="nil"/>
              <w:bottom w:val="nil"/>
              <w:right w:val="nil"/>
            </w:tcBorders>
          </w:tcPr>
          <w:p w14:paraId="120759C1" w14:textId="6AFBEEB3" w:rsidR="00135DC0" w:rsidRPr="00BB1E65" w:rsidRDefault="00135DC0">
            <w:pPr>
              <w:pStyle w:val="Heading5"/>
            </w:pPr>
            <w:r w:rsidRPr="00BB1E65">
              <w:t xml:space="preserve">b.  When Social Surveys Can be Used to Evaluate Social and </w:t>
            </w:r>
            <w:r w:rsidR="00976BB1" w:rsidRPr="00BB1E65">
              <w:t>Occupational</w:t>
            </w:r>
            <w:r w:rsidRPr="00BB1E65">
              <w:t xml:space="preserve"> Impairment</w:t>
            </w:r>
          </w:p>
        </w:tc>
        <w:tc>
          <w:tcPr>
            <w:tcW w:w="7740" w:type="dxa"/>
            <w:tcBorders>
              <w:top w:val="nil"/>
              <w:left w:val="nil"/>
              <w:bottom w:val="nil"/>
              <w:right w:val="nil"/>
            </w:tcBorders>
          </w:tcPr>
          <w:p w14:paraId="120759C2" w14:textId="5E014A0D" w:rsidR="00135DC0" w:rsidRPr="00BB1E65" w:rsidRDefault="00135DC0">
            <w:pPr>
              <w:pStyle w:val="BlockText"/>
            </w:pPr>
            <w:r w:rsidRPr="00BB1E65">
              <w:t xml:space="preserve">A social survey is an acceptable type of evaluation of social or </w:t>
            </w:r>
            <w:r w:rsidR="00976BB1" w:rsidRPr="00BB1E65">
              <w:t xml:space="preserve">occupational </w:t>
            </w:r>
            <w:r w:rsidRPr="00BB1E65">
              <w:t xml:space="preserve">impairment if </w:t>
            </w:r>
          </w:p>
          <w:p w14:paraId="120759C3" w14:textId="77777777" w:rsidR="00135DC0" w:rsidRPr="00BB1E65" w:rsidRDefault="00135DC0">
            <w:pPr>
              <w:pStyle w:val="BlockText"/>
            </w:pPr>
          </w:p>
          <w:p w14:paraId="120759C4" w14:textId="77777777" w:rsidR="00135DC0" w:rsidRPr="00BB1E65" w:rsidRDefault="00135DC0">
            <w:pPr>
              <w:pStyle w:val="BulletText1"/>
            </w:pPr>
            <w:r w:rsidRPr="00BB1E65">
              <w:t>the rating issue pertains to the evaluation of disability, and</w:t>
            </w:r>
          </w:p>
          <w:p w14:paraId="120759C5" w14:textId="77777777" w:rsidR="00135DC0" w:rsidRPr="00BB1E65" w:rsidRDefault="00135DC0">
            <w:pPr>
              <w:pStyle w:val="BulletText1"/>
            </w:pPr>
            <w:r w:rsidRPr="00BB1E65">
              <w:t>a VA examination has established the diagnosis.</w:t>
            </w:r>
          </w:p>
          <w:p w14:paraId="120759C6" w14:textId="77777777" w:rsidR="00135DC0" w:rsidRPr="00BB1E65" w:rsidRDefault="00135DC0">
            <w:pPr>
              <w:pStyle w:val="BlockText"/>
            </w:pPr>
          </w:p>
          <w:p w14:paraId="120759C7" w14:textId="7282CCD4" w:rsidR="00135DC0" w:rsidRPr="00BB1E65" w:rsidRDefault="00135DC0" w:rsidP="0032164A">
            <w:pPr>
              <w:pStyle w:val="BlockText"/>
            </w:pPr>
            <w:r w:rsidRPr="00BB1E65">
              <w:rPr>
                <w:b/>
                <w:bCs/>
                <w:i/>
                <w:iCs/>
              </w:rPr>
              <w:t>Reference</w:t>
            </w:r>
            <w:r w:rsidRPr="00BB1E65">
              <w:t xml:space="preserve">:  For information on social surveys for FPOWs, see </w:t>
            </w:r>
            <w:r w:rsidR="009D430B" w:rsidRPr="00BB1E65">
              <w:t>M21-1, Part III, Subpart iv, 3.A.12</w:t>
            </w:r>
            <w:r w:rsidRPr="00BB1E65">
              <w:t>.</w:t>
            </w:r>
          </w:p>
        </w:tc>
      </w:tr>
    </w:tbl>
    <w:p w14:paraId="120759CB" w14:textId="77777777" w:rsidR="00135DC0" w:rsidRPr="00BB1E65" w:rsidRDefault="00DE46D0">
      <w:pPr>
        <w:pStyle w:val="BlockLine"/>
      </w:pPr>
      <w:r w:rsidRPr="00BB1E65">
        <w:fldChar w:fldCharType="begin"/>
      </w:r>
      <w:r w:rsidR="00135DC0"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BB1E65" w14:paraId="120759D8" w14:textId="77777777" w:rsidTr="002E6736">
        <w:tc>
          <w:tcPr>
            <w:tcW w:w="1728" w:type="dxa"/>
            <w:tcBorders>
              <w:top w:val="nil"/>
              <w:left w:val="nil"/>
              <w:bottom w:val="nil"/>
              <w:right w:val="nil"/>
            </w:tcBorders>
          </w:tcPr>
          <w:p w14:paraId="120759CC" w14:textId="77777777" w:rsidR="00135DC0" w:rsidRPr="00BB1E65" w:rsidRDefault="00135DC0">
            <w:pPr>
              <w:pStyle w:val="Heading5"/>
            </w:pPr>
            <w:r w:rsidRPr="00BB1E65">
              <w:t>c.  When Social Surveys Should Be Used to Evaluate Physical or Mental Disability</w:t>
            </w:r>
          </w:p>
        </w:tc>
        <w:tc>
          <w:tcPr>
            <w:tcW w:w="7740" w:type="dxa"/>
            <w:tcBorders>
              <w:top w:val="nil"/>
              <w:left w:val="nil"/>
              <w:bottom w:val="nil"/>
              <w:right w:val="nil"/>
            </w:tcBorders>
          </w:tcPr>
          <w:p w14:paraId="120759CD" w14:textId="4DDF07EA" w:rsidR="00135DC0" w:rsidRPr="00BB1E65" w:rsidRDefault="00135DC0">
            <w:pPr>
              <w:pStyle w:val="BlockText"/>
            </w:pPr>
            <w:r w:rsidRPr="00BB1E65">
              <w:t xml:space="preserve">When a clinical examination alone would not provide sufficient information to assess the impact of physical and/or mental disability on the Veteran’s capacity to interact with others and function in an </w:t>
            </w:r>
            <w:r w:rsidR="00976BB1" w:rsidRPr="00BB1E65">
              <w:t xml:space="preserve">occupational </w:t>
            </w:r>
            <w:r w:rsidRPr="00BB1E65">
              <w:t xml:space="preserve">setting, request a social survey.  </w:t>
            </w:r>
          </w:p>
          <w:p w14:paraId="120759CE" w14:textId="77777777" w:rsidR="00135DC0" w:rsidRPr="00BB1E65" w:rsidRDefault="00135DC0">
            <w:pPr>
              <w:pStyle w:val="BlockText"/>
            </w:pPr>
          </w:p>
          <w:p w14:paraId="120759CF" w14:textId="77777777" w:rsidR="00135DC0" w:rsidRPr="00BB1E65" w:rsidRDefault="00135DC0">
            <w:pPr>
              <w:pStyle w:val="BlockText"/>
            </w:pPr>
            <w:r w:rsidRPr="00BB1E65">
              <w:t>A social survey may be especially useful in cases concerning Veterans with</w:t>
            </w:r>
          </w:p>
          <w:p w14:paraId="120759D0" w14:textId="77777777" w:rsidR="00135DC0" w:rsidRPr="00BB1E65" w:rsidRDefault="00135DC0">
            <w:pPr>
              <w:pStyle w:val="BlockText"/>
            </w:pPr>
          </w:p>
          <w:p w14:paraId="120759D1" w14:textId="77777777" w:rsidR="00135DC0" w:rsidRPr="00BB1E65" w:rsidRDefault="00135DC0">
            <w:pPr>
              <w:pStyle w:val="BulletText1"/>
            </w:pPr>
            <w:r w:rsidRPr="00BB1E65">
              <w:t>psychiatric illness</w:t>
            </w:r>
          </w:p>
          <w:p w14:paraId="120759D2" w14:textId="77777777" w:rsidR="00135DC0" w:rsidRPr="00BB1E65" w:rsidRDefault="00135DC0">
            <w:pPr>
              <w:pStyle w:val="BulletText1"/>
            </w:pPr>
            <w:r w:rsidRPr="00BB1E65">
              <w:t>arrested tuberculosis</w:t>
            </w:r>
          </w:p>
          <w:p w14:paraId="120759D3" w14:textId="77777777" w:rsidR="00135DC0" w:rsidRPr="00BB1E65" w:rsidRDefault="00135DC0">
            <w:pPr>
              <w:pStyle w:val="BulletText1"/>
            </w:pPr>
            <w:r w:rsidRPr="00BB1E65">
              <w:t>loss of limbs, sight, or hearing</w:t>
            </w:r>
          </w:p>
          <w:p w14:paraId="120759D4" w14:textId="77777777" w:rsidR="00135DC0" w:rsidRPr="00BB1E65" w:rsidRDefault="00135DC0">
            <w:pPr>
              <w:pStyle w:val="BulletText1"/>
            </w:pPr>
            <w:r w:rsidRPr="00BB1E65">
              <w:t xml:space="preserve">physical disfigurement resulting in feelings of inferiority, or </w:t>
            </w:r>
          </w:p>
          <w:p w14:paraId="120759D5" w14:textId="77777777" w:rsidR="00135DC0" w:rsidRPr="00BB1E65" w:rsidRDefault="00135DC0">
            <w:pPr>
              <w:pStyle w:val="BulletText1"/>
            </w:pPr>
            <w:r w:rsidRPr="00BB1E65">
              <w:t>epilepsy.</w:t>
            </w:r>
          </w:p>
          <w:p w14:paraId="120759D6" w14:textId="77777777" w:rsidR="00135DC0" w:rsidRPr="00BB1E65" w:rsidRDefault="00135DC0">
            <w:pPr>
              <w:pStyle w:val="BlockText"/>
            </w:pPr>
          </w:p>
          <w:p w14:paraId="120759D7" w14:textId="77777777" w:rsidR="00135DC0" w:rsidRPr="00BB1E65" w:rsidRDefault="00135DC0">
            <w:pPr>
              <w:pStyle w:val="BlockText"/>
            </w:pPr>
            <w:r w:rsidRPr="00BB1E65">
              <w:rPr>
                <w:b/>
                <w:bCs/>
                <w:i/>
                <w:iCs/>
              </w:rPr>
              <w:t>Important</w:t>
            </w:r>
            <w:r w:rsidRPr="00BB1E65">
              <w:t>:  Do not request a social survey in a case involving epilepsy without first obtaining the consent of the claimant.</w:t>
            </w:r>
          </w:p>
        </w:tc>
      </w:tr>
    </w:tbl>
    <w:p w14:paraId="120759D9" w14:textId="77777777" w:rsidR="00135DC0" w:rsidRPr="00BB1E65" w:rsidRDefault="00DE46D0">
      <w:pPr>
        <w:pStyle w:val="BlockLine"/>
      </w:pPr>
      <w:r w:rsidRPr="00BB1E65">
        <w:lastRenderedPageBreak/>
        <w:fldChar w:fldCharType="begin"/>
      </w:r>
      <w:r w:rsidR="00135DC0" w:rsidRPr="00BB1E65">
        <w:instrText xml:space="preserve"> PRIVATE INFOTYPE="CONCEPT"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BB1E65" w14:paraId="120759DC" w14:textId="77777777">
        <w:trPr>
          <w:cantSplit/>
        </w:trPr>
        <w:tc>
          <w:tcPr>
            <w:tcW w:w="1728" w:type="dxa"/>
            <w:tcBorders>
              <w:top w:val="nil"/>
              <w:left w:val="nil"/>
              <w:bottom w:val="nil"/>
              <w:right w:val="nil"/>
            </w:tcBorders>
          </w:tcPr>
          <w:p w14:paraId="120759DA" w14:textId="77777777" w:rsidR="00135DC0" w:rsidRPr="00BB1E65" w:rsidRDefault="00135DC0">
            <w:pPr>
              <w:pStyle w:val="Heading5"/>
            </w:pPr>
            <w:r w:rsidRPr="00BB1E65">
              <w:t>d.  Who Conducts a Social Survey</w:t>
            </w:r>
          </w:p>
        </w:tc>
        <w:tc>
          <w:tcPr>
            <w:tcW w:w="7740" w:type="dxa"/>
            <w:tcBorders>
              <w:top w:val="nil"/>
              <w:left w:val="nil"/>
              <w:bottom w:val="nil"/>
              <w:right w:val="nil"/>
            </w:tcBorders>
          </w:tcPr>
          <w:p w14:paraId="120759DB" w14:textId="498D7D88" w:rsidR="00135DC0" w:rsidRPr="00BB1E65" w:rsidRDefault="00135DC0">
            <w:pPr>
              <w:pStyle w:val="BlockText"/>
              <w:rPr>
                <w:b/>
                <w:bCs/>
              </w:rPr>
            </w:pPr>
            <w:r w:rsidRPr="00BB1E65">
              <w:t>Social workers are responsible for conducting comprehensive social surveys for medical and rating purposes.</w:t>
            </w:r>
            <w:r w:rsidR="00B26C5C" w:rsidRPr="00BB1E65">
              <w:t xml:space="preserve"> </w:t>
            </w:r>
            <w:r w:rsidR="00FB5D28" w:rsidRPr="00BB1E65">
              <w:t xml:space="preserve"> </w:t>
            </w:r>
            <w:r w:rsidR="00B26C5C" w:rsidRPr="00BB1E65">
              <w:t>In some instances, a designated VHA Coordinator, such as homeless</w:t>
            </w:r>
            <w:r w:rsidR="00C70D91" w:rsidRPr="00BB1E65">
              <w:t xml:space="preserve"> Veterans coordinators or FPOW c</w:t>
            </w:r>
            <w:r w:rsidR="00B26C5C" w:rsidRPr="00BB1E65">
              <w:t>oordinators may be responsible for conducting the social surveys.</w:t>
            </w:r>
          </w:p>
        </w:tc>
      </w:tr>
    </w:tbl>
    <w:p w14:paraId="120759DD" w14:textId="77777777" w:rsidR="00135DC0" w:rsidRPr="00BB1E65" w:rsidRDefault="00DE46D0">
      <w:pPr>
        <w:pStyle w:val="BlockLine"/>
      </w:pPr>
      <w:r w:rsidRPr="00BB1E65">
        <w:fldChar w:fldCharType="begin"/>
      </w:r>
      <w:r w:rsidR="00135DC0" w:rsidRPr="00BB1E65">
        <w:instrText xml:space="preserve"> PRIVATE INFOTYPE="PROCEDURE"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BB1E65" w14:paraId="120759E4" w14:textId="77777777">
        <w:trPr>
          <w:cantSplit/>
        </w:trPr>
        <w:tc>
          <w:tcPr>
            <w:tcW w:w="1728" w:type="dxa"/>
            <w:tcBorders>
              <w:top w:val="nil"/>
              <w:left w:val="nil"/>
              <w:bottom w:val="nil"/>
              <w:right w:val="nil"/>
            </w:tcBorders>
          </w:tcPr>
          <w:p w14:paraId="120759DE" w14:textId="77777777" w:rsidR="00135DC0" w:rsidRPr="00BB1E65" w:rsidRDefault="00135DC0">
            <w:pPr>
              <w:pStyle w:val="Heading5"/>
            </w:pPr>
            <w:r w:rsidRPr="00BB1E65">
              <w:t>e.  Considerations When Requesting a Social Survey</w:t>
            </w:r>
          </w:p>
        </w:tc>
        <w:tc>
          <w:tcPr>
            <w:tcW w:w="7740" w:type="dxa"/>
            <w:tcBorders>
              <w:top w:val="nil"/>
              <w:left w:val="nil"/>
              <w:bottom w:val="nil"/>
              <w:right w:val="nil"/>
            </w:tcBorders>
          </w:tcPr>
          <w:p w14:paraId="120759DF" w14:textId="77777777" w:rsidR="00135DC0" w:rsidRPr="00BB1E65" w:rsidRDefault="00135DC0">
            <w:pPr>
              <w:pStyle w:val="BlockText"/>
            </w:pPr>
            <w:r w:rsidRPr="00BB1E65">
              <w:t>A DBQ does not exist for social surveys.  Include ample information on the examination request concerning the</w:t>
            </w:r>
          </w:p>
          <w:p w14:paraId="120759E0" w14:textId="77777777" w:rsidR="00135DC0" w:rsidRPr="00BB1E65" w:rsidRDefault="00135DC0">
            <w:pPr>
              <w:pStyle w:val="BlockText"/>
            </w:pPr>
          </w:p>
          <w:p w14:paraId="120759E1" w14:textId="77777777" w:rsidR="00135DC0" w:rsidRPr="00BB1E65" w:rsidRDefault="00135DC0">
            <w:pPr>
              <w:pStyle w:val="BulletText1"/>
            </w:pPr>
            <w:r w:rsidRPr="00BB1E65">
              <w:t>purpose of the examination, and</w:t>
            </w:r>
          </w:p>
          <w:p w14:paraId="120759E3" w14:textId="5A6B0AA3" w:rsidR="00135DC0" w:rsidRPr="00BB1E65" w:rsidRDefault="00135DC0" w:rsidP="00E04058">
            <w:pPr>
              <w:pStyle w:val="BulletText1"/>
            </w:pPr>
            <w:r w:rsidRPr="00BB1E65">
              <w:t>evidence required for rating purposes to assist the social worker conducting the survey.</w:t>
            </w:r>
          </w:p>
        </w:tc>
      </w:tr>
    </w:tbl>
    <w:p w14:paraId="120759E5" w14:textId="77777777" w:rsidR="00135DC0" w:rsidRPr="00BB1E65" w:rsidRDefault="00DE46D0">
      <w:pPr>
        <w:pStyle w:val="BlockLine"/>
      </w:pPr>
      <w:r w:rsidRPr="00BB1E65">
        <w:fldChar w:fldCharType="begin"/>
      </w:r>
      <w:r w:rsidR="00135DC0" w:rsidRPr="00BB1E65">
        <w:instrText xml:space="preserve"> PRIVATE INFOTYPE="PROCEDURE"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BB1E65" w14:paraId="120759E8" w14:textId="77777777">
        <w:trPr>
          <w:cantSplit/>
        </w:trPr>
        <w:tc>
          <w:tcPr>
            <w:tcW w:w="1728" w:type="dxa"/>
            <w:tcBorders>
              <w:top w:val="nil"/>
              <w:left w:val="nil"/>
              <w:bottom w:val="nil"/>
              <w:right w:val="nil"/>
            </w:tcBorders>
          </w:tcPr>
          <w:p w14:paraId="120759E6" w14:textId="77777777" w:rsidR="00135DC0" w:rsidRPr="00BB1E65" w:rsidRDefault="00135DC0">
            <w:pPr>
              <w:pStyle w:val="Heading5"/>
            </w:pPr>
            <w:r w:rsidRPr="00BB1E65">
              <w:t>f.  Returning Social Surveys for Clarification</w:t>
            </w:r>
          </w:p>
        </w:tc>
        <w:tc>
          <w:tcPr>
            <w:tcW w:w="7740" w:type="dxa"/>
            <w:tcBorders>
              <w:top w:val="nil"/>
              <w:left w:val="nil"/>
              <w:bottom w:val="nil"/>
              <w:right w:val="nil"/>
            </w:tcBorders>
          </w:tcPr>
          <w:p w14:paraId="120759E7" w14:textId="77777777" w:rsidR="00135DC0" w:rsidRPr="00BB1E65" w:rsidRDefault="00135DC0">
            <w:pPr>
              <w:pStyle w:val="BlockText"/>
            </w:pPr>
            <w:r w:rsidRPr="00BB1E65">
              <w:t>If the rating activity determines that the social survey report is inadequate for rating purposes, it must return the report for clarification.</w:t>
            </w:r>
          </w:p>
        </w:tc>
      </w:tr>
    </w:tbl>
    <w:p w14:paraId="068E80AA" w14:textId="3173C087" w:rsidR="00D339A1" w:rsidRPr="00BB1E65" w:rsidRDefault="00E04058" w:rsidP="007607A3">
      <w:pPr>
        <w:pStyle w:val="BlockLine"/>
      </w:pPr>
      <w:r w:rsidRPr="00BB1E65">
        <w:t xml:space="preserve"> </w:t>
      </w:r>
    </w:p>
    <w:p w14:paraId="12075AD4" w14:textId="450711BE" w:rsidR="00135DC0" w:rsidRPr="00BB1E65" w:rsidRDefault="00135DC0" w:rsidP="00090B75">
      <w:pPr>
        <w:pStyle w:val="Heading4"/>
      </w:pPr>
      <w:r w:rsidRPr="00BB1E65">
        <w:br w:type="page"/>
      </w:r>
      <w:bookmarkStart w:id="15" w:name="_.__Former"/>
      <w:bookmarkEnd w:id="15"/>
      <w:r w:rsidR="007D015E" w:rsidRPr="00BB1E65">
        <w:lastRenderedPageBreak/>
        <w:t>11</w:t>
      </w:r>
      <w:r w:rsidRPr="00BB1E65">
        <w:t>.  FPOW Protocol Examinations</w:t>
      </w:r>
    </w:p>
    <w:p w14:paraId="12075AD5" w14:textId="77777777" w:rsidR="00135DC0" w:rsidRPr="00BB1E65" w:rsidRDefault="00DE46D0">
      <w:pPr>
        <w:pStyle w:val="BlockLine"/>
      </w:pPr>
      <w:r w:rsidRPr="00BB1E65">
        <w:fldChar w:fldCharType="begin"/>
      </w:r>
      <w:r w:rsidR="00135DC0" w:rsidRPr="00BB1E65">
        <w:instrText xml:space="preserve"> PRIVATE INFOTYPE="OTHER"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BB1E65" w14:paraId="12075ADE" w14:textId="77777777">
        <w:trPr>
          <w:cantSplit/>
        </w:trPr>
        <w:tc>
          <w:tcPr>
            <w:tcW w:w="1728" w:type="dxa"/>
            <w:tcBorders>
              <w:top w:val="nil"/>
              <w:left w:val="nil"/>
              <w:bottom w:val="nil"/>
              <w:right w:val="nil"/>
            </w:tcBorders>
          </w:tcPr>
          <w:p w14:paraId="12075AD6" w14:textId="77777777" w:rsidR="00135DC0" w:rsidRPr="00BB1E65" w:rsidRDefault="00135DC0">
            <w:pPr>
              <w:pStyle w:val="Heading5"/>
            </w:pPr>
            <w:r w:rsidRPr="00BB1E65">
              <w:t>Introduction</w:t>
            </w:r>
          </w:p>
        </w:tc>
        <w:tc>
          <w:tcPr>
            <w:tcW w:w="7740" w:type="dxa"/>
            <w:tcBorders>
              <w:top w:val="nil"/>
              <w:left w:val="nil"/>
              <w:bottom w:val="nil"/>
              <w:right w:val="nil"/>
            </w:tcBorders>
          </w:tcPr>
          <w:p w14:paraId="12075AD7" w14:textId="77777777" w:rsidR="00135DC0" w:rsidRPr="00BB1E65" w:rsidRDefault="00135DC0">
            <w:pPr>
              <w:pStyle w:val="BlockText"/>
            </w:pPr>
            <w:r w:rsidRPr="00BB1E65">
              <w:t>This topic contains information about FPOW protocol examinations, including</w:t>
            </w:r>
          </w:p>
          <w:p w14:paraId="12075AD8" w14:textId="77777777" w:rsidR="00135DC0" w:rsidRPr="00BB1E65" w:rsidRDefault="00135DC0">
            <w:pPr>
              <w:pStyle w:val="BlockText"/>
            </w:pPr>
          </w:p>
          <w:p w14:paraId="12075AD9" w14:textId="77777777" w:rsidR="00135DC0" w:rsidRPr="00BB1E65" w:rsidRDefault="00135DC0">
            <w:pPr>
              <w:pStyle w:val="BulletText1"/>
            </w:pPr>
            <w:r w:rsidRPr="00BB1E65">
              <w:t>reviewing FPOW claims</w:t>
            </w:r>
          </w:p>
          <w:p w14:paraId="12075ADA" w14:textId="77777777" w:rsidR="00135DC0" w:rsidRPr="00BB1E65" w:rsidRDefault="00135DC0">
            <w:pPr>
              <w:pStyle w:val="BulletText1"/>
            </w:pPr>
            <w:r w:rsidRPr="00BB1E65">
              <w:t>considerations when requesting an FPOW protocol examination</w:t>
            </w:r>
          </w:p>
          <w:p w14:paraId="12075ADB" w14:textId="2A108D3F" w:rsidR="00135DC0" w:rsidRPr="00BB1E65" w:rsidRDefault="00135DC0">
            <w:pPr>
              <w:pStyle w:val="BulletText1"/>
            </w:pPr>
            <w:r w:rsidRPr="00BB1E65">
              <w:t>when to order initial FPOW protocol examinations</w:t>
            </w:r>
            <w:r w:rsidR="00701286" w:rsidRPr="00BB1E65">
              <w:t>, and</w:t>
            </w:r>
          </w:p>
          <w:p w14:paraId="12075ADD" w14:textId="7F440315" w:rsidR="00135DC0" w:rsidRPr="00BB1E65" w:rsidRDefault="00135DC0" w:rsidP="00701286">
            <w:pPr>
              <w:pStyle w:val="BulletText1"/>
            </w:pPr>
            <w:r w:rsidRPr="00BB1E65">
              <w:t>how to order initial FPOW protocol examinations</w:t>
            </w:r>
            <w:r w:rsidR="00701286" w:rsidRPr="00BB1E65">
              <w:t>.</w:t>
            </w:r>
          </w:p>
        </w:tc>
      </w:tr>
    </w:tbl>
    <w:p w14:paraId="12075ADF" w14:textId="77777777" w:rsidR="00135DC0" w:rsidRPr="00BB1E65" w:rsidRDefault="00135DC0">
      <w:pPr>
        <w:pStyle w:val="BlockLine"/>
      </w:pPr>
    </w:p>
    <w:tbl>
      <w:tblPr>
        <w:tblW w:w="0" w:type="auto"/>
        <w:tblInd w:w="-106" w:type="dxa"/>
        <w:tblLayout w:type="fixed"/>
        <w:tblLook w:val="0000" w:firstRow="0" w:lastRow="0" w:firstColumn="0" w:lastColumn="0" w:noHBand="0" w:noVBand="0"/>
      </w:tblPr>
      <w:tblGrid>
        <w:gridCol w:w="1728"/>
        <w:gridCol w:w="7740"/>
      </w:tblGrid>
      <w:tr w:rsidR="00135DC0" w:rsidRPr="00BB1E65" w14:paraId="12075AE2" w14:textId="77777777">
        <w:trPr>
          <w:cantSplit/>
        </w:trPr>
        <w:tc>
          <w:tcPr>
            <w:tcW w:w="1728" w:type="dxa"/>
            <w:tcBorders>
              <w:top w:val="nil"/>
              <w:left w:val="nil"/>
              <w:bottom w:val="nil"/>
              <w:right w:val="nil"/>
            </w:tcBorders>
          </w:tcPr>
          <w:p w14:paraId="12075AE0" w14:textId="77777777" w:rsidR="00135DC0" w:rsidRPr="00BB1E65" w:rsidRDefault="00135DC0">
            <w:pPr>
              <w:pStyle w:val="Heading5"/>
            </w:pPr>
            <w:r w:rsidRPr="00BB1E65">
              <w:t>Change Date</w:t>
            </w:r>
          </w:p>
        </w:tc>
        <w:tc>
          <w:tcPr>
            <w:tcW w:w="7740" w:type="dxa"/>
            <w:tcBorders>
              <w:top w:val="nil"/>
              <w:left w:val="nil"/>
              <w:bottom w:val="nil"/>
              <w:right w:val="nil"/>
            </w:tcBorders>
          </w:tcPr>
          <w:p w14:paraId="12075AE1" w14:textId="588701AB" w:rsidR="00135DC0" w:rsidRPr="00BB1E65" w:rsidRDefault="00892D5C">
            <w:pPr>
              <w:pStyle w:val="BlockText"/>
            </w:pPr>
            <w:r w:rsidRPr="00BB1E65">
              <w:t>July 30, 2015</w:t>
            </w:r>
          </w:p>
        </w:tc>
      </w:tr>
    </w:tbl>
    <w:p w14:paraId="12075AE3" w14:textId="77777777" w:rsidR="00135DC0" w:rsidRPr="00BB1E65" w:rsidRDefault="00DE46D0">
      <w:pPr>
        <w:pStyle w:val="BlockLine"/>
      </w:pPr>
      <w:r w:rsidRPr="00BB1E65">
        <w:fldChar w:fldCharType="begin"/>
      </w:r>
      <w:r w:rsidR="00135DC0" w:rsidRPr="00BB1E65">
        <w:instrText xml:space="preserve"> PRIVATE INFOTYPE="PROCEDURE" </w:instrText>
      </w:r>
      <w:r w:rsidRPr="00BB1E65">
        <w:fldChar w:fldCharType="end"/>
      </w:r>
    </w:p>
    <w:tbl>
      <w:tblPr>
        <w:tblW w:w="9468" w:type="dxa"/>
        <w:tblInd w:w="-106" w:type="dxa"/>
        <w:tblLayout w:type="fixed"/>
        <w:tblLook w:val="0000" w:firstRow="0" w:lastRow="0" w:firstColumn="0" w:lastColumn="0" w:noHBand="0" w:noVBand="0"/>
      </w:tblPr>
      <w:tblGrid>
        <w:gridCol w:w="1728"/>
        <w:gridCol w:w="7740"/>
      </w:tblGrid>
      <w:tr w:rsidR="00135DC0" w:rsidRPr="00BB1E65" w14:paraId="12075AE9" w14:textId="77777777">
        <w:trPr>
          <w:cantSplit/>
        </w:trPr>
        <w:tc>
          <w:tcPr>
            <w:tcW w:w="1728" w:type="dxa"/>
            <w:tcBorders>
              <w:top w:val="nil"/>
              <w:left w:val="nil"/>
              <w:bottom w:val="nil"/>
              <w:right w:val="nil"/>
            </w:tcBorders>
          </w:tcPr>
          <w:p w14:paraId="12075AE4" w14:textId="77777777" w:rsidR="00135DC0" w:rsidRPr="00BB1E65" w:rsidRDefault="00135DC0">
            <w:pPr>
              <w:pStyle w:val="Heading5"/>
            </w:pPr>
            <w:r w:rsidRPr="00BB1E65">
              <w:t>a.  Reviewing FPOW Claims</w:t>
            </w:r>
          </w:p>
        </w:tc>
        <w:tc>
          <w:tcPr>
            <w:tcW w:w="7740" w:type="dxa"/>
            <w:tcBorders>
              <w:top w:val="nil"/>
              <w:left w:val="nil"/>
              <w:bottom w:val="nil"/>
              <w:right w:val="nil"/>
            </w:tcBorders>
          </w:tcPr>
          <w:p w14:paraId="12075AE5" w14:textId="77777777" w:rsidR="00135DC0" w:rsidRPr="00BB1E65" w:rsidRDefault="00135DC0">
            <w:pPr>
              <w:pStyle w:val="BlockText"/>
            </w:pPr>
            <w:r w:rsidRPr="00BB1E65">
              <w:t>Review all FPOW claims, including original claims, reopened claims, and claims for an increased evaluation, to determine if the</w:t>
            </w:r>
          </w:p>
          <w:p w14:paraId="12075AE6" w14:textId="77777777" w:rsidR="00135DC0" w:rsidRPr="00BB1E65" w:rsidRDefault="00135DC0">
            <w:pPr>
              <w:pStyle w:val="BlockText"/>
            </w:pPr>
          </w:p>
          <w:p w14:paraId="12075AE7" w14:textId="6F373F4D" w:rsidR="00135DC0" w:rsidRPr="00BB1E65" w:rsidRDefault="00316C39">
            <w:pPr>
              <w:pStyle w:val="BulletText1"/>
            </w:pPr>
            <w:r w:rsidRPr="00BB1E65">
              <w:t xml:space="preserve">Veteran’s </w:t>
            </w:r>
            <w:r w:rsidR="00135DC0" w:rsidRPr="00BB1E65">
              <w:t>record confirms FPOW</w:t>
            </w:r>
            <w:r w:rsidRPr="00BB1E65">
              <w:t xml:space="preserve"> status</w:t>
            </w:r>
            <w:r w:rsidR="00135DC0" w:rsidRPr="00BB1E65">
              <w:t>, and</w:t>
            </w:r>
          </w:p>
          <w:p w14:paraId="64EB8989" w14:textId="77777777" w:rsidR="00135DC0" w:rsidRPr="00BB1E65" w:rsidRDefault="00135DC0">
            <w:pPr>
              <w:pStyle w:val="BulletText1"/>
            </w:pPr>
            <w:r w:rsidRPr="00BB1E65">
              <w:t>Veteran was examined under the FPOW protocol, including a social survey.</w:t>
            </w:r>
          </w:p>
          <w:p w14:paraId="1EE82911" w14:textId="77777777" w:rsidR="0092707D" w:rsidRPr="00BB1E65" w:rsidRDefault="0092707D" w:rsidP="00D60F23">
            <w:pPr>
              <w:pStyle w:val="BulletText1"/>
              <w:numPr>
                <w:ilvl w:val="0"/>
                <w:numId w:val="0"/>
              </w:numPr>
              <w:ind w:left="173" w:hanging="173"/>
            </w:pPr>
          </w:p>
          <w:p w14:paraId="6828A460" w14:textId="5505BA1C" w:rsidR="0092707D" w:rsidRPr="00BB1E65" w:rsidRDefault="0092707D" w:rsidP="00D60F23">
            <w:pPr>
              <w:pStyle w:val="BulletText1"/>
              <w:numPr>
                <w:ilvl w:val="0"/>
                <w:numId w:val="0"/>
              </w:numPr>
              <w:ind w:left="173" w:hanging="173"/>
            </w:pPr>
            <w:r w:rsidRPr="00BB1E65">
              <w:rPr>
                <w:b/>
                <w:i/>
              </w:rPr>
              <w:t>References</w:t>
            </w:r>
            <w:r w:rsidRPr="00BB1E65">
              <w:t xml:space="preserve">: </w:t>
            </w:r>
            <w:r w:rsidR="006E7A17" w:rsidRPr="00BB1E65">
              <w:t xml:space="preserve"> F</w:t>
            </w:r>
            <w:r w:rsidRPr="00BB1E65">
              <w:t>or more information on</w:t>
            </w:r>
          </w:p>
          <w:p w14:paraId="6BE1D9AD" w14:textId="2F283489" w:rsidR="0092707D" w:rsidRPr="00BB1E65" w:rsidRDefault="0092707D" w:rsidP="00661A60">
            <w:pPr>
              <w:pStyle w:val="ListParagraph"/>
              <w:numPr>
                <w:ilvl w:val="0"/>
                <w:numId w:val="27"/>
              </w:numPr>
              <w:ind w:left="158" w:hanging="187"/>
            </w:pPr>
            <w:r w:rsidRPr="00BB1E65">
              <w:t>FPOW status, see M21-1, Part III, Subpart v, 1.C</w:t>
            </w:r>
          </w:p>
          <w:p w14:paraId="658A387E" w14:textId="77777777" w:rsidR="00333E1D" w:rsidRPr="00BB1E65" w:rsidRDefault="0092707D" w:rsidP="00661A60">
            <w:pPr>
              <w:pStyle w:val="ListParagraph"/>
              <w:numPr>
                <w:ilvl w:val="0"/>
                <w:numId w:val="27"/>
              </w:numPr>
              <w:ind w:left="158" w:hanging="187"/>
            </w:pPr>
            <w:r w:rsidRPr="00BB1E65">
              <w:t>developing claims that are based on FPOW status, see M21-1, Part IV, Subpart ii, 1.G</w:t>
            </w:r>
            <w:r w:rsidR="00333E1D" w:rsidRPr="00BB1E65">
              <w:t>, and</w:t>
            </w:r>
          </w:p>
          <w:p w14:paraId="12075AE8" w14:textId="3C9B16B0" w:rsidR="0092707D" w:rsidRPr="00BB1E65" w:rsidRDefault="00333E1D" w:rsidP="00661A60">
            <w:pPr>
              <w:pStyle w:val="ListParagraph"/>
              <w:numPr>
                <w:ilvl w:val="0"/>
                <w:numId w:val="27"/>
              </w:numPr>
              <w:ind w:left="158" w:hanging="187"/>
            </w:pPr>
            <w:r w:rsidRPr="00BB1E65">
              <w:t>service records for FPOW claims, see M21-1, Part III, Subpart iii, 2.G.</w:t>
            </w:r>
          </w:p>
        </w:tc>
      </w:tr>
    </w:tbl>
    <w:p w14:paraId="12075AEA" w14:textId="02A63483" w:rsidR="00135DC0" w:rsidRPr="00BB1E65" w:rsidRDefault="00DE46D0">
      <w:pPr>
        <w:pStyle w:val="BlockLine"/>
      </w:pPr>
      <w:r w:rsidRPr="00BB1E65">
        <w:fldChar w:fldCharType="begin"/>
      </w:r>
      <w:r w:rsidR="00135DC0" w:rsidRPr="00BB1E65">
        <w:instrText xml:space="preserve"> PRIVATE INFOTYPE="PROCEDURE"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BB1E65" w14:paraId="12075AF0" w14:textId="77777777">
        <w:trPr>
          <w:cantSplit/>
        </w:trPr>
        <w:tc>
          <w:tcPr>
            <w:tcW w:w="1728" w:type="dxa"/>
            <w:tcBorders>
              <w:top w:val="nil"/>
              <w:left w:val="nil"/>
              <w:bottom w:val="nil"/>
              <w:right w:val="nil"/>
            </w:tcBorders>
          </w:tcPr>
          <w:p w14:paraId="12075AEB" w14:textId="77777777" w:rsidR="00135DC0" w:rsidRPr="00BB1E65" w:rsidRDefault="00135DC0">
            <w:pPr>
              <w:pStyle w:val="Heading5"/>
            </w:pPr>
            <w:r w:rsidRPr="00BB1E65">
              <w:t>b.  Considerations When Requesting an FPOW Protocol Examination</w:t>
            </w:r>
          </w:p>
        </w:tc>
        <w:tc>
          <w:tcPr>
            <w:tcW w:w="7740" w:type="dxa"/>
            <w:tcBorders>
              <w:top w:val="nil"/>
              <w:left w:val="nil"/>
              <w:bottom w:val="nil"/>
              <w:right w:val="nil"/>
            </w:tcBorders>
          </w:tcPr>
          <w:p w14:paraId="12075AEC" w14:textId="24C24531" w:rsidR="00135DC0" w:rsidRPr="00BB1E65" w:rsidRDefault="00135DC0">
            <w:pPr>
              <w:pStyle w:val="BlockText"/>
            </w:pPr>
            <w:r w:rsidRPr="00BB1E65">
              <w:t>If the FPOW was not examined under the FPOW protocol, request an examination utilizing the FPOW Protocol DBQ</w:t>
            </w:r>
            <w:r w:rsidR="00333E1D" w:rsidRPr="00BB1E65">
              <w:t>,</w:t>
            </w:r>
            <w:r w:rsidRPr="00BB1E65">
              <w:t xml:space="preserve"> unless it</w:t>
            </w:r>
          </w:p>
          <w:p w14:paraId="12075AED" w14:textId="77777777" w:rsidR="00135DC0" w:rsidRPr="00BB1E65" w:rsidRDefault="00135DC0">
            <w:pPr>
              <w:pStyle w:val="BlockText"/>
            </w:pPr>
          </w:p>
          <w:p w14:paraId="12075AEE" w14:textId="77777777" w:rsidR="00135DC0" w:rsidRPr="00BB1E65" w:rsidRDefault="00135DC0">
            <w:pPr>
              <w:pStyle w:val="BulletText1"/>
            </w:pPr>
            <w:r w:rsidRPr="00BB1E65">
              <w:t>would be inadvisable in light of the Veteran’s medical condition, or</w:t>
            </w:r>
          </w:p>
          <w:p w14:paraId="4DA5457C" w14:textId="77777777" w:rsidR="00135DC0" w:rsidRPr="00BB1E65" w:rsidRDefault="00135DC0">
            <w:pPr>
              <w:pStyle w:val="BulletText1"/>
            </w:pPr>
            <w:r w:rsidRPr="00BB1E65">
              <w:t>is specifically declined by the Veteran or the Veteran’s representative.</w:t>
            </w:r>
          </w:p>
          <w:p w14:paraId="5867923E" w14:textId="77777777" w:rsidR="00D60F23" w:rsidRPr="00BB1E65" w:rsidRDefault="00D60F23" w:rsidP="00D60F23">
            <w:pPr>
              <w:pStyle w:val="BulletText1"/>
              <w:numPr>
                <w:ilvl w:val="0"/>
                <w:numId w:val="0"/>
              </w:numPr>
              <w:ind w:left="173" w:hanging="173"/>
            </w:pPr>
          </w:p>
          <w:p w14:paraId="0A94B851" w14:textId="11DB0226" w:rsidR="00D60F23" w:rsidRPr="00BB1E65" w:rsidRDefault="00D60F23" w:rsidP="00D60F23">
            <w:pPr>
              <w:pStyle w:val="BulletText1"/>
              <w:numPr>
                <w:ilvl w:val="0"/>
                <w:numId w:val="0"/>
              </w:numPr>
              <w:ind w:left="-2" w:firstLine="2"/>
            </w:pPr>
            <w:r w:rsidRPr="00BB1E65">
              <w:rPr>
                <w:b/>
                <w:i/>
              </w:rPr>
              <w:t>Note</w:t>
            </w:r>
            <w:r w:rsidRPr="00BB1E65">
              <w:t xml:space="preserve">: </w:t>
            </w:r>
            <w:r w:rsidR="007D015E" w:rsidRPr="00BB1E65">
              <w:t xml:space="preserve"> </w:t>
            </w:r>
            <w:r w:rsidR="00333E1D" w:rsidRPr="00BB1E65">
              <w:t>M</w:t>
            </w:r>
            <w:r w:rsidRPr="00BB1E65">
              <w:t>onetary benefits to a</w:t>
            </w:r>
            <w:r w:rsidR="00333E1D" w:rsidRPr="00BB1E65">
              <w:t>n</w:t>
            </w:r>
            <w:r w:rsidRPr="00BB1E65">
              <w:t xml:space="preserve"> </w:t>
            </w:r>
            <w:r w:rsidR="0064694D" w:rsidRPr="00BB1E65">
              <w:t>FPOW</w:t>
            </w:r>
            <w:r w:rsidRPr="00BB1E65">
              <w:t xml:space="preserve"> will not be denied unless the claimant has been </w:t>
            </w:r>
            <w:r w:rsidRPr="00BB1E65">
              <w:rPr>
                <w:b/>
                <w:i/>
              </w:rPr>
              <w:t>offered</w:t>
            </w:r>
            <w:r w:rsidRPr="00BB1E65">
              <w:t xml:space="preserve"> a complete physical examination conducted at a Department of Veterans Affairs </w:t>
            </w:r>
            <w:r w:rsidR="00333E1D" w:rsidRPr="00BB1E65">
              <w:t xml:space="preserve">(VA) </w:t>
            </w:r>
            <w:r w:rsidRPr="00BB1E65">
              <w:t>hospital or outpatient clinic.</w:t>
            </w:r>
          </w:p>
          <w:p w14:paraId="066FB8A5" w14:textId="77777777" w:rsidR="00D60F23" w:rsidRPr="00BB1E65" w:rsidRDefault="00D60F23" w:rsidP="00D60F23">
            <w:pPr>
              <w:pStyle w:val="BulletText1"/>
              <w:numPr>
                <w:ilvl w:val="0"/>
                <w:numId w:val="0"/>
              </w:numPr>
              <w:ind w:left="-2" w:firstLine="2"/>
            </w:pPr>
          </w:p>
          <w:p w14:paraId="12075AEF" w14:textId="663D8130" w:rsidR="00D60F23" w:rsidRPr="00BB1E65" w:rsidRDefault="00D60F23" w:rsidP="00333E1D">
            <w:pPr>
              <w:pStyle w:val="BulletText1"/>
              <w:numPr>
                <w:ilvl w:val="0"/>
                <w:numId w:val="0"/>
              </w:numPr>
              <w:ind w:left="-2" w:firstLine="2"/>
            </w:pPr>
            <w:r w:rsidRPr="00BB1E65">
              <w:rPr>
                <w:b/>
                <w:i/>
              </w:rPr>
              <w:t>Reference</w:t>
            </w:r>
            <w:r w:rsidRPr="00BB1E65">
              <w:t xml:space="preserve">: </w:t>
            </w:r>
            <w:r w:rsidR="007D015E" w:rsidRPr="00BB1E65">
              <w:t xml:space="preserve"> F</w:t>
            </w:r>
            <w:r w:rsidRPr="00BB1E65">
              <w:t xml:space="preserve">or more information on examination requirements, see </w:t>
            </w:r>
            <w:hyperlink r:id="rId78" w:history="1">
              <w:r w:rsidRPr="00BB1E65">
                <w:rPr>
                  <w:rStyle w:val="Hyperlink"/>
                </w:rPr>
                <w:t>38 CFR 3.326</w:t>
              </w:r>
            </w:hyperlink>
            <w:r w:rsidR="00C64EA2" w:rsidRPr="00BB1E65">
              <w:rPr>
                <w:rStyle w:val="Hyperlink"/>
              </w:rPr>
              <w:t>.</w:t>
            </w:r>
          </w:p>
        </w:tc>
      </w:tr>
    </w:tbl>
    <w:p w14:paraId="12075AF1" w14:textId="77777777" w:rsidR="00135DC0" w:rsidRPr="00BB1E65" w:rsidRDefault="00DE46D0">
      <w:pPr>
        <w:pStyle w:val="BlockLine"/>
      </w:pPr>
      <w:r w:rsidRPr="00BB1E65">
        <w:fldChar w:fldCharType="begin"/>
      </w:r>
      <w:r w:rsidR="00135DC0" w:rsidRPr="00BB1E65">
        <w:instrText xml:space="preserve"> PRIVATE INFOTYPE="PROCEDURE"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BB1E65" w14:paraId="12075AF4" w14:textId="77777777">
        <w:trPr>
          <w:cantSplit/>
        </w:trPr>
        <w:tc>
          <w:tcPr>
            <w:tcW w:w="1728" w:type="dxa"/>
            <w:tcBorders>
              <w:top w:val="nil"/>
              <w:left w:val="nil"/>
              <w:bottom w:val="nil"/>
              <w:right w:val="nil"/>
            </w:tcBorders>
          </w:tcPr>
          <w:p w14:paraId="12075AF2" w14:textId="77777777" w:rsidR="00135DC0" w:rsidRPr="00BB1E65" w:rsidRDefault="00135DC0">
            <w:pPr>
              <w:pStyle w:val="Heading5"/>
            </w:pPr>
            <w:r w:rsidRPr="00BB1E65">
              <w:t>c.  When to Order Initial FPOW Protocol Examinations</w:t>
            </w:r>
          </w:p>
        </w:tc>
        <w:tc>
          <w:tcPr>
            <w:tcW w:w="7740" w:type="dxa"/>
            <w:tcBorders>
              <w:top w:val="nil"/>
              <w:left w:val="nil"/>
              <w:bottom w:val="nil"/>
              <w:right w:val="nil"/>
            </w:tcBorders>
          </w:tcPr>
          <w:p w14:paraId="546E5B42" w14:textId="77777777" w:rsidR="00135DC0" w:rsidRPr="00BB1E65" w:rsidRDefault="00135DC0">
            <w:pPr>
              <w:pStyle w:val="BlockText"/>
            </w:pPr>
            <w:r w:rsidRPr="00BB1E65">
              <w:t>Order an initial FPOW protocol DBQ even if medical evidence to support the claim is not of record but FPOW status is established.</w:t>
            </w:r>
          </w:p>
          <w:p w14:paraId="28AFC600" w14:textId="77777777" w:rsidR="00CB0008" w:rsidRPr="00BB1E65" w:rsidRDefault="00CB0008">
            <w:pPr>
              <w:pStyle w:val="BlockText"/>
            </w:pPr>
          </w:p>
          <w:p w14:paraId="12075AF3" w14:textId="243B2AFB" w:rsidR="00CB0008" w:rsidRPr="00BB1E65" w:rsidRDefault="00CB0008" w:rsidP="0081008C">
            <w:pPr>
              <w:pStyle w:val="BlockText"/>
            </w:pPr>
            <w:r w:rsidRPr="00BB1E65">
              <w:rPr>
                <w:b/>
                <w:i/>
              </w:rPr>
              <w:t>Note</w:t>
            </w:r>
            <w:r w:rsidRPr="00BB1E65">
              <w:t xml:space="preserve">: </w:t>
            </w:r>
            <w:r w:rsidR="007D015E" w:rsidRPr="00BB1E65">
              <w:t xml:space="preserve"> </w:t>
            </w:r>
            <w:r w:rsidR="0081008C" w:rsidRPr="00BB1E65">
              <w:t xml:space="preserve">The </w:t>
            </w:r>
            <w:r w:rsidRPr="00BB1E65">
              <w:t xml:space="preserve">FPOW </w:t>
            </w:r>
            <w:r w:rsidR="0081008C" w:rsidRPr="00BB1E65">
              <w:t xml:space="preserve">Protocol </w:t>
            </w:r>
            <w:r w:rsidRPr="00BB1E65">
              <w:t xml:space="preserve">DBQ is restricted to internal use only and must be completed by a VHA facility. </w:t>
            </w:r>
            <w:r w:rsidR="001D71BA" w:rsidRPr="00BB1E65">
              <w:t xml:space="preserve"> </w:t>
            </w:r>
            <w:r w:rsidRPr="00BB1E65">
              <w:t xml:space="preserve">Contract examiners are not authorized to complete the FPOW </w:t>
            </w:r>
            <w:r w:rsidR="0081008C" w:rsidRPr="00BB1E65">
              <w:t xml:space="preserve">Protocol </w:t>
            </w:r>
            <w:r w:rsidRPr="00BB1E65">
              <w:t>DBQ.</w:t>
            </w:r>
          </w:p>
        </w:tc>
      </w:tr>
    </w:tbl>
    <w:p w14:paraId="12075AF7" w14:textId="77777777" w:rsidR="00135DC0" w:rsidRPr="00BB1E65" w:rsidRDefault="00DE46D0">
      <w:pPr>
        <w:pStyle w:val="BlockLine"/>
      </w:pPr>
      <w:r w:rsidRPr="00BB1E65">
        <w:lastRenderedPageBreak/>
        <w:fldChar w:fldCharType="begin"/>
      </w:r>
      <w:r w:rsidR="00135DC0" w:rsidRPr="00BB1E65">
        <w:instrText xml:space="preserve"> PRIVATE INFOTYPE="PROCEDURE"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BB1E65" w14:paraId="12075AFF" w14:textId="77777777">
        <w:trPr>
          <w:cantSplit/>
        </w:trPr>
        <w:tc>
          <w:tcPr>
            <w:tcW w:w="1728" w:type="dxa"/>
            <w:tcBorders>
              <w:top w:val="nil"/>
              <w:left w:val="nil"/>
              <w:bottom w:val="nil"/>
              <w:right w:val="nil"/>
            </w:tcBorders>
          </w:tcPr>
          <w:p w14:paraId="12075AF8" w14:textId="77777777" w:rsidR="00135DC0" w:rsidRPr="00BB1E65" w:rsidRDefault="00135DC0">
            <w:pPr>
              <w:pStyle w:val="Heading5"/>
            </w:pPr>
            <w:r w:rsidRPr="00BB1E65">
              <w:t>d.  How to Order Initial FPOW Protocol Examinations</w:t>
            </w:r>
          </w:p>
        </w:tc>
        <w:tc>
          <w:tcPr>
            <w:tcW w:w="7740" w:type="dxa"/>
            <w:tcBorders>
              <w:top w:val="nil"/>
              <w:left w:val="nil"/>
              <w:bottom w:val="nil"/>
              <w:right w:val="nil"/>
            </w:tcBorders>
          </w:tcPr>
          <w:p w14:paraId="12075AF9" w14:textId="77777777" w:rsidR="00135DC0" w:rsidRPr="00BB1E65" w:rsidRDefault="00135DC0">
            <w:pPr>
              <w:pStyle w:val="BlockText"/>
            </w:pPr>
            <w:r w:rsidRPr="00BB1E65">
              <w:t>On the examination request for an initial FPOW protocol examination</w:t>
            </w:r>
          </w:p>
          <w:p w14:paraId="12075AFA" w14:textId="77777777" w:rsidR="00135DC0" w:rsidRPr="00BB1E65" w:rsidRDefault="00135DC0">
            <w:pPr>
              <w:pStyle w:val="BlockText"/>
            </w:pPr>
          </w:p>
          <w:p w14:paraId="30FEBF76" w14:textId="30652875" w:rsidR="00DE7071" w:rsidRPr="00BB1E65" w:rsidRDefault="00DE7071" w:rsidP="00976BB1">
            <w:pPr>
              <w:pStyle w:val="BulletText1"/>
            </w:pPr>
            <w:r w:rsidRPr="00BB1E65">
              <w:t>utilize the ERB to build the examination request</w:t>
            </w:r>
          </w:p>
          <w:p w14:paraId="21A986B7" w14:textId="15B0A9A7" w:rsidR="0092707D" w:rsidRPr="00BB1E65" w:rsidRDefault="00976BB1" w:rsidP="00976BB1">
            <w:pPr>
              <w:pStyle w:val="BulletText1"/>
            </w:pPr>
            <w:r w:rsidRPr="00BB1E65">
              <w:t xml:space="preserve">select </w:t>
            </w:r>
            <w:r w:rsidR="0092707D" w:rsidRPr="00BB1E65">
              <w:t xml:space="preserve">POW </w:t>
            </w:r>
            <w:r w:rsidRPr="00BB1E65">
              <w:t xml:space="preserve">in the </w:t>
            </w:r>
            <w:r w:rsidR="0081008C" w:rsidRPr="00BB1E65">
              <w:t>SPECIAL CONSIDERATION(S)</w:t>
            </w:r>
            <w:r w:rsidRPr="00BB1E65">
              <w:t xml:space="preserve"> box in CAPRI</w:t>
            </w:r>
          </w:p>
          <w:p w14:paraId="12075AFB" w14:textId="77777777" w:rsidR="00135DC0" w:rsidRPr="00BB1E65" w:rsidRDefault="00135DC0">
            <w:pPr>
              <w:pStyle w:val="BulletText1"/>
            </w:pPr>
            <w:r w:rsidRPr="00BB1E65">
              <w:t>clearly note that an examination under the FPOW protocol is required, and</w:t>
            </w:r>
          </w:p>
          <w:p w14:paraId="12075AFC" w14:textId="13E9DC8D" w:rsidR="00135DC0" w:rsidRPr="00BB1E65" w:rsidRDefault="00135DC0">
            <w:pPr>
              <w:pStyle w:val="BulletText1"/>
            </w:pPr>
            <w:r w:rsidRPr="00BB1E65">
              <w:t xml:space="preserve">request an examination of all claimed and noted disabilities, as well as all other conditions characteristically associated with confinement as a </w:t>
            </w:r>
            <w:r w:rsidR="00DE7071" w:rsidRPr="00BB1E65">
              <w:t>F</w:t>
            </w:r>
            <w:r w:rsidRPr="00BB1E65">
              <w:t>POW.</w:t>
            </w:r>
          </w:p>
          <w:p w14:paraId="12075AFD" w14:textId="77777777" w:rsidR="00135DC0" w:rsidRPr="00BB1E65" w:rsidRDefault="00135DC0">
            <w:pPr>
              <w:pStyle w:val="BlockText"/>
            </w:pPr>
          </w:p>
          <w:p w14:paraId="11FB3792" w14:textId="331B3794" w:rsidR="00752F2E" w:rsidRPr="00BB1E65" w:rsidRDefault="00135DC0">
            <w:pPr>
              <w:pStyle w:val="BlockText"/>
            </w:pPr>
            <w:r w:rsidRPr="00BB1E65">
              <w:rPr>
                <w:b/>
                <w:bCs/>
                <w:i/>
                <w:iCs/>
              </w:rPr>
              <w:t>Note</w:t>
            </w:r>
            <w:r w:rsidR="00752F2E" w:rsidRPr="00BB1E65">
              <w:rPr>
                <w:b/>
                <w:bCs/>
                <w:i/>
                <w:iCs/>
              </w:rPr>
              <w:t>s</w:t>
            </w:r>
            <w:r w:rsidRPr="00BB1E65">
              <w:t xml:space="preserve">:  </w:t>
            </w:r>
          </w:p>
          <w:p w14:paraId="67BEC8FD" w14:textId="26859910" w:rsidR="00135DC0" w:rsidRPr="00BB1E65" w:rsidRDefault="00752F2E" w:rsidP="00661A60">
            <w:pPr>
              <w:pStyle w:val="ListParagraph"/>
              <w:numPr>
                <w:ilvl w:val="0"/>
                <w:numId w:val="28"/>
              </w:numPr>
              <w:ind w:left="158" w:hanging="187"/>
            </w:pPr>
            <w:r w:rsidRPr="00BB1E65">
              <w:t xml:space="preserve">The examiner is required to review the </w:t>
            </w:r>
            <w:r w:rsidR="00D3307B" w:rsidRPr="00BB1E65">
              <w:t>claims folder</w:t>
            </w:r>
            <w:r w:rsidRPr="00BB1E65">
              <w:t xml:space="preserve"> for </w:t>
            </w:r>
            <w:r w:rsidRPr="00BB1E65">
              <w:rPr>
                <w:i/>
              </w:rPr>
              <w:t>all</w:t>
            </w:r>
            <w:r w:rsidRPr="00BB1E65">
              <w:t xml:space="preserve"> FPOW examinations.</w:t>
            </w:r>
          </w:p>
          <w:p w14:paraId="038A7971" w14:textId="54159D80" w:rsidR="00752F2E" w:rsidRPr="00BB1E65" w:rsidRDefault="00752F2E" w:rsidP="00661A60">
            <w:pPr>
              <w:pStyle w:val="ListParagraph"/>
              <w:numPr>
                <w:ilvl w:val="0"/>
                <w:numId w:val="29"/>
              </w:numPr>
              <w:ind w:left="158" w:hanging="187"/>
            </w:pPr>
            <w:r w:rsidRPr="00BB1E65">
              <w:t xml:space="preserve">The Veteran is required to complete </w:t>
            </w:r>
            <w:r w:rsidRPr="00BB1E65">
              <w:rPr>
                <w:i/>
              </w:rPr>
              <w:t>VA Form 10-0048,</w:t>
            </w:r>
            <w:r w:rsidRPr="00BB1E65">
              <w:t xml:space="preserve"> </w:t>
            </w:r>
            <w:r w:rsidRPr="00BB1E65">
              <w:rPr>
                <w:i/>
              </w:rPr>
              <w:t>Former POW Medical History</w:t>
            </w:r>
            <w:r w:rsidR="0081008C" w:rsidRPr="00BB1E65">
              <w:t>,</w:t>
            </w:r>
            <w:r w:rsidRPr="00BB1E65">
              <w:t xml:space="preserve"> before the examination. </w:t>
            </w:r>
            <w:r w:rsidR="00FB5D28" w:rsidRPr="00BB1E65">
              <w:t xml:space="preserve"> </w:t>
            </w:r>
            <w:r w:rsidRPr="00BB1E65">
              <w:t>VHA mails the form to the Veteran with instructions to complete the form and bring the form on the date of examination.</w:t>
            </w:r>
          </w:p>
          <w:p w14:paraId="3C4BF355" w14:textId="02325619" w:rsidR="00752F2E" w:rsidRPr="00BB1E65" w:rsidRDefault="00752F2E" w:rsidP="00661A60">
            <w:pPr>
              <w:pStyle w:val="ListParagraph"/>
              <w:numPr>
                <w:ilvl w:val="0"/>
                <w:numId w:val="55"/>
              </w:numPr>
              <w:ind w:left="158" w:hanging="187"/>
            </w:pPr>
            <w:r w:rsidRPr="00BB1E65">
              <w:t>The forms completed by the Veteran and the complete</w:t>
            </w:r>
            <w:r w:rsidR="00AB5FE2" w:rsidRPr="00BB1E65">
              <w:t>d</w:t>
            </w:r>
            <w:r w:rsidRPr="00BB1E65">
              <w:t xml:space="preserve"> </w:t>
            </w:r>
            <w:r w:rsidR="00AB5FE2" w:rsidRPr="00BB1E65">
              <w:t>DBQ</w:t>
            </w:r>
            <w:r w:rsidRPr="00BB1E65">
              <w:t xml:space="preserve"> will be returned to the requesting RO.</w:t>
            </w:r>
          </w:p>
          <w:p w14:paraId="3F52243B" w14:textId="77777777" w:rsidR="00E47E46" w:rsidRPr="00BB1E65" w:rsidRDefault="00E47E46" w:rsidP="00EB260D"/>
          <w:p w14:paraId="3FF9E246" w14:textId="5F630C2C" w:rsidR="00DE7071" w:rsidRPr="00BB1E65" w:rsidRDefault="00E47E46" w:rsidP="00EB260D">
            <w:r w:rsidRPr="00BB1E65">
              <w:rPr>
                <w:b/>
                <w:i/>
              </w:rPr>
              <w:t>References</w:t>
            </w:r>
            <w:r w:rsidRPr="00BB1E65">
              <w:t xml:space="preserve">: </w:t>
            </w:r>
            <w:r w:rsidR="00615AEF" w:rsidRPr="00BB1E65">
              <w:t xml:space="preserve"> For more information on</w:t>
            </w:r>
          </w:p>
          <w:p w14:paraId="2A81BFF5" w14:textId="77777777" w:rsidR="0081008C" w:rsidRPr="00BB1E65" w:rsidRDefault="00E47E46" w:rsidP="00661A60">
            <w:pPr>
              <w:pStyle w:val="ListParagraph"/>
              <w:numPr>
                <w:ilvl w:val="0"/>
                <w:numId w:val="30"/>
              </w:numPr>
              <w:ind w:left="158" w:hanging="187"/>
            </w:pPr>
            <w:r w:rsidRPr="00BB1E65">
              <w:t xml:space="preserve">FPOW examinations, see the </w:t>
            </w:r>
          </w:p>
          <w:p w14:paraId="2E137324" w14:textId="601DB08E" w:rsidR="0081008C" w:rsidRPr="00BB1E65" w:rsidRDefault="00BB1E65" w:rsidP="00661A60">
            <w:pPr>
              <w:pStyle w:val="ListParagraph"/>
              <w:numPr>
                <w:ilvl w:val="0"/>
                <w:numId w:val="56"/>
              </w:numPr>
              <w:ind w:left="346" w:hanging="187"/>
            </w:pPr>
            <w:hyperlink r:id="rId79" w:history="1">
              <w:r w:rsidR="0081008C" w:rsidRPr="00BB1E65">
                <w:rPr>
                  <w:rStyle w:val="Hyperlink"/>
                  <w:i/>
                </w:rPr>
                <w:t>FPOW Protocol DBQ</w:t>
              </w:r>
            </w:hyperlink>
            <w:r w:rsidR="00E47E46" w:rsidRPr="00BB1E65">
              <w:t>,</w:t>
            </w:r>
            <w:r w:rsidR="00E47E46" w:rsidRPr="00BB1E65">
              <w:rPr>
                <w:i/>
              </w:rPr>
              <w:t xml:space="preserve"> </w:t>
            </w:r>
            <w:r w:rsidR="00E47E46" w:rsidRPr="00BB1E65">
              <w:t xml:space="preserve">and </w:t>
            </w:r>
          </w:p>
          <w:p w14:paraId="37F24CB0" w14:textId="3B34FA74" w:rsidR="00E47E46" w:rsidRPr="00BB1E65" w:rsidRDefault="00BB1E65" w:rsidP="00661A60">
            <w:pPr>
              <w:pStyle w:val="ListParagraph"/>
              <w:numPr>
                <w:ilvl w:val="0"/>
                <w:numId w:val="56"/>
              </w:numPr>
              <w:ind w:left="346" w:hanging="187"/>
              <w:rPr>
                <w:rStyle w:val="Hyperlink"/>
                <w:color w:val="000000"/>
                <w:u w:val="none"/>
              </w:rPr>
            </w:pPr>
            <w:hyperlink r:id="rId80" w:history="1">
              <w:r w:rsidR="00E47E46" w:rsidRPr="00BB1E65">
                <w:rPr>
                  <w:rStyle w:val="Hyperlink"/>
                </w:rPr>
                <w:t>C&amp;P Disability Examinations Procedure Guide</w:t>
              </w:r>
            </w:hyperlink>
            <w:r w:rsidR="00615AEF" w:rsidRPr="00BB1E65">
              <w:rPr>
                <w:rStyle w:val="Hyperlink"/>
                <w:color w:val="auto"/>
                <w:u w:val="none"/>
              </w:rPr>
              <w:t>, and</w:t>
            </w:r>
          </w:p>
          <w:p w14:paraId="12075AFE" w14:textId="5D6B8FB6" w:rsidR="00DE7071" w:rsidRPr="00BB1E65" w:rsidRDefault="00DE7071" w:rsidP="00661A60">
            <w:pPr>
              <w:pStyle w:val="ListParagraph"/>
              <w:numPr>
                <w:ilvl w:val="0"/>
                <w:numId w:val="30"/>
              </w:numPr>
              <w:ind w:left="158" w:hanging="187"/>
            </w:pPr>
            <w:r w:rsidRPr="00BB1E65">
              <w:rPr>
                <w:rStyle w:val="Hyperlink"/>
                <w:color w:val="auto"/>
                <w:u w:val="none"/>
              </w:rPr>
              <w:t>the ERB</w:t>
            </w:r>
            <w:r w:rsidR="0081008C" w:rsidRPr="00BB1E65">
              <w:rPr>
                <w:rStyle w:val="Hyperlink"/>
                <w:color w:val="auto"/>
                <w:u w:val="none"/>
              </w:rPr>
              <w:t xml:space="preserve"> tool</w:t>
            </w:r>
            <w:r w:rsidRPr="00BB1E65">
              <w:rPr>
                <w:rStyle w:val="Hyperlink"/>
                <w:color w:val="auto"/>
                <w:u w:val="none"/>
              </w:rPr>
              <w:t>, see M21-1</w:t>
            </w:r>
            <w:r w:rsidR="0081008C" w:rsidRPr="00BB1E65">
              <w:rPr>
                <w:rStyle w:val="Hyperlink"/>
                <w:color w:val="auto"/>
                <w:u w:val="none"/>
              </w:rPr>
              <w:t xml:space="preserve"> Part </w:t>
            </w:r>
            <w:r w:rsidRPr="00BB1E65">
              <w:rPr>
                <w:rStyle w:val="Hyperlink"/>
                <w:color w:val="auto"/>
                <w:u w:val="none"/>
              </w:rPr>
              <w:t>III</w:t>
            </w:r>
            <w:r w:rsidR="0081008C" w:rsidRPr="00BB1E65">
              <w:rPr>
                <w:rStyle w:val="Hyperlink"/>
                <w:color w:val="auto"/>
                <w:u w:val="none"/>
              </w:rPr>
              <w:t xml:space="preserve">, Subpart </w:t>
            </w:r>
            <w:r w:rsidRPr="00BB1E65">
              <w:rPr>
                <w:rStyle w:val="Hyperlink"/>
                <w:color w:val="auto"/>
                <w:u w:val="none"/>
              </w:rPr>
              <w:t>iv</w:t>
            </w:r>
            <w:r w:rsidR="0081008C" w:rsidRPr="00BB1E65">
              <w:rPr>
                <w:rStyle w:val="Hyperlink"/>
                <w:color w:val="auto"/>
                <w:u w:val="none"/>
              </w:rPr>
              <w:t xml:space="preserve">, </w:t>
            </w:r>
            <w:r w:rsidRPr="00BB1E65">
              <w:rPr>
                <w:rStyle w:val="Hyperlink"/>
                <w:color w:val="auto"/>
                <w:u w:val="none"/>
              </w:rPr>
              <w:t>3.</w:t>
            </w:r>
            <w:r w:rsidR="0081008C" w:rsidRPr="00BB1E65">
              <w:rPr>
                <w:rStyle w:val="Hyperlink"/>
                <w:color w:val="auto"/>
                <w:u w:val="none"/>
              </w:rPr>
              <w:t>A.</w:t>
            </w:r>
            <w:r w:rsidRPr="00BB1E65">
              <w:rPr>
                <w:rStyle w:val="Hyperlink"/>
                <w:color w:val="auto"/>
                <w:u w:val="none"/>
              </w:rPr>
              <w:t>2.</w:t>
            </w:r>
            <w:r w:rsidR="0081008C" w:rsidRPr="00BB1E65">
              <w:rPr>
                <w:rStyle w:val="Hyperlink"/>
                <w:color w:val="auto"/>
                <w:u w:val="none"/>
              </w:rPr>
              <w:t>d</w:t>
            </w:r>
            <w:r w:rsidR="00615AEF" w:rsidRPr="00BB1E65">
              <w:rPr>
                <w:rStyle w:val="Hyperlink"/>
                <w:color w:val="auto"/>
                <w:u w:val="none"/>
              </w:rPr>
              <w:t>.</w:t>
            </w:r>
          </w:p>
        </w:tc>
      </w:tr>
    </w:tbl>
    <w:p w14:paraId="5679693E" w14:textId="1AFFDED4" w:rsidR="005E1CFF" w:rsidRPr="00BB1E65" w:rsidRDefault="005E1CFF" w:rsidP="005E1CFF">
      <w:pPr>
        <w:pStyle w:val="BlockLine"/>
        <w:tabs>
          <w:tab w:val="left" w:pos="9360"/>
        </w:tabs>
        <w:ind w:left="1714"/>
      </w:pPr>
    </w:p>
    <w:p w14:paraId="12075B07" w14:textId="6C08D8A8" w:rsidR="00135DC0" w:rsidRPr="00BB1E65" w:rsidRDefault="00135DC0">
      <w:pPr>
        <w:pStyle w:val="Heading4"/>
      </w:pPr>
      <w:bookmarkStart w:id="16" w:name="_12.__FPOW"/>
      <w:bookmarkEnd w:id="16"/>
      <w:r w:rsidRPr="00BB1E65">
        <w:br w:type="page"/>
      </w:r>
      <w:r w:rsidR="008F3A9B" w:rsidRPr="00BB1E65">
        <w:lastRenderedPageBreak/>
        <w:t>12</w:t>
      </w:r>
      <w:r w:rsidRPr="00BB1E65">
        <w:t>.  FPOW Social Surveys</w:t>
      </w:r>
    </w:p>
    <w:p w14:paraId="12075B08" w14:textId="77777777" w:rsidR="00135DC0" w:rsidRPr="00BB1E65" w:rsidRDefault="00DE46D0">
      <w:pPr>
        <w:pStyle w:val="BlockLine"/>
      </w:pPr>
      <w:r w:rsidRPr="00BB1E65">
        <w:fldChar w:fldCharType="begin"/>
      </w:r>
      <w:r w:rsidR="00135DC0" w:rsidRPr="00BB1E65">
        <w:instrText xml:space="preserve"> PRIVATE INFOTYPE="OTHER"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BB1E65" w14:paraId="12075B10" w14:textId="77777777">
        <w:trPr>
          <w:cantSplit/>
        </w:trPr>
        <w:tc>
          <w:tcPr>
            <w:tcW w:w="1728" w:type="dxa"/>
            <w:tcBorders>
              <w:top w:val="nil"/>
              <w:left w:val="nil"/>
              <w:bottom w:val="nil"/>
              <w:right w:val="nil"/>
            </w:tcBorders>
          </w:tcPr>
          <w:p w14:paraId="12075B09" w14:textId="77777777" w:rsidR="00135DC0" w:rsidRPr="00BB1E65" w:rsidRDefault="00135DC0">
            <w:pPr>
              <w:pStyle w:val="Heading5"/>
            </w:pPr>
            <w:r w:rsidRPr="00BB1E65">
              <w:t>Introduction</w:t>
            </w:r>
          </w:p>
        </w:tc>
        <w:tc>
          <w:tcPr>
            <w:tcW w:w="7740" w:type="dxa"/>
            <w:tcBorders>
              <w:top w:val="nil"/>
              <w:left w:val="nil"/>
              <w:bottom w:val="nil"/>
              <w:right w:val="nil"/>
            </w:tcBorders>
          </w:tcPr>
          <w:p w14:paraId="12075B0A" w14:textId="77777777" w:rsidR="00135DC0" w:rsidRPr="00BB1E65" w:rsidRDefault="00135DC0">
            <w:pPr>
              <w:pStyle w:val="BlockText"/>
            </w:pPr>
            <w:r w:rsidRPr="00BB1E65">
              <w:t>This topic contains information about FPOW social surveys, including</w:t>
            </w:r>
          </w:p>
          <w:p w14:paraId="12075B0B" w14:textId="77777777" w:rsidR="00135DC0" w:rsidRPr="00BB1E65" w:rsidRDefault="00135DC0">
            <w:pPr>
              <w:pStyle w:val="BlockText"/>
            </w:pPr>
          </w:p>
          <w:p w14:paraId="12075B0C" w14:textId="77777777" w:rsidR="00135DC0" w:rsidRPr="00BB1E65" w:rsidRDefault="00135DC0">
            <w:pPr>
              <w:pStyle w:val="BulletText1"/>
            </w:pPr>
            <w:r w:rsidRPr="00BB1E65">
              <w:t>participation in FPOW social surveys</w:t>
            </w:r>
          </w:p>
          <w:p w14:paraId="12075B0D" w14:textId="77777777" w:rsidR="00135DC0" w:rsidRPr="00BB1E65" w:rsidRDefault="00135DC0">
            <w:pPr>
              <w:pStyle w:val="BulletText1"/>
            </w:pPr>
            <w:r w:rsidRPr="00BB1E65">
              <w:t>handling examinations that do not include an FPOW social survey</w:t>
            </w:r>
          </w:p>
          <w:p w14:paraId="12075B0E" w14:textId="77777777" w:rsidR="00135DC0" w:rsidRPr="00BB1E65" w:rsidRDefault="00135DC0">
            <w:pPr>
              <w:pStyle w:val="BulletText1"/>
            </w:pPr>
            <w:r w:rsidRPr="00BB1E65">
              <w:t>automatic scheduling of FPOW social surveys, and</w:t>
            </w:r>
          </w:p>
          <w:p w14:paraId="12075B0F" w14:textId="77777777" w:rsidR="00135DC0" w:rsidRPr="00BB1E65" w:rsidRDefault="00135DC0">
            <w:pPr>
              <w:pStyle w:val="BulletText1"/>
            </w:pPr>
            <w:r w:rsidRPr="00BB1E65">
              <w:t>specific scheduling of FPOW social surveys.</w:t>
            </w:r>
          </w:p>
        </w:tc>
      </w:tr>
    </w:tbl>
    <w:p w14:paraId="12075B11" w14:textId="77777777" w:rsidR="00135DC0" w:rsidRPr="00BB1E65" w:rsidRDefault="00135DC0">
      <w:pPr>
        <w:pStyle w:val="BlockLine"/>
      </w:pPr>
    </w:p>
    <w:tbl>
      <w:tblPr>
        <w:tblW w:w="0" w:type="auto"/>
        <w:tblInd w:w="-106" w:type="dxa"/>
        <w:tblLayout w:type="fixed"/>
        <w:tblLook w:val="0000" w:firstRow="0" w:lastRow="0" w:firstColumn="0" w:lastColumn="0" w:noHBand="0" w:noVBand="0"/>
      </w:tblPr>
      <w:tblGrid>
        <w:gridCol w:w="1728"/>
        <w:gridCol w:w="7740"/>
      </w:tblGrid>
      <w:tr w:rsidR="00135DC0" w:rsidRPr="00BB1E65" w14:paraId="12075B14" w14:textId="77777777">
        <w:trPr>
          <w:cantSplit/>
        </w:trPr>
        <w:tc>
          <w:tcPr>
            <w:tcW w:w="1728" w:type="dxa"/>
            <w:tcBorders>
              <w:top w:val="nil"/>
              <w:left w:val="nil"/>
              <w:bottom w:val="nil"/>
              <w:right w:val="nil"/>
            </w:tcBorders>
          </w:tcPr>
          <w:p w14:paraId="12075B12" w14:textId="77777777" w:rsidR="00135DC0" w:rsidRPr="00BB1E65" w:rsidRDefault="00135DC0">
            <w:pPr>
              <w:pStyle w:val="Heading5"/>
            </w:pPr>
            <w:r w:rsidRPr="00BB1E65">
              <w:t>Change Date</w:t>
            </w:r>
          </w:p>
        </w:tc>
        <w:tc>
          <w:tcPr>
            <w:tcW w:w="7740" w:type="dxa"/>
            <w:tcBorders>
              <w:top w:val="nil"/>
              <w:left w:val="nil"/>
              <w:bottom w:val="nil"/>
              <w:right w:val="nil"/>
            </w:tcBorders>
          </w:tcPr>
          <w:p w14:paraId="12075B13" w14:textId="1BC182D3" w:rsidR="00135DC0" w:rsidRPr="00BB1E65" w:rsidRDefault="00892D5C">
            <w:pPr>
              <w:pStyle w:val="BlockText"/>
            </w:pPr>
            <w:r w:rsidRPr="00BB1E65">
              <w:t>July 30, 2015</w:t>
            </w:r>
          </w:p>
        </w:tc>
      </w:tr>
    </w:tbl>
    <w:p w14:paraId="12075B15" w14:textId="77777777" w:rsidR="00135DC0" w:rsidRPr="00BB1E65" w:rsidRDefault="00DE46D0">
      <w:pPr>
        <w:pStyle w:val="BlockLine"/>
      </w:pPr>
      <w:r w:rsidRPr="00BB1E65">
        <w:fldChar w:fldCharType="begin"/>
      </w:r>
      <w:r w:rsidR="00135DC0"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BB1E65" w14:paraId="12075B18" w14:textId="77777777">
        <w:trPr>
          <w:cantSplit/>
        </w:trPr>
        <w:tc>
          <w:tcPr>
            <w:tcW w:w="1728" w:type="dxa"/>
            <w:tcBorders>
              <w:top w:val="nil"/>
              <w:left w:val="nil"/>
              <w:bottom w:val="nil"/>
              <w:right w:val="nil"/>
            </w:tcBorders>
          </w:tcPr>
          <w:p w14:paraId="12075B16" w14:textId="4B5DCA2D" w:rsidR="00135DC0" w:rsidRPr="00BB1E65" w:rsidRDefault="00135DC0">
            <w:pPr>
              <w:pStyle w:val="Heading5"/>
            </w:pPr>
            <w:r w:rsidRPr="00BB1E65">
              <w:t>a.  Participation in FPOW Social Surveys</w:t>
            </w:r>
          </w:p>
        </w:tc>
        <w:tc>
          <w:tcPr>
            <w:tcW w:w="7740" w:type="dxa"/>
            <w:tcBorders>
              <w:top w:val="nil"/>
              <w:left w:val="nil"/>
              <w:bottom w:val="nil"/>
              <w:right w:val="nil"/>
            </w:tcBorders>
          </w:tcPr>
          <w:p w14:paraId="12075B17" w14:textId="77777777" w:rsidR="00135DC0" w:rsidRPr="00BB1E65" w:rsidRDefault="00135DC0">
            <w:pPr>
              <w:pStyle w:val="BlockText"/>
            </w:pPr>
            <w:r w:rsidRPr="00BB1E65">
              <w:t>As social surveys are a voluntary examination for FPOWs, no claim should be prejudiced by the failure of an FPOW to cooperate in accomplishing the survey.</w:t>
            </w:r>
          </w:p>
        </w:tc>
      </w:tr>
    </w:tbl>
    <w:p w14:paraId="12075B19" w14:textId="77777777" w:rsidR="00135DC0" w:rsidRPr="00BB1E65" w:rsidRDefault="00DE46D0">
      <w:pPr>
        <w:pStyle w:val="BlockLine"/>
      </w:pPr>
      <w:r w:rsidRPr="00BB1E65">
        <w:fldChar w:fldCharType="begin"/>
      </w:r>
      <w:r w:rsidR="00135DC0" w:rsidRPr="00BB1E65">
        <w:instrText xml:space="preserve"> PRIVATE INFOTYPE="PROCEDURE"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BB1E65" w14:paraId="12075B1C" w14:textId="77777777">
        <w:trPr>
          <w:cantSplit/>
        </w:trPr>
        <w:tc>
          <w:tcPr>
            <w:tcW w:w="1728" w:type="dxa"/>
            <w:tcBorders>
              <w:top w:val="nil"/>
              <w:left w:val="nil"/>
              <w:bottom w:val="nil"/>
              <w:right w:val="nil"/>
            </w:tcBorders>
          </w:tcPr>
          <w:p w14:paraId="12075B1A" w14:textId="77777777" w:rsidR="00135DC0" w:rsidRPr="00BB1E65" w:rsidRDefault="00135DC0">
            <w:pPr>
              <w:pStyle w:val="Heading5"/>
            </w:pPr>
            <w:r w:rsidRPr="00BB1E65">
              <w:t>b.  Handling Examinations That Do Not Include an FPOW Social Survey</w:t>
            </w:r>
          </w:p>
        </w:tc>
        <w:tc>
          <w:tcPr>
            <w:tcW w:w="7740" w:type="dxa"/>
            <w:tcBorders>
              <w:top w:val="nil"/>
              <w:left w:val="nil"/>
              <w:bottom w:val="nil"/>
              <w:right w:val="nil"/>
            </w:tcBorders>
          </w:tcPr>
          <w:p w14:paraId="12075B1B" w14:textId="2A6CA250" w:rsidR="00135DC0" w:rsidRPr="00BB1E65" w:rsidRDefault="00135DC0" w:rsidP="00E95E7B">
            <w:pPr>
              <w:pStyle w:val="BlockText"/>
            </w:pPr>
            <w:r w:rsidRPr="00BB1E65">
              <w:t xml:space="preserve">If a social survey was to be conducted for an FPOW but was not, then return the examination as </w:t>
            </w:r>
            <w:r w:rsidR="00E95E7B" w:rsidRPr="00BB1E65">
              <w:t xml:space="preserve">insufficient </w:t>
            </w:r>
            <w:r w:rsidRPr="00BB1E65">
              <w:t xml:space="preserve">for rating purposes </w:t>
            </w:r>
            <w:r w:rsidRPr="00BB1E65">
              <w:rPr>
                <w:i/>
                <w:iCs/>
              </w:rPr>
              <w:t>unless</w:t>
            </w:r>
            <w:r w:rsidRPr="00BB1E65">
              <w:t xml:space="preserve"> it is indicated that the FPOW declined to participate in the social survey</w:t>
            </w:r>
            <w:r w:rsidR="000764AD" w:rsidRPr="00BB1E65">
              <w:t>.</w:t>
            </w:r>
          </w:p>
        </w:tc>
      </w:tr>
    </w:tbl>
    <w:p w14:paraId="12075B1D" w14:textId="77777777" w:rsidR="00135DC0" w:rsidRPr="00BB1E65" w:rsidRDefault="00DE46D0">
      <w:pPr>
        <w:pStyle w:val="BlockLine"/>
      </w:pPr>
      <w:r w:rsidRPr="00BB1E65">
        <w:fldChar w:fldCharType="begin"/>
      </w:r>
      <w:r w:rsidR="00135DC0"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BB1E65" w14:paraId="12075B20" w14:textId="77777777">
        <w:trPr>
          <w:cantSplit/>
        </w:trPr>
        <w:tc>
          <w:tcPr>
            <w:tcW w:w="1728" w:type="dxa"/>
            <w:tcBorders>
              <w:top w:val="nil"/>
              <w:left w:val="nil"/>
              <w:bottom w:val="nil"/>
              <w:right w:val="nil"/>
            </w:tcBorders>
          </w:tcPr>
          <w:p w14:paraId="12075B1E" w14:textId="77777777" w:rsidR="00135DC0" w:rsidRPr="00BB1E65" w:rsidRDefault="00135DC0">
            <w:pPr>
              <w:pStyle w:val="Heading5"/>
            </w:pPr>
            <w:r w:rsidRPr="00BB1E65">
              <w:t>c.  Automatic Scheduling of FPOW Social Surveys</w:t>
            </w:r>
          </w:p>
        </w:tc>
        <w:tc>
          <w:tcPr>
            <w:tcW w:w="7740" w:type="dxa"/>
            <w:tcBorders>
              <w:top w:val="nil"/>
              <w:left w:val="nil"/>
              <w:bottom w:val="nil"/>
              <w:right w:val="nil"/>
            </w:tcBorders>
          </w:tcPr>
          <w:p w14:paraId="12075B1F" w14:textId="6DCD73E7" w:rsidR="00976BB1" w:rsidRPr="00BB1E65" w:rsidRDefault="00135DC0" w:rsidP="00976BB1">
            <w:pPr>
              <w:pStyle w:val="BlockText"/>
            </w:pPr>
            <w:r w:rsidRPr="00BB1E65">
              <w:t>VHA automatically schedules a social survey after receiving an examination request for a special FPOW protocol examination.</w:t>
            </w:r>
          </w:p>
        </w:tc>
      </w:tr>
    </w:tbl>
    <w:p w14:paraId="12075B23" w14:textId="77777777" w:rsidR="00135DC0" w:rsidRPr="00BB1E65" w:rsidRDefault="00DE46D0">
      <w:pPr>
        <w:pStyle w:val="BlockLine"/>
      </w:pPr>
      <w:r w:rsidRPr="00BB1E65">
        <w:fldChar w:fldCharType="begin"/>
      </w:r>
      <w:r w:rsidR="00135DC0" w:rsidRPr="00BB1E65">
        <w:instrText xml:space="preserve"> PRIVATE INFOTYPE="PROCEDURE"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BB1E65" w14:paraId="12075B2A" w14:textId="77777777" w:rsidTr="00C25EF7">
        <w:trPr>
          <w:cantSplit/>
        </w:trPr>
        <w:tc>
          <w:tcPr>
            <w:tcW w:w="1728" w:type="dxa"/>
            <w:tcBorders>
              <w:top w:val="nil"/>
              <w:left w:val="nil"/>
              <w:bottom w:val="nil"/>
              <w:right w:val="nil"/>
            </w:tcBorders>
          </w:tcPr>
          <w:p w14:paraId="12075B24" w14:textId="77777777" w:rsidR="00135DC0" w:rsidRPr="00BB1E65" w:rsidRDefault="00135DC0">
            <w:pPr>
              <w:pStyle w:val="Heading5"/>
            </w:pPr>
            <w:r w:rsidRPr="00BB1E65">
              <w:t>d.  Specific Scheduling of FPOW Social Surveys</w:t>
            </w:r>
          </w:p>
        </w:tc>
        <w:tc>
          <w:tcPr>
            <w:tcW w:w="7740" w:type="dxa"/>
            <w:tcBorders>
              <w:top w:val="nil"/>
              <w:left w:val="nil"/>
              <w:bottom w:val="nil"/>
              <w:right w:val="nil"/>
            </w:tcBorders>
          </w:tcPr>
          <w:p w14:paraId="12075B25" w14:textId="77777777" w:rsidR="00135DC0" w:rsidRPr="00BB1E65" w:rsidRDefault="00135DC0">
            <w:pPr>
              <w:pStyle w:val="BlockText"/>
            </w:pPr>
            <w:r w:rsidRPr="00BB1E65">
              <w:t xml:space="preserve">In cases where a special FPOW examination is already of record and an additional examination for psychiatric disability is necessary, for which a social survey is advisable, specifically request a social survey in the </w:t>
            </w:r>
            <w:r w:rsidRPr="00BB1E65">
              <w:rPr>
                <w:i/>
              </w:rPr>
              <w:t>Remarks</w:t>
            </w:r>
            <w:r w:rsidRPr="00BB1E65">
              <w:t xml:space="preserve"> section of the examination request.</w:t>
            </w:r>
          </w:p>
          <w:p w14:paraId="12075B26" w14:textId="77777777" w:rsidR="00135DC0" w:rsidRPr="00BB1E65" w:rsidRDefault="00135DC0">
            <w:pPr>
              <w:pStyle w:val="BlockText"/>
            </w:pPr>
          </w:p>
          <w:p w14:paraId="12075B27" w14:textId="77777777" w:rsidR="00135DC0" w:rsidRPr="00BB1E65" w:rsidRDefault="00135DC0">
            <w:pPr>
              <w:pStyle w:val="BlockText"/>
            </w:pPr>
            <w:r w:rsidRPr="00BB1E65">
              <w:t>Use the table below to determine whether to specifically schedule an FPOW social survey in such cases.</w:t>
            </w:r>
          </w:p>
          <w:p w14:paraId="12075B28" w14:textId="77777777" w:rsidR="00135DC0" w:rsidRPr="00BB1E65" w:rsidRDefault="00135DC0">
            <w:pPr>
              <w:pStyle w:val="BlockText"/>
            </w:pPr>
          </w:p>
          <w:p w14:paraId="12075B29" w14:textId="77777777" w:rsidR="00135DC0" w:rsidRPr="00BB1E65" w:rsidRDefault="00135DC0">
            <w:pPr>
              <w:pStyle w:val="BlockText"/>
            </w:pPr>
            <w:r w:rsidRPr="00BB1E65">
              <w:rPr>
                <w:b/>
                <w:bCs/>
                <w:i/>
                <w:iCs/>
              </w:rPr>
              <w:t>Important</w:t>
            </w:r>
            <w:r w:rsidRPr="00BB1E65">
              <w:t>:  Honor all specific requests for a social survey from FPOWs or their representatives.</w:t>
            </w:r>
          </w:p>
        </w:tc>
      </w:tr>
    </w:tbl>
    <w:p w14:paraId="77A14755" w14:textId="013A81CB" w:rsidR="0042118E" w:rsidRPr="00BB1E65" w:rsidRDefault="0042118E" w:rsidP="0042118E"/>
    <w:tbl>
      <w:tblPr>
        <w:tblStyle w:val="TableGrid"/>
        <w:tblW w:w="7650" w:type="dxa"/>
        <w:tblInd w:w="1719" w:type="dxa"/>
        <w:tblLook w:val="04A0" w:firstRow="1" w:lastRow="0" w:firstColumn="1" w:lastColumn="0" w:noHBand="0" w:noVBand="1"/>
      </w:tblPr>
      <w:tblGrid>
        <w:gridCol w:w="3870"/>
        <w:gridCol w:w="3780"/>
      </w:tblGrid>
      <w:tr w:rsidR="0042118E" w:rsidRPr="00BB1E65" w14:paraId="26378741" w14:textId="77777777" w:rsidTr="0042118E">
        <w:tc>
          <w:tcPr>
            <w:tcW w:w="3870" w:type="dxa"/>
          </w:tcPr>
          <w:p w14:paraId="0B3B4C44" w14:textId="04F3FBAC" w:rsidR="0042118E" w:rsidRPr="00BB1E65" w:rsidRDefault="0042118E" w:rsidP="0042118E">
            <w:pPr>
              <w:rPr>
                <w:b/>
              </w:rPr>
            </w:pPr>
            <w:r w:rsidRPr="00BB1E65">
              <w:rPr>
                <w:b/>
              </w:rPr>
              <w:t>If a social survey...</w:t>
            </w:r>
          </w:p>
        </w:tc>
        <w:tc>
          <w:tcPr>
            <w:tcW w:w="3780" w:type="dxa"/>
          </w:tcPr>
          <w:p w14:paraId="7CE988F1" w14:textId="1994CDDD" w:rsidR="0042118E" w:rsidRPr="00BB1E65" w:rsidRDefault="0042118E" w:rsidP="0042118E">
            <w:pPr>
              <w:rPr>
                <w:b/>
              </w:rPr>
            </w:pPr>
            <w:r w:rsidRPr="00BB1E65">
              <w:rPr>
                <w:b/>
              </w:rPr>
              <w:t>Then ...</w:t>
            </w:r>
          </w:p>
        </w:tc>
      </w:tr>
      <w:tr w:rsidR="0042118E" w:rsidRPr="00BB1E65" w14:paraId="70114E50" w14:textId="77777777" w:rsidTr="0042118E">
        <w:tc>
          <w:tcPr>
            <w:tcW w:w="3870" w:type="dxa"/>
          </w:tcPr>
          <w:p w14:paraId="3B4C8C46" w14:textId="6905F537" w:rsidR="0042118E" w:rsidRPr="00BB1E65" w:rsidRDefault="0042118E" w:rsidP="0042118E">
            <w:r w:rsidRPr="00BB1E65">
              <w:t>was not conducted within the one year period before receipt of the claim</w:t>
            </w:r>
          </w:p>
        </w:tc>
        <w:tc>
          <w:tcPr>
            <w:tcW w:w="3780" w:type="dxa"/>
          </w:tcPr>
          <w:p w14:paraId="02AE3419" w14:textId="5D7C3B97" w:rsidR="0042118E" w:rsidRPr="00BB1E65" w:rsidRDefault="0042118E" w:rsidP="0042118E">
            <w:r w:rsidRPr="00BB1E65">
              <w:t>request a social survey.</w:t>
            </w:r>
          </w:p>
        </w:tc>
      </w:tr>
      <w:tr w:rsidR="0042118E" w:rsidRPr="00BB1E65" w14:paraId="36A5C684" w14:textId="77777777" w:rsidTr="0042118E">
        <w:tc>
          <w:tcPr>
            <w:tcW w:w="3870" w:type="dxa"/>
          </w:tcPr>
          <w:p w14:paraId="62F64BD9" w14:textId="322257CD" w:rsidR="0042118E" w:rsidRPr="00BB1E65" w:rsidRDefault="0042118E" w:rsidP="0042118E">
            <w:r w:rsidRPr="00BB1E65">
              <w:t xml:space="preserve">was conducted within the one year </w:t>
            </w:r>
            <w:r w:rsidRPr="00BB1E65">
              <w:lastRenderedPageBreak/>
              <w:t>period before receipt of the claim</w:t>
            </w:r>
          </w:p>
        </w:tc>
        <w:tc>
          <w:tcPr>
            <w:tcW w:w="3780" w:type="dxa"/>
          </w:tcPr>
          <w:p w14:paraId="1DC8AD1C" w14:textId="6A8F1BB4" w:rsidR="0042118E" w:rsidRPr="00BB1E65" w:rsidRDefault="0042118E" w:rsidP="0042118E">
            <w:r w:rsidRPr="00BB1E65">
              <w:lastRenderedPageBreak/>
              <w:t xml:space="preserve">do not request another social survey </w:t>
            </w:r>
            <w:r w:rsidRPr="00BB1E65">
              <w:lastRenderedPageBreak/>
              <w:t>unless there is an indication that the social/employment situation has changed.</w:t>
            </w:r>
          </w:p>
        </w:tc>
      </w:tr>
      <w:tr w:rsidR="0042118E" w:rsidRPr="00BB1E65" w14:paraId="297A8A22" w14:textId="77777777" w:rsidTr="0042118E">
        <w:tc>
          <w:tcPr>
            <w:tcW w:w="3870" w:type="dxa"/>
          </w:tcPr>
          <w:p w14:paraId="00B905EF" w14:textId="77777777" w:rsidR="0042118E" w:rsidRPr="00BB1E65" w:rsidRDefault="0042118E" w:rsidP="0042118E">
            <w:pPr>
              <w:pStyle w:val="TableText"/>
            </w:pPr>
            <w:r w:rsidRPr="00BB1E65">
              <w:lastRenderedPageBreak/>
              <w:t>is needed prior to other appellate procedures in cases where</w:t>
            </w:r>
          </w:p>
          <w:p w14:paraId="55254F01" w14:textId="77777777" w:rsidR="0042118E" w:rsidRPr="00BB1E65" w:rsidRDefault="0042118E" w:rsidP="0042118E">
            <w:pPr>
              <w:pStyle w:val="TableText"/>
            </w:pPr>
          </w:p>
          <w:p w14:paraId="1354C783" w14:textId="77777777" w:rsidR="0042118E" w:rsidRPr="00BB1E65" w:rsidRDefault="0042118E" w:rsidP="0042118E">
            <w:pPr>
              <w:pStyle w:val="BulletText1"/>
            </w:pPr>
            <w:r w:rsidRPr="00BB1E65">
              <w:t>a notice of disagreement (NOD) has been filed</w:t>
            </w:r>
          </w:p>
          <w:p w14:paraId="3676ABFB" w14:textId="3BB45DF3" w:rsidR="0042118E" w:rsidRPr="00BB1E65" w:rsidRDefault="0042118E" w:rsidP="0042118E">
            <w:pPr>
              <w:pStyle w:val="BulletText1"/>
            </w:pPr>
            <w:r w:rsidRPr="00BB1E65">
              <w:t xml:space="preserve">the issue on appeal is either </w:t>
            </w:r>
            <w:r w:rsidR="00381D0E" w:rsidRPr="00BB1E65">
              <w:t xml:space="preserve">SC </w:t>
            </w:r>
            <w:r w:rsidRPr="00BB1E65">
              <w:t xml:space="preserve">or evaluation of a psychiatric disability, and </w:t>
            </w:r>
          </w:p>
          <w:p w14:paraId="10BD8A67" w14:textId="01B0894A" w:rsidR="0042118E" w:rsidRPr="00BB1E65" w:rsidRDefault="0042118E" w:rsidP="00171AC4">
            <w:pPr>
              <w:pStyle w:val="ListParagraph"/>
              <w:numPr>
                <w:ilvl w:val="0"/>
                <w:numId w:val="5"/>
              </w:numPr>
              <w:ind w:left="158" w:hanging="187"/>
            </w:pPr>
            <w:r w:rsidRPr="00BB1E65">
              <w:t>upon review of the claims folder, prior to pre-certification of the appeal, it is found that a social survey was not considered in the denial</w:t>
            </w:r>
          </w:p>
        </w:tc>
        <w:tc>
          <w:tcPr>
            <w:tcW w:w="3780" w:type="dxa"/>
          </w:tcPr>
          <w:p w14:paraId="527339BB" w14:textId="6C8F8BD6" w:rsidR="0042118E" w:rsidRPr="00BB1E65" w:rsidRDefault="0042118E" w:rsidP="0042118E">
            <w:r w:rsidRPr="00BB1E65">
              <w:t>request a social survey.</w:t>
            </w:r>
          </w:p>
        </w:tc>
      </w:tr>
    </w:tbl>
    <w:p w14:paraId="12075B3C" w14:textId="0EF1BAE4" w:rsidR="00135DC0" w:rsidRPr="00BB1E65" w:rsidRDefault="00135DC0">
      <w:pPr>
        <w:pStyle w:val="ContinuedOnNextPa"/>
      </w:pPr>
    </w:p>
    <w:p w14:paraId="25DCE552" w14:textId="77777777" w:rsidR="00E91F31" w:rsidRPr="00BB1E65" w:rsidRDefault="00E91F31">
      <w:pPr>
        <w:rPr>
          <w:rFonts w:ascii="Arial" w:hAnsi="Arial" w:cs="Arial"/>
          <w:b/>
          <w:bCs/>
          <w:sz w:val="32"/>
          <w:szCs w:val="32"/>
        </w:rPr>
      </w:pPr>
      <w:r w:rsidRPr="00BB1E65">
        <w:br w:type="page"/>
      </w:r>
    </w:p>
    <w:p w14:paraId="13A0A8DD" w14:textId="0B371DDE" w:rsidR="008F3A9B" w:rsidRPr="00BB1E65" w:rsidRDefault="008F3A9B" w:rsidP="008F3A9B">
      <w:pPr>
        <w:pStyle w:val="Heading4"/>
      </w:pPr>
      <w:bookmarkStart w:id="17" w:name="_13.__Benefits"/>
      <w:bookmarkEnd w:id="17"/>
      <w:r w:rsidRPr="00BB1E65">
        <w:lastRenderedPageBreak/>
        <w:t xml:space="preserve">13.  </w:t>
      </w:r>
      <w:r w:rsidR="00C55A4E" w:rsidRPr="00BB1E65">
        <w:t xml:space="preserve">Pre-Discharge </w:t>
      </w:r>
      <w:r w:rsidRPr="00BB1E65">
        <w:t>Examinations</w:t>
      </w:r>
    </w:p>
    <w:p w14:paraId="157AEF1E" w14:textId="77777777" w:rsidR="008F3A9B" w:rsidRPr="00BB1E65" w:rsidRDefault="008F3A9B" w:rsidP="008F3A9B">
      <w:pPr>
        <w:pStyle w:val="BlockLine"/>
      </w:pPr>
      <w:r w:rsidRPr="00BB1E65">
        <w:fldChar w:fldCharType="begin"/>
      </w:r>
      <w:r w:rsidRPr="00BB1E65">
        <w:instrText xml:space="preserve"> PRIVATE INFOTYPE="OTHER"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8F3A9B" w:rsidRPr="00BB1E65" w14:paraId="36770AB1" w14:textId="77777777" w:rsidTr="00FB1164">
        <w:trPr>
          <w:cantSplit/>
        </w:trPr>
        <w:tc>
          <w:tcPr>
            <w:tcW w:w="1728" w:type="dxa"/>
            <w:tcBorders>
              <w:top w:val="nil"/>
              <w:left w:val="nil"/>
              <w:bottom w:val="nil"/>
              <w:right w:val="nil"/>
            </w:tcBorders>
          </w:tcPr>
          <w:p w14:paraId="28341AA8" w14:textId="77777777" w:rsidR="008F3A9B" w:rsidRPr="00BB1E65" w:rsidRDefault="008F3A9B" w:rsidP="00FB1164">
            <w:pPr>
              <w:pStyle w:val="Heading5"/>
            </w:pPr>
            <w:r w:rsidRPr="00BB1E65">
              <w:t>Introduction</w:t>
            </w:r>
          </w:p>
        </w:tc>
        <w:tc>
          <w:tcPr>
            <w:tcW w:w="7740" w:type="dxa"/>
            <w:tcBorders>
              <w:top w:val="nil"/>
              <w:left w:val="nil"/>
              <w:bottom w:val="nil"/>
              <w:right w:val="nil"/>
            </w:tcBorders>
          </w:tcPr>
          <w:p w14:paraId="71EF60D1" w14:textId="5C81894B" w:rsidR="008F3A9B" w:rsidRPr="00BB1E65" w:rsidRDefault="008F3A9B" w:rsidP="00FB1164">
            <w:pPr>
              <w:pStyle w:val="BlockText"/>
            </w:pPr>
            <w:r w:rsidRPr="00BB1E65">
              <w:t xml:space="preserve">This topic contains information about </w:t>
            </w:r>
            <w:r w:rsidR="00C55A4E" w:rsidRPr="00BB1E65">
              <w:t xml:space="preserve">Pre-Discharge </w:t>
            </w:r>
            <w:r w:rsidRPr="00BB1E65">
              <w:t>examinations, including</w:t>
            </w:r>
          </w:p>
          <w:p w14:paraId="07621E33" w14:textId="77777777" w:rsidR="008F3A9B" w:rsidRPr="00BB1E65" w:rsidRDefault="008F3A9B" w:rsidP="00FB1164">
            <w:pPr>
              <w:pStyle w:val="BlockText"/>
            </w:pPr>
          </w:p>
          <w:p w14:paraId="5A2D5022" w14:textId="4241696E" w:rsidR="008F3A9B" w:rsidRPr="00BB1E65" w:rsidRDefault="008F3A9B" w:rsidP="00C55A4E">
            <w:pPr>
              <w:pStyle w:val="BulletText1"/>
            </w:pPr>
            <w:r w:rsidRPr="00BB1E65">
              <w:t xml:space="preserve">who is eligible for </w:t>
            </w:r>
            <w:r w:rsidR="00C55A4E" w:rsidRPr="00BB1E65">
              <w:t>Pre-Discharge</w:t>
            </w:r>
            <w:r w:rsidRPr="00BB1E65">
              <w:t xml:space="preserve"> examination </w:t>
            </w:r>
          </w:p>
          <w:p w14:paraId="17681EBE" w14:textId="62768A9C" w:rsidR="008F3A9B" w:rsidRPr="00BB1E65" w:rsidRDefault="008F3A9B" w:rsidP="00C55A4E">
            <w:pPr>
              <w:pStyle w:val="BulletText1"/>
            </w:pPr>
            <w:r w:rsidRPr="00BB1E65">
              <w:t>what the</w:t>
            </w:r>
            <w:r w:rsidR="00C55A4E" w:rsidRPr="00BB1E65">
              <w:t xml:space="preserve"> Separation Health Assessment (SHA) </w:t>
            </w:r>
            <w:r w:rsidRPr="00BB1E65">
              <w:t>covers</w:t>
            </w:r>
            <w:r w:rsidR="00EB388F" w:rsidRPr="00BB1E65">
              <w:t>, and</w:t>
            </w:r>
          </w:p>
          <w:p w14:paraId="10701234" w14:textId="0AE433FD" w:rsidR="008F3A9B" w:rsidRPr="00BB1E65" w:rsidRDefault="008F3A9B" w:rsidP="00C55A4E">
            <w:pPr>
              <w:pStyle w:val="BulletText1"/>
            </w:pPr>
            <w:r w:rsidRPr="00BB1E65">
              <w:t>general medical examinations and the SHA</w:t>
            </w:r>
            <w:r w:rsidR="00EB3618" w:rsidRPr="00BB1E65">
              <w:t>.</w:t>
            </w:r>
          </w:p>
        </w:tc>
      </w:tr>
    </w:tbl>
    <w:p w14:paraId="0FE1EBD0" w14:textId="77777777" w:rsidR="008F3A9B" w:rsidRPr="00BB1E65" w:rsidRDefault="008F3A9B" w:rsidP="008F3A9B">
      <w:pPr>
        <w:pStyle w:val="BlockLine"/>
      </w:pPr>
    </w:p>
    <w:tbl>
      <w:tblPr>
        <w:tblW w:w="0" w:type="auto"/>
        <w:tblInd w:w="-106" w:type="dxa"/>
        <w:tblLayout w:type="fixed"/>
        <w:tblLook w:val="0000" w:firstRow="0" w:lastRow="0" w:firstColumn="0" w:lastColumn="0" w:noHBand="0" w:noVBand="0"/>
      </w:tblPr>
      <w:tblGrid>
        <w:gridCol w:w="1728"/>
        <w:gridCol w:w="7740"/>
      </w:tblGrid>
      <w:tr w:rsidR="008F3A9B" w:rsidRPr="00BB1E65" w14:paraId="541A09E1" w14:textId="77777777" w:rsidTr="00FB1164">
        <w:trPr>
          <w:cantSplit/>
        </w:trPr>
        <w:tc>
          <w:tcPr>
            <w:tcW w:w="1728" w:type="dxa"/>
            <w:tcBorders>
              <w:top w:val="nil"/>
              <w:left w:val="nil"/>
              <w:bottom w:val="nil"/>
              <w:right w:val="nil"/>
            </w:tcBorders>
          </w:tcPr>
          <w:p w14:paraId="69205749" w14:textId="77777777" w:rsidR="008F3A9B" w:rsidRPr="00BB1E65" w:rsidRDefault="008F3A9B" w:rsidP="00FB1164">
            <w:pPr>
              <w:pStyle w:val="Heading5"/>
            </w:pPr>
            <w:r w:rsidRPr="00BB1E65">
              <w:t>Change Date</w:t>
            </w:r>
          </w:p>
        </w:tc>
        <w:tc>
          <w:tcPr>
            <w:tcW w:w="7740" w:type="dxa"/>
            <w:tcBorders>
              <w:top w:val="nil"/>
              <w:left w:val="nil"/>
              <w:bottom w:val="nil"/>
              <w:right w:val="nil"/>
            </w:tcBorders>
          </w:tcPr>
          <w:p w14:paraId="18C18BB9" w14:textId="69C49F62" w:rsidR="008F3A9B" w:rsidRPr="00BB1E65" w:rsidRDefault="00892D5C" w:rsidP="00FB1164">
            <w:pPr>
              <w:pStyle w:val="BlockText"/>
            </w:pPr>
            <w:r w:rsidRPr="00BB1E65">
              <w:t>July 30, 2015</w:t>
            </w:r>
          </w:p>
        </w:tc>
      </w:tr>
    </w:tbl>
    <w:p w14:paraId="05F9D622" w14:textId="77777777" w:rsidR="008F3A9B" w:rsidRPr="00BB1E65" w:rsidRDefault="008F3A9B" w:rsidP="008F3A9B">
      <w:pPr>
        <w:pStyle w:val="BlockLine"/>
      </w:pPr>
      <w:r w:rsidRPr="00BB1E65">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8F3A9B" w:rsidRPr="00BB1E65" w14:paraId="2C486602" w14:textId="77777777" w:rsidTr="00FB1164">
        <w:trPr>
          <w:cantSplit/>
        </w:trPr>
        <w:tc>
          <w:tcPr>
            <w:tcW w:w="1728" w:type="dxa"/>
            <w:tcBorders>
              <w:top w:val="nil"/>
              <w:left w:val="nil"/>
              <w:bottom w:val="nil"/>
              <w:right w:val="nil"/>
            </w:tcBorders>
          </w:tcPr>
          <w:p w14:paraId="5C987E36" w14:textId="218097C3" w:rsidR="008F3A9B" w:rsidRPr="00BB1E65" w:rsidRDefault="008F3A9B" w:rsidP="00D14300">
            <w:pPr>
              <w:pStyle w:val="Heading5"/>
            </w:pPr>
            <w:r w:rsidRPr="00BB1E65">
              <w:t xml:space="preserve">a.  Who Is Eligible for </w:t>
            </w:r>
            <w:r w:rsidR="00C55A4E" w:rsidRPr="00BB1E65">
              <w:t>Pre-Discharge</w:t>
            </w:r>
            <w:r w:rsidRPr="00BB1E65">
              <w:t xml:space="preserve"> Examination</w:t>
            </w:r>
          </w:p>
        </w:tc>
        <w:tc>
          <w:tcPr>
            <w:tcW w:w="7740" w:type="dxa"/>
            <w:tcBorders>
              <w:top w:val="nil"/>
              <w:left w:val="nil"/>
              <w:bottom w:val="nil"/>
              <w:right w:val="nil"/>
            </w:tcBorders>
          </w:tcPr>
          <w:p w14:paraId="612ECFBB" w14:textId="2E9A8B16" w:rsidR="008F3A9B" w:rsidRPr="00BB1E65" w:rsidRDefault="008F3A9B" w:rsidP="00FB1164">
            <w:pPr>
              <w:pStyle w:val="BlockText"/>
            </w:pPr>
            <w:r w:rsidRPr="00BB1E65">
              <w:t xml:space="preserve">The </w:t>
            </w:r>
            <w:r w:rsidR="00C55A4E" w:rsidRPr="00BB1E65">
              <w:t xml:space="preserve">Pre-Discharge </w:t>
            </w:r>
            <w:r w:rsidRPr="00BB1E65">
              <w:t xml:space="preserve"> program is available </w:t>
            </w:r>
            <w:r w:rsidR="00C55A4E" w:rsidRPr="00BB1E65">
              <w:t xml:space="preserve">to service members with no more than 180 days remaining until discharge </w:t>
            </w:r>
            <w:r w:rsidRPr="00BB1E65">
              <w:t xml:space="preserve">at </w:t>
            </w:r>
            <w:r w:rsidR="00C55A4E" w:rsidRPr="00BB1E65">
              <w:t>select military installations that contain VA intake</w:t>
            </w:r>
            <w:r w:rsidR="00E41953" w:rsidRPr="00BB1E65">
              <w:t xml:space="preserve"> sites</w:t>
            </w:r>
            <w:r w:rsidRPr="00BB1E65">
              <w:t>.</w:t>
            </w:r>
            <w:r w:rsidR="008F7021" w:rsidRPr="00BB1E65">
              <w:t xml:space="preserve"> </w:t>
            </w:r>
          </w:p>
          <w:p w14:paraId="5BE42B46" w14:textId="77777777" w:rsidR="008F3A9B" w:rsidRPr="00BB1E65" w:rsidRDefault="008F3A9B" w:rsidP="00FB1164">
            <w:pPr>
              <w:pStyle w:val="BlockText"/>
            </w:pPr>
          </w:p>
          <w:p w14:paraId="4E7E9223" w14:textId="77777777" w:rsidR="00E41953" w:rsidRPr="00BB1E65" w:rsidRDefault="00E41953" w:rsidP="00E41953">
            <w:pPr>
              <w:pStyle w:val="BulletText1"/>
              <w:numPr>
                <w:ilvl w:val="0"/>
                <w:numId w:val="0"/>
              </w:numPr>
              <w:rPr>
                <w:bCs/>
                <w:iCs/>
              </w:rPr>
            </w:pPr>
            <w:r w:rsidRPr="00BB1E65">
              <w:rPr>
                <w:b/>
                <w:bCs/>
                <w:i/>
                <w:iCs/>
              </w:rPr>
              <w:t>References</w:t>
            </w:r>
            <w:r w:rsidRPr="00BB1E65">
              <w:rPr>
                <w:bCs/>
                <w:iCs/>
              </w:rPr>
              <w:t>:  For more information on</w:t>
            </w:r>
          </w:p>
          <w:p w14:paraId="7EEADB1B" w14:textId="1184F897" w:rsidR="00502310" w:rsidRPr="00BB1E65" w:rsidRDefault="00E41953" w:rsidP="00661A60">
            <w:pPr>
              <w:pStyle w:val="ListParagraph"/>
              <w:numPr>
                <w:ilvl w:val="0"/>
                <w:numId w:val="69"/>
              </w:numPr>
              <w:ind w:left="158" w:hanging="187"/>
            </w:pPr>
            <w:r w:rsidRPr="00BB1E65">
              <w:t xml:space="preserve">who may file a </w:t>
            </w:r>
            <w:r w:rsidR="00725530" w:rsidRPr="00BB1E65">
              <w:t>P</w:t>
            </w:r>
            <w:r w:rsidRPr="00BB1E65">
              <w:t>re-</w:t>
            </w:r>
            <w:r w:rsidR="00725530" w:rsidRPr="00BB1E65">
              <w:t>D</w:t>
            </w:r>
            <w:r w:rsidRPr="00BB1E65">
              <w:t xml:space="preserve">ischarge claim, see M21-1, Part III, Subpart </w:t>
            </w:r>
            <w:r w:rsidR="00005F3D" w:rsidRPr="00BB1E65">
              <w:t>i</w:t>
            </w:r>
            <w:r w:rsidRPr="00BB1E65">
              <w:t>, 2.A.1.b, and</w:t>
            </w:r>
          </w:p>
          <w:p w14:paraId="47F8BBC6" w14:textId="35416D02" w:rsidR="008F3A9B" w:rsidRPr="00BB1E65" w:rsidRDefault="00502310" w:rsidP="00CA1389">
            <w:pPr>
              <w:pStyle w:val="ListParagraph"/>
              <w:numPr>
                <w:ilvl w:val="0"/>
                <w:numId w:val="85"/>
              </w:numPr>
              <w:ind w:left="158" w:hanging="187"/>
            </w:pPr>
            <w:r w:rsidRPr="00BB1E65">
              <w:t xml:space="preserve">claims that are not processed in the Pre-Discharge program, see M21-1, Part III, Subpart </w:t>
            </w:r>
            <w:r w:rsidR="00005F3D" w:rsidRPr="00BB1E65">
              <w:t>i</w:t>
            </w:r>
            <w:r w:rsidRPr="00BB1E65">
              <w:t>, 2.A.1.e.</w:t>
            </w:r>
          </w:p>
        </w:tc>
      </w:tr>
    </w:tbl>
    <w:p w14:paraId="707E34B6" w14:textId="7A647224" w:rsidR="008F3A9B" w:rsidRPr="00BB1E65" w:rsidRDefault="008F3A9B" w:rsidP="008F3A9B">
      <w:pPr>
        <w:pStyle w:val="BlockLine"/>
      </w:pPr>
      <w:r w:rsidRPr="00BB1E65">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8F3A9B" w:rsidRPr="00BB1E65" w14:paraId="47D12AD6" w14:textId="77777777" w:rsidTr="00701286">
        <w:tc>
          <w:tcPr>
            <w:tcW w:w="1728" w:type="dxa"/>
            <w:tcBorders>
              <w:top w:val="nil"/>
              <w:left w:val="nil"/>
              <w:bottom w:val="nil"/>
              <w:right w:val="nil"/>
            </w:tcBorders>
          </w:tcPr>
          <w:p w14:paraId="34B93017" w14:textId="63AE735E" w:rsidR="008F3A9B" w:rsidRPr="00BB1E65" w:rsidRDefault="008F3A9B" w:rsidP="00FB1164">
            <w:pPr>
              <w:pStyle w:val="Heading5"/>
            </w:pPr>
            <w:r w:rsidRPr="00BB1E65">
              <w:t xml:space="preserve">b.  What the </w:t>
            </w:r>
            <w:r w:rsidR="00502310" w:rsidRPr="00BB1E65">
              <w:t>SHA</w:t>
            </w:r>
            <w:r w:rsidRPr="00BB1E65">
              <w:t xml:space="preserve"> Examination Covers</w:t>
            </w:r>
          </w:p>
        </w:tc>
        <w:tc>
          <w:tcPr>
            <w:tcW w:w="7740" w:type="dxa"/>
            <w:tcBorders>
              <w:top w:val="nil"/>
              <w:left w:val="nil"/>
              <w:bottom w:val="nil"/>
              <w:right w:val="nil"/>
            </w:tcBorders>
          </w:tcPr>
          <w:p w14:paraId="2C9FD204" w14:textId="18FB69A7" w:rsidR="008F3A9B" w:rsidRPr="00BB1E65" w:rsidRDefault="00502310" w:rsidP="00502310">
            <w:pPr>
              <w:pStyle w:val="BlockText"/>
            </w:pPr>
            <w:r w:rsidRPr="00BB1E65">
              <w:t xml:space="preserve">The Separation Health Assessment (SHA) is a single separation examination which supports the VA disability compensation process and </w:t>
            </w:r>
            <w:r w:rsidR="00272447" w:rsidRPr="00BB1E65">
              <w:t>the Department of Defense (</w:t>
            </w:r>
            <w:r w:rsidRPr="00BB1E65">
              <w:t>Do</w:t>
            </w:r>
            <w:r w:rsidR="00D14300" w:rsidRPr="00BB1E65">
              <w:t>D</w:t>
            </w:r>
            <w:r w:rsidR="00272447" w:rsidRPr="00BB1E65">
              <w:t>)</w:t>
            </w:r>
            <w:r w:rsidR="00D14300" w:rsidRPr="00BB1E65">
              <w:t xml:space="preserve"> separation/retirement process.</w:t>
            </w:r>
            <w:r w:rsidRPr="00BB1E65">
              <w:t xml:space="preserve"> </w:t>
            </w:r>
            <w:r w:rsidR="00C64EA2" w:rsidRPr="00BB1E65">
              <w:t xml:space="preserve"> </w:t>
            </w:r>
            <w:r w:rsidR="00D14300" w:rsidRPr="00BB1E65">
              <w:t>It</w:t>
            </w:r>
            <w:r w:rsidRPr="00BB1E65">
              <w:t xml:space="preserve"> includes the Separation History and Physical Examination Program (SHPE).</w:t>
            </w:r>
          </w:p>
          <w:p w14:paraId="0A48A638" w14:textId="77777777" w:rsidR="00502310" w:rsidRPr="00BB1E65" w:rsidRDefault="00502310" w:rsidP="00502310">
            <w:pPr>
              <w:pStyle w:val="BlockText"/>
            </w:pPr>
          </w:p>
          <w:p w14:paraId="42C0453A" w14:textId="233BFD0C" w:rsidR="00502310" w:rsidRPr="00BB1E65" w:rsidRDefault="00502310" w:rsidP="00502310">
            <w:pPr>
              <w:pStyle w:val="BlockText"/>
            </w:pPr>
            <w:r w:rsidRPr="00BB1E65">
              <w:t>Service members who do not file claims with VA will receive</w:t>
            </w:r>
            <w:r w:rsidR="00D14300" w:rsidRPr="00BB1E65">
              <w:t xml:space="preserve"> an SHA/</w:t>
            </w:r>
            <w:r w:rsidRPr="00BB1E65">
              <w:t xml:space="preserve"> SHPE at their local military treatment facility (MTF) in connection with their transition processing. </w:t>
            </w:r>
            <w:r w:rsidR="001D71BA" w:rsidRPr="00BB1E65">
              <w:t xml:space="preserve"> </w:t>
            </w:r>
            <w:r w:rsidRPr="00BB1E65">
              <w:t>The SHA/SHPE captures the service member’s current health information in a way that is easily accessible by both DoD and VA.</w:t>
            </w:r>
          </w:p>
          <w:p w14:paraId="652C9EE8" w14:textId="77777777" w:rsidR="00502310" w:rsidRPr="00BB1E65" w:rsidRDefault="00502310" w:rsidP="00502310">
            <w:pPr>
              <w:pStyle w:val="BlockText"/>
            </w:pPr>
          </w:p>
          <w:p w14:paraId="1DDDDE44" w14:textId="5B79D320" w:rsidR="007C6462" w:rsidRPr="00BB1E65" w:rsidRDefault="007C6462" w:rsidP="007C6462">
            <w:pPr>
              <w:pStyle w:val="BlockText"/>
            </w:pPr>
            <w:r w:rsidRPr="00BB1E65">
              <w:t xml:space="preserve">The SHA process provides service members with an improved general medical examination, which includes an audiogram, any specialty exams deemed necessary, and a full lab analysis, using VA’s examination protocols. The service member completes and provides the </w:t>
            </w:r>
            <w:r w:rsidRPr="00BB1E65">
              <w:rPr>
                <w:i/>
              </w:rPr>
              <w:t>DD Form 2807-1, Report of Medical History</w:t>
            </w:r>
            <w:r w:rsidRPr="00BB1E65">
              <w:t xml:space="preserve">, to the examiner. </w:t>
            </w:r>
            <w:r w:rsidR="00184146" w:rsidRPr="00BB1E65">
              <w:t xml:space="preserve"> </w:t>
            </w:r>
            <w:r w:rsidRPr="00BB1E65">
              <w:t>The examiner</w:t>
            </w:r>
            <w:r w:rsidR="00467971" w:rsidRPr="00BB1E65">
              <w:t>s</w:t>
            </w:r>
            <w:r w:rsidRPr="00BB1E65">
              <w:t xml:space="preserve"> will complete their designated section of the </w:t>
            </w:r>
            <w:r w:rsidR="00D14300" w:rsidRPr="00BB1E65">
              <w:rPr>
                <w:i/>
              </w:rPr>
              <w:t xml:space="preserve">DD Form </w:t>
            </w:r>
            <w:r w:rsidRPr="00BB1E65">
              <w:rPr>
                <w:i/>
              </w:rPr>
              <w:t>2807-1</w:t>
            </w:r>
            <w:r w:rsidRPr="00BB1E65">
              <w:t>, and the completed form will be added to the service member’s service treatment records</w:t>
            </w:r>
            <w:r w:rsidR="00D14300" w:rsidRPr="00BB1E65">
              <w:t xml:space="preserve"> (STRs)</w:t>
            </w:r>
            <w:r w:rsidRPr="00BB1E65">
              <w:t xml:space="preserve">. </w:t>
            </w:r>
          </w:p>
          <w:p w14:paraId="63A48CCD" w14:textId="77777777" w:rsidR="007C6462" w:rsidRPr="00BB1E65" w:rsidRDefault="007C6462" w:rsidP="007C6462">
            <w:pPr>
              <w:pStyle w:val="BlockText"/>
            </w:pPr>
          </w:p>
          <w:p w14:paraId="3F76B381" w14:textId="3ABA73DB" w:rsidR="00502310" w:rsidRPr="00BB1E65" w:rsidRDefault="007C6462" w:rsidP="007C6462">
            <w:pPr>
              <w:pStyle w:val="BlockText"/>
            </w:pPr>
            <w:r w:rsidRPr="00BB1E65">
              <w:rPr>
                <w:b/>
                <w:i/>
              </w:rPr>
              <w:t xml:space="preserve">Note: </w:t>
            </w:r>
            <w:r w:rsidRPr="00BB1E65">
              <w:t xml:space="preserve"> The service member may elect to upload the completed </w:t>
            </w:r>
            <w:r w:rsidRPr="00BB1E65">
              <w:rPr>
                <w:i/>
              </w:rPr>
              <w:t>DD Form 2807-1</w:t>
            </w:r>
            <w:r w:rsidRPr="00BB1E65">
              <w:t xml:space="preserve"> into eBenefits with the Pre-Discharge claim(s) application instead of bringing the form to the SHA examination.</w:t>
            </w:r>
          </w:p>
        </w:tc>
      </w:tr>
    </w:tbl>
    <w:p w14:paraId="3E653ED1" w14:textId="77777777" w:rsidR="008F3A9B" w:rsidRPr="00BB1E65" w:rsidRDefault="008F3A9B" w:rsidP="008F3A9B">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8F3A9B" w:rsidRPr="00BB1E65" w14:paraId="48E341F1" w14:textId="77777777" w:rsidTr="00FB1164">
        <w:tc>
          <w:tcPr>
            <w:tcW w:w="1638" w:type="dxa"/>
            <w:shd w:val="clear" w:color="auto" w:fill="auto"/>
          </w:tcPr>
          <w:p w14:paraId="4D27A10E" w14:textId="77777777" w:rsidR="008F3A9B" w:rsidRPr="00BB1E65" w:rsidRDefault="008F3A9B" w:rsidP="00FB1164">
            <w:pPr>
              <w:rPr>
                <w:b/>
                <w:sz w:val="22"/>
              </w:rPr>
            </w:pPr>
            <w:r w:rsidRPr="00BB1E65">
              <w:rPr>
                <w:b/>
                <w:sz w:val="22"/>
              </w:rPr>
              <w:t xml:space="preserve">c.  General Medical </w:t>
            </w:r>
            <w:r w:rsidRPr="00BB1E65">
              <w:rPr>
                <w:b/>
                <w:sz w:val="22"/>
              </w:rPr>
              <w:lastRenderedPageBreak/>
              <w:t>Examinations and the SHA</w:t>
            </w:r>
          </w:p>
        </w:tc>
        <w:tc>
          <w:tcPr>
            <w:tcW w:w="7830" w:type="dxa"/>
            <w:shd w:val="clear" w:color="auto" w:fill="auto"/>
          </w:tcPr>
          <w:p w14:paraId="1E40CA4C" w14:textId="31764077" w:rsidR="007C6462" w:rsidRPr="00BB1E65" w:rsidRDefault="007C6462" w:rsidP="007C6462">
            <w:r w:rsidRPr="00BB1E65">
              <w:lastRenderedPageBreak/>
              <w:t xml:space="preserve">Effective October 2013, all </w:t>
            </w:r>
            <w:r w:rsidR="008F7021" w:rsidRPr="00BB1E65">
              <w:t xml:space="preserve">eligible </w:t>
            </w:r>
            <w:r w:rsidRPr="00BB1E65">
              <w:t>Pre-Discharge claimants receive a</w:t>
            </w:r>
            <w:r w:rsidR="00467971" w:rsidRPr="00BB1E65">
              <w:t>n</w:t>
            </w:r>
            <w:r w:rsidRPr="00BB1E65">
              <w:t xml:space="preserve"> SHA, which replaced the General Medical (GEN MED) examination.  </w:t>
            </w:r>
          </w:p>
          <w:p w14:paraId="5648C3FA" w14:textId="531B0177" w:rsidR="007C6462" w:rsidRPr="00BB1E65" w:rsidRDefault="007C6462" w:rsidP="007C6462">
            <w:pPr>
              <w:rPr>
                <w:i/>
              </w:rPr>
            </w:pPr>
            <w:r w:rsidRPr="00BB1E65">
              <w:lastRenderedPageBreak/>
              <w:t xml:space="preserve">The SHA DBQ is being added to CAPRI/CAATS and is an available selection at most facilities. </w:t>
            </w:r>
            <w:r w:rsidR="00184146" w:rsidRPr="00BB1E65">
              <w:t xml:space="preserve"> </w:t>
            </w:r>
            <w:r w:rsidRPr="00BB1E65">
              <w:t xml:space="preserve">Select the SHA DBQ if it is available at the requesting examination facility and add the comment:  </w:t>
            </w:r>
            <w:r w:rsidRPr="00BB1E65">
              <w:rPr>
                <w:i/>
              </w:rPr>
              <w:t>BDD</w:t>
            </w:r>
            <w:r w:rsidRPr="00BB1E65">
              <w:t xml:space="preserve"> (or </w:t>
            </w:r>
            <w:r w:rsidRPr="00BB1E65">
              <w:rPr>
                <w:i/>
              </w:rPr>
              <w:t>Quick Start</w:t>
            </w:r>
            <w:r w:rsidRPr="00BB1E65">
              <w:t xml:space="preserve">) </w:t>
            </w:r>
            <w:r w:rsidRPr="00BB1E65">
              <w:rPr>
                <w:i/>
              </w:rPr>
              <w:t>claim</w:t>
            </w:r>
            <w:r w:rsidR="00467971" w:rsidRPr="00BB1E65">
              <w:rPr>
                <w:i/>
              </w:rPr>
              <w:t>.</w:t>
            </w:r>
          </w:p>
          <w:p w14:paraId="40932FAD" w14:textId="77777777" w:rsidR="007C6462" w:rsidRPr="00BB1E65" w:rsidRDefault="007C6462" w:rsidP="007C6462">
            <w:pPr>
              <w:ind w:left="1530"/>
              <w:rPr>
                <w:i/>
              </w:rPr>
            </w:pPr>
          </w:p>
          <w:p w14:paraId="6998E23A" w14:textId="7A7E61CD" w:rsidR="007C6462" w:rsidRPr="00BB1E65" w:rsidRDefault="007C6462" w:rsidP="007C6462">
            <w:pPr>
              <w:rPr>
                <w:i/>
              </w:rPr>
            </w:pPr>
            <w:r w:rsidRPr="00BB1E65">
              <w:t xml:space="preserve">If the SHA DBQ is not available in CAPRI or CAATS, select the GEN MED DBQ and add the following statement to the comments: </w:t>
            </w:r>
            <w:r w:rsidR="00467971" w:rsidRPr="00BB1E65">
              <w:t xml:space="preserve"> </w:t>
            </w:r>
            <w:r w:rsidRPr="00BB1E65">
              <w:rPr>
                <w:i/>
              </w:rPr>
              <w:t>BDD (or Quick Start) claim:  SHA DBQ is requested.</w:t>
            </w:r>
          </w:p>
          <w:p w14:paraId="4AA6B06D" w14:textId="77777777" w:rsidR="008F3A9B" w:rsidRPr="00BB1E65" w:rsidRDefault="008F3A9B" w:rsidP="00FB1164"/>
          <w:p w14:paraId="77CB2F52" w14:textId="43D1CADD" w:rsidR="008F3A9B" w:rsidRPr="00BB1E65" w:rsidRDefault="009D430B" w:rsidP="00FB1164">
            <w:r w:rsidRPr="00BB1E65">
              <w:rPr>
                <w:b/>
                <w:i/>
              </w:rPr>
              <w:t>Reference</w:t>
            </w:r>
            <w:r w:rsidRPr="00BB1E65">
              <w:t xml:space="preserve">: </w:t>
            </w:r>
            <w:r w:rsidR="00EB388F" w:rsidRPr="00BB1E65">
              <w:t xml:space="preserve"> For more information about the SHA DBQ, see the </w:t>
            </w:r>
            <w:r w:rsidRPr="00BB1E65">
              <w:rPr>
                <w:i/>
              </w:rPr>
              <w:t>Disability and Medical Assessment Fact Shee</w:t>
            </w:r>
            <w:r w:rsidRPr="00BB1E65">
              <w:t xml:space="preserve">t </w:t>
            </w:r>
            <w:hyperlink r:id="rId81" w:history="1">
              <w:r w:rsidR="008F3A9B" w:rsidRPr="00BB1E65">
                <w:rPr>
                  <w:rStyle w:val="Hyperlink"/>
                  <w:i/>
                </w:rPr>
                <w:t>REVISED DMA 15-001</w:t>
              </w:r>
            </w:hyperlink>
            <w:r w:rsidR="00114A7E" w:rsidRPr="00BB1E65">
              <w:rPr>
                <w:rStyle w:val="Hyperlink"/>
                <w:color w:val="auto"/>
                <w:u w:val="none"/>
              </w:rPr>
              <w:t>.</w:t>
            </w:r>
          </w:p>
        </w:tc>
      </w:tr>
    </w:tbl>
    <w:p w14:paraId="06E4944E" w14:textId="77777777" w:rsidR="00F946B8" w:rsidRPr="00BB1E65" w:rsidRDefault="00F946B8" w:rsidP="00F946B8">
      <w:pPr>
        <w:pStyle w:val="BlockLine"/>
      </w:pPr>
    </w:p>
    <w:p w14:paraId="3D91FDCC" w14:textId="4428A18C" w:rsidR="008F3A9B" w:rsidRPr="00BB1E65" w:rsidRDefault="008F3A9B" w:rsidP="001831DE">
      <w:pPr>
        <w:pStyle w:val="Heading4"/>
        <w:rPr>
          <w:rFonts w:ascii="Times New Roman" w:hAnsi="Times New Roman" w:cs="Times New Roman"/>
          <w:b w:val="0"/>
          <w:bCs w:val="0"/>
          <w:sz w:val="24"/>
          <w:szCs w:val="24"/>
        </w:rPr>
      </w:pPr>
      <w:bookmarkStart w:id="18" w:name="_14.__General"/>
      <w:bookmarkEnd w:id="18"/>
      <w:r w:rsidRPr="00BB1E65">
        <w:br w:type="page"/>
      </w:r>
      <w:r w:rsidRPr="00BB1E65">
        <w:rPr>
          <w:rStyle w:val="Heading4Char"/>
          <w:rFonts w:ascii="Arial" w:hAnsi="Arial" w:cs="Arial"/>
          <w:b/>
          <w:sz w:val="32"/>
        </w:rPr>
        <w:lastRenderedPageBreak/>
        <w:t>14.</w:t>
      </w:r>
      <w:r w:rsidR="00F55485" w:rsidRPr="00BB1E65">
        <w:rPr>
          <w:b w:val="0"/>
          <w:sz w:val="28"/>
        </w:rPr>
        <w:t xml:space="preserve"> </w:t>
      </w:r>
      <w:r w:rsidRPr="00BB1E65">
        <w:rPr>
          <w:b w:val="0"/>
          <w:sz w:val="28"/>
        </w:rPr>
        <w:t xml:space="preserve"> </w:t>
      </w:r>
      <w:r w:rsidR="004F6D3F" w:rsidRPr="00BB1E65">
        <w:rPr>
          <w:rStyle w:val="Heading4Char"/>
          <w:rFonts w:ascii="Arial" w:hAnsi="Arial" w:cs="Arial"/>
          <w:b/>
          <w:sz w:val="32"/>
        </w:rPr>
        <w:t>Examinations</w:t>
      </w:r>
      <w:r w:rsidR="008F7021" w:rsidRPr="00BB1E65">
        <w:rPr>
          <w:rStyle w:val="Heading4Char"/>
          <w:rFonts w:ascii="Arial" w:hAnsi="Arial" w:cs="Arial"/>
          <w:b/>
          <w:sz w:val="32"/>
        </w:rPr>
        <w:t xml:space="preserve"> </w:t>
      </w:r>
      <w:r w:rsidR="00725530" w:rsidRPr="00BB1E65">
        <w:rPr>
          <w:rStyle w:val="Heading4Char"/>
          <w:rFonts w:ascii="Arial" w:hAnsi="Arial" w:cs="Arial"/>
          <w:b/>
          <w:sz w:val="32"/>
        </w:rPr>
        <w:t>of</w:t>
      </w:r>
      <w:r w:rsidR="008F7021" w:rsidRPr="00BB1E65">
        <w:rPr>
          <w:rStyle w:val="Heading4Char"/>
          <w:rFonts w:ascii="Arial" w:hAnsi="Arial" w:cs="Arial"/>
          <w:b/>
          <w:sz w:val="32"/>
        </w:rPr>
        <w:t xml:space="preserve"> Pregnant Claimants</w:t>
      </w:r>
    </w:p>
    <w:p w14:paraId="24C25134" w14:textId="77777777" w:rsidR="008F3A9B" w:rsidRPr="00BB1E65" w:rsidRDefault="008F3A9B" w:rsidP="008F3A9B">
      <w:pPr>
        <w:pStyle w:val="BlockLine"/>
      </w:pPr>
      <w:r w:rsidRPr="00BB1E65">
        <w:fldChar w:fldCharType="begin"/>
      </w:r>
      <w:r w:rsidRPr="00BB1E65">
        <w:instrText xml:space="preserve"> PRIVATE INFOTYPE="OTHER"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8F3A9B" w:rsidRPr="00BB1E65" w14:paraId="5FC4BD57" w14:textId="77777777" w:rsidTr="00FB1164">
        <w:trPr>
          <w:cantSplit/>
        </w:trPr>
        <w:tc>
          <w:tcPr>
            <w:tcW w:w="1728" w:type="dxa"/>
            <w:tcBorders>
              <w:top w:val="nil"/>
              <w:left w:val="nil"/>
              <w:bottom w:val="nil"/>
              <w:right w:val="nil"/>
            </w:tcBorders>
          </w:tcPr>
          <w:p w14:paraId="4DB2066A" w14:textId="77777777" w:rsidR="008F3A9B" w:rsidRPr="00BB1E65" w:rsidRDefault="008F3A9B" w:rsidP="00FB1164">
            <w:pPr>
              <w:pStyle w:val="Heading5"/>
            </w:pPr>
            <w:r w:rsidRPr="00BB1E65">
              <w:t>Introduction</w:t>
            </w:r>
          </w:p>
        </w:tc>
        <w:tc>
          <w:tcPr>
            <w:tcW w:w="7740" w:type="dxa"/>
            <w:tcBorders>
              <w:top w:val="nil"/>
              <w:left w:val="nil"/>
              <w:bottom w:val="nil"/>
              <w:right w:val="nil"/>
            </w:tcBorders>
          </w:tcPr>
          <w:p w14:paraId="41ACF822" w14:textId="697D88B4" w:rsidR="008F3A9B" w:rsidRPr="00BB1E65" w:rsidRDefault="008F3A9B" w:rsidP="00FB1164">
            <w:pPr>
              <w:pStyle w:val="BlockText"/>
            </w:pPr>
            <w:r w:rsidRPr="00BB1E65">
              <w:t xml:space="preserve">This topic contains information about examinations for pregnant </w:t>
            </w:r>
            <w:r w:rsidR="008F627F" w:rsidRPr="00BB1E65">
              <w:t>claimants</w:t>
            </w:r>
            <w:r w:rsidRPr="00BB1E65">
              <w:t xml:space="preserve"> including</w:t>
            </w:r>
          </w:p>
          <w:p w14:paraId="23B81236" w14:textId="77777777" w:rsidR="008F3A9B" w:rsidRPr="00BB1E65" w:rsidRDefault="008F3A9B" w:rsidP="00FB1164">
            <w:pPr>
              <w:pStyle w:val="BlockText"/>
            </w:pPr>
          </w:p>
          <w:p w14:paraId="679F5DA2" w14:textId="21BC6C3F" w:rsidR="008F3A9B" w:rsidRPr="00BB1E65" w:rsidRDefault="00784AC7" w:rsidP="00FB1164">
            <w:pPr>
              <w:pStyle w:val="BulletText1"/>
            </w:pPr>
            <w:r w:rsidRPr="00BB1E65">
              <w:t>general information on examinations for pregnant c</w:t>
            </w:r>
            <w:r w:rsidR="00725530" w:rsidRPr="00BB1E65">
              <w:t>laimants</w:t>
            </w:r>
          </w:p>
          <w:p w14:paraId="67D7FCA5" w14:textId="2440FC72" w:rsidR="008F3A9B" w:rsidRPr="00BB1E65" w:rsidRDefault="00784AC7" w:rsidP="00FB1164">
            <w:pPr>
              <w:pStyle w:val="BulletText1"/>
            </w:pPr>
            <w:r w:rsidRPr="00BB1E65">
              <w:t>ancillary conditions of pregnancy</w:t>
            </w:r>
          </w:p>
          <w:p w14:paraId="64043C40" w14:textId="6827C196" w:rsidR="008F3A9B" w:rsidRPr="00BB1E65" w:rsidRDefault="00784AC7" w:rsidP="00FB1164">
            <w:pPr>
              <w:pStyle w:val="BulletText1"/>
            </w:pPr>
            <w:r w:rsidRPr="00BB1E65">
              <w:t xml:space="preserve">tests not recommended for pregnant </w:t>
            </w:r>
            <w:r w:rsidR="00BC63D2" w:rsidRPr="00BB1E65">
              <w:t>claimants</w:t>
            </w:r>
          </w:p>
          <w:p w14:paraId="11885C30" w14:textId="583A7500" w:rsidR="008F3A9B" w:rsidRPr="00BB1E65" w:rsidRDefault="00784AC7" w:rsidP="00FB1164">
            <w:pPr>
              <w:pStyle w:val="BulletText1"/>
            </w:pPr>
            <w:r w:rsidRPr="00BB1E65">
              <w:t>how pregnancy affects participation in the Pre-Discharge program</w:t>
            </w:r>
            <w:r w:rsidR="003D560A" w:rsidRPr="00BB1E65">
              <w:t>, and</w:t>
            </w:r>
          </w:p>
          <w:p w14:paraId="563F91AF" w14:textId="71BEF11D" w:rsidR="008F3A9B" w:rsidRPr="00BB1E65" w:rsidRDefault="00BC63D2" w:rsidP="003D560A">
            <w:pPr>
              <w:pStyle w:val="BulletText1"/>
            </w:pPr>
            <w:r w:rsidRPr="00BB1E65">
              <w:t>options for processing claims for pregnant claimants</w:t>
            </w:r>
            <w:r w:rsidR="008B26F4" w:rsidRPr="00BB1E65">
              <w:t>.</w:t>
            </w:r>
            <w:r w:rsidR="008B26F4" w:rsidRPr="00BB1E65" w:rsidDel="008B26F4">
              <w:t xml:space="preserve"> </w:t>
            </w:r>
          </w:p>
        </w:tc>
      </w:tr>
    </w:tbl>
    <w:p w14:paraId="19A0997C" w14:textId="77777777" w:rsidR="008F3A9B" w:rsidRPr="00BB1E65" w:rsidRDefault="008F3A9B" w:rsidP="008F3A9B">
      <w:pPr>
        <w:pStyle w:val="BlockLine"/>
      </w:pPr>
    </w:p>
    <w:tbl>
      <w:tblPr>
        <w:tblW w:w="0" w:type="auto"/>
        <w:tblInd w:w="-106" w:type="dxa"/>
        <w:tblLayout w:type="fixed"/>
        <w:tblLook w:val="0000" w:firstRow="0" w:lastRow="0" w:firstColumn="0" w:lastColumn="0" w:noHBand="0" w:noVBand="0"/>
      </w:tblPr>
      <w:tblGrid>
        <w:gridCol w:w="1728"/>
        <w:gridCol w:w="7740"/>
      </w:tblGrid>
      <w:tr w:rsidR="008F3A9B" w:rsidRPr="00BB1E65" w14:paraId="1BDD8D1C" w14:textId="77777777" w:rsidTr="00FB1164">
        <w:trPr>
          <w:cantSplit/>
        </w:trPr>
        <w:tc>
          <w:tcPr>
            <w:tcW w:w="1728" w:type="dxa"/>
            <w:tcBorders>
              <w:top w:val="nil"/>
              <w:left w:val="nil"/>
              <w:bottom w:val="nil"/>
              <w:right w:val="nil"/>
            </w:tcBorders>
          </w:tcPr>
          <w:p w14:paraId="412CEC95" w14:textId="77777777" w:rsidR="008F3A9B" w:rsidRPr="00BB1E65" w:rsidRDefault="008F3A9B" w:rsidP="00FB1164">
            <w:pPr>
              <w:pStyle w:val="Heading5"/>
            </w:pPr>
            <w:r w:rsidRPr="00BB1E65">
              <w:t>Change Date</w:t>
            </w:r>
          </w:p>
        </w:tc>
        <w:tc>
          <w:tcPr>
            <w:tcW w:w="7740" w:type="dxa"/>
            <w:tcBorders>
              <w:top w:val="nil"/>
              <w:left w:val="nil"/>
              <w:bottom w:val="nil"/>
              <w:right w:val="nil"/>
            </w:tcBorders>
          </w:tcPr>
          <w:p w14:paraId="737CF55B" w14:textId="62EA3DAF" w:rsidR="008F3A9B" w:rsidRPr="00BB1E65" w:rsidRDefault="00892D5C" w:rsidP="00FB1164">
            <w:pPr>
              <w:pStyle w:val="BlockText"/>
            </w:pPr>
            <w:r w:rsidRPr="00BB1E65">
              <w:t>July 30, 2015</w:t>
            </w:r>
          </w:p>
        </w:tc>
      </w:tr>
    </w:tbl>
    <w:p w14:paraId="1D7B3820" w14:textId="77777777" w:rsidR="008F3A9B" w:rsidRPr="00BB1E65" w:rsidRDefault="008F3A9B" w:rsidP="008F3A9B">
      <w:pPr>
        <w:pStyle w:val="BlockLine"/>
      </w:pPr>
      <w:r w:rsidRPr="00BB1E65">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8F3A9B" w:rsidRPr="00BB1E65" w14:paraId="3EFCA529" w14:textId="77777777" w:rsidTr="00FB1164">
        <w:trPr>
          <w:cantSplit/>
        </w:trPr>
        <w:tc>
          <w:tcPr>
            <w:tcW w:w="1728" w:type="dxa"/>
            <w:tcBorders>
              <w:top w:val="nil"/>
              <w:left w:val="nil"/>
              <w:bottom w:val="nil"/>
              <w:right w:val="nil"/>
            </w:tcBorders>
          </w:tcPr>
          <w:p w14:paraId="1B24EC02" w14:textId="095A894D" w:rsidR="008F3A9B" w:rsidRPr="00BB1E65" w:rsidRDefault="008F3A9B" w:rsidP="00725530">
            <w:pPr>
              <w:pStyle w:val="Heading5"/>
            </w:pPr>
            <w:bookmarkStart w:id="19" w:name="_a.__General"/>
            <w:bookmarkEnd w:id="19"/>
            <w:r w:rsidRPr="00BB1E65">
              <w:t xml:space="preserve">a.  General Information on Examinations for Pregnant </w:t>
            </w:r>
            <w:r w:rsidR="00725530" w:rsidRPr="00BB1E65">
              <w:t>Claimants</w:t>
            </w:r>
          </w:p>
        </w:tc>
        <w:tc>
          <w:tcPr>
            <w:tcW w:w="7740" w:type="dxa"/>
            <w:tcBorders>
              <w:top w:val="nil"/>
              <w:left w:val="nil"/>
              <w:bottom w:val="nil"/>
              <w:right w:val="nil"/>
            </w:tcBorders>
          </w:tcPr>
          <w:p w14:paraId="727ECE08" w14:textId="71520332" w:rsidR="008F3A9B" w:rsidRPr="00BB1E65" w:rsidRDefault="008F3A9B" w:rsidP="00FB1164">
            <w:pPr>
              <w:pStyle w:val="BlockText"/>
            </w:pPr>
            <w:r w:rsidRPr="00BB1E65">
              <w:t>Many pregnant claim</w:t>
            </w:r>
            <w:r w:rsidR="00A71F4B" w:rsidRPr="00BB1E65">
              <w:t>ants</w:t>
            </w:r>
            <w:r w:rsidRPr="00BB1E65">
              <w:t xml:space="preserve"> </w:t>
            </w:r>
            <w:r w:rsidR="00A71F4B" w:rsidRPr="00BB1E65">
              <w:t xml:space="preserve">submit </w:t>
            </w:r>
            <w:r w:rsidR="008F627F" w:rsidRPr="00BB1E65">
              <w:t xml:space="preserve">claims for </w:t>
            </w:r>
            <w:r w:rsidRPr="00BB1E65">
              <w:t>conditions that are either</w:t>
            </w:r>
          </w:p>
          <w:p w14:paraId="05B309C9" w14:textId="77777777" w:rsidR="008F3A9B" w:rsidRPr="00BB1E65" w:rsidRDefault="008F3A9B" w:rsidP="00FB1164">
            <w:pPr>
              <w:pStyle w:val="BlockText"/>
            </w:pPr>
          </w:p>
          <w:p w14:paraId="408B27AE" w14:textId="77777777" w:rsidR="008F3A9B" w:rsidRPr="00BB1E65" w:rsidRDefault="008F3A9B" w:rsidP="00FB1164">
            <w:pPr>
              <w:pStyle w:val="BulletText1"/>
            </w:pPr>
            <w:r w:rsidRPr="00BB1E65">
              <w:t>directly related to pregnancy, or</w:t>
            </w:r>
          </w:p>
          <w:p w14:paraId="357E18E0" w14:textId="77777777" w:rsidR="008F3A9B" w:rsidRPr="00BB1E65" w:rsidRDefault="008F3A9B" w:rsidP="00FB1164">
            <w:pPr>
              <w:pStyle w:val="BulletText1"/>
            </w:pPr>
            <w:r w:rsidRPr="00BB1E65">
              <w:t>acute and transitory and expected to resolve upon delivery.</w:t>
            </w:r>
          </w:p>
          <w:p w14:paraId="418D1AF9" w14:textId="77777777" w:rsidR="008F3A9B" w:rsidRPr="00BB1E65" w:rsidRDefault="008F3A9B" w:rsidP="00FB1164">
            <w:pPr>
              <w:pStyle w:val="BlockText"/>
            </w:pPr>
          </w:p>
          <w:p w14:paraId="10FC6D60" w14:textId="356FDD25" w:rsidR="008F3A9B" w:rsidRPr="00BB1E65" w:rsidRDefault="008F3A9B" w:rsidP="00FB1164">
            <w:pPr>
              <w:pStyle w:val="BlockText"/>
            </w:pPr>
            <w:r w:rsidRPr="00BB1E65">
              <w:t xml:space="preserve">Some physical examinations and routine tests required to accurately rate the disabilities identified in claims are complicated and not recommended or normally performed on pregnant women since they may pose a significant health risk to the woman or baby.  </w:t>
            </w:r>
          </w:p>
        </w:tc>
      </w:tr>
    </w:tbl>
    <w:p w14:paraId="7D58F2F4" w14:textId="77777777" w:rsidR="008F3A9B" w:rsidRPr="00BB1E65" w:rsidRDefault="008F3A9B" w:rsidP="008F3A9B">
      <w:pPr>
        <w:pStyle w:val="BlockLine"/>
      </w:pPr>
      <w:r w:rsidRPr="00BB1E65">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8F3A9B" w:rsidRPr="00BB1E65" w14:paraId="6C392C79" w14:textId="77777777" w:rsidTr="00FB1164">
        <w:trPr>
          <w:cantSplit/>
        </w:trPr>
        <w:tc>
          <w:tcPr>
            <w:tcW w:w="1728" w:type="dxa"/>
            <w:tcBorders>
              <w:top w:val="nil"/>
              <w:left w:val="nil"/>
              <w:bottom w:val="nil"/>
              <w:right w:val="nil"/>
            </w:tcBorders>
          </w:tcPr>
          <w:p w14:paraId="586D6B68" w14:textId="77777777" w:rsidR="008F3A9B" w:rsidRPr="00BB1E65" w:rsidRDefault="008F3A9B" w:rsidP="00FB1164">
            <w:pPr>
              <w:pStyle w:val="Heading5"/>
            </w:pPr>
            <w:bookmarkStart w:id="20" w:name="_b.__Ancillary"/>
            <w:bookmarkEnd w:id="20"/>
            <w:r w:rsidRPr="00BB1E65">
              <w:t>b.  Ancillary Conditions of Pregnancy</w:t>
            </w:r>
          </w:p>
        </w:tc>
        <w:tc>
          <w:tcPr>
            <w:tcW w:w="7740" w:type="dxa"/>
            <w:tcBorders>
              <w:top w:val="nil"/>
              <w:left w:val="nil"/>
              <w:bottom w:val="nil"/>
              <w:right w:val="nil"/>
            </w:tcBorders>
          </w:tcPr>
          <w:p w14:paraId="78BE5CDA" w14:textId="77777777" w:rsidR="008F3A9B" w:rsidRPr="00BB1E65" w:rsidRDefault="008F3A9B" w:rsidP="00FB1164">
            <w:pPr>
              <w:pStyle w:val="BlockText"/>
            </w:pPr>
            <w:r w:rsidRPr="00BB1E65">
              <w:t>Some ancillary conditions common to pregnancy are</w:t>
            </w:r>
          </w:p>
          <w:p w14:paraId="39FD22DD" w14:textId="77777777" w:rsidR="008F3A9B" w:rsidRPr="00BB1E65" w:rsidRDefault="008F3A9B" w:rsidP="00FB1164">
            <w:pPr>
              <w:pStyle w:val="BlockText"/>
            </w:pPr>
          </w:p>
          <w:p w14:paraId="3F2F41F1" w14:textId="77777777" w:rsidR="008F3A9B" w:rsidRPr="00BB1E65" w:rsidRDefault="008F3A9B" w:rsidP="00FB1164">
            <w:pPr>
              <w:pStyle w:val="BulletText1"/>
            </w:pPr>
            <w:r w:rsidRPr="00BB1E65">
              <w:t>anemia</w:t>
            </w:r>
          </w:p>
          <w:p w14:paraId="1301833C" w14:textId="77777777" w:rsidR="008F3A9B" w:rsidRPr="00BB1E65" w:rsidRDefault="008F3A9B" w:rsidP="00FB1164">
            <w:pPr>
              <w:pStyle w:val="BulletText1"/>
            </w:pPr>
            <w:r w:rsidRPr="00BB1E65">
              <w:t>back pain</w:t>
            </w:r>
          </w:p>
          <w:p w14:paraId="3C144F9E" w14:textId="77777777" w:rsidR="008F3A9B" w:rsidRPr="00BB1E65" w:rsidRDefault="008F3A9B" w:rsidP="00FB1164">
            <w:pPr>
              <w:pStyle w:val="BulletText1"/>
            </w:pPr>
            <w:r w:rsidRPr="00BB1E65">
              <w:t>edema in the legs</w:t>
            </w:r>
          </w:p>
          <w:p w14:paraId="723F2A6D" w14:textId="77777777" w:rsidR="008F3A9B" w:rsidRPr="00BB1E65" w:rsidRDefault="008F3A9B" w:rsidP="00FB1164">
            <w:pPr>
              <w:pStyle w:val="BulletText1"/>
            </w:pPr>
            <w:r w:rsidRPr="00BB1E65">
              <w:t>gestational diabetes</w:t>
            </w:r>
          </w:p>
          <w:p w14:paraId="7C4B831E" w14:textId="77777777" w:rsidR="008F3A9B" w:rsidRPr="00BB1E65" w:rsidRDefault="008F3A9B" w:rsidP="00FB1164">
            <w:pPr>
              <w:pStyle w:val="BulletText1"/>
            </w:pPr>
            <w:r w:rsidRPr="00BB1E65">
              <w:t>hypertension</w:t>
            </w:r>
          </w:p>
          <w:p w14:paraId="77F208E9" w14:textId="77777777" w:rsidR="008F3A9B" w:rsidRPr="00BB1E65" w:rsidRDefault="008F3A9B" w:rsidP="00FB1164">
            <w:pPr>
              <w:pStyle w:val="BulletText1"/>
            </w:pPr>
            <w:r w:rsidRPr="00BB1E65">
              <w:t>shortness of breath, and</w:t>
            </w:r>
          </w:p>
          <w:p w14:paraId="1B4CCBF5" w14:textId="77777777" w:rsidR="008F3A9B" w:rsidRPr="00BB1E65" w:rsidRDefault="008F3A9B" w:rsidP="00FB1164">
            <w:pPr>
              <w:pStyle w:val="BulletText1"/>
            </w:pPr>
            <w:r w:rsidRPr="00BB1E65">
              <w:t>urinary tract infections.</w:t>
            </w:r>
          </w:p>
        </w:tc>
      </w:tr>
    </w:tbl>
    <w:p w14:paraId="686C202E" w14:textId="77777777" w:rsidR="008F3A9B" w:rsidRPr="00BB1E65" w:rsidRDefault="008F3A9B" w:rsidP="008F3A9B">
      <w:pPr>
        <w:pStyle w:val="BlockLine"/>
      </w:pPr>
      <w:r w:rsidRPr="00BB1E65">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8F3A9B" w:rsidRPr="00BB1E65" w14:paraId="4E6E0B00" w14:textId="77777777" w:rsidTr="00BC63D2">
        <w:tc>
          <w:tcPr>
            <w:tcW w:w="1728" w:type="dxa"/>
            <w:tcBorders>
              <w:top w:val="nil"/>
              <w:left w:val="nil"/>
              <w:bottom w:val="nil"/>
              <w:right w:val="nil"/>
            </w:tcBorders>
          </w:tcPr>
          <w:p w14:paraId="171B793A" w14:textId="0E297671" w:rsidR="008F3A9B" w:rsidRPr="00BB1E65" w:rsidRDefault="008F3A9B" w:rsidP="008F5930">
            <w:pPr>
              <w:pStyle w:val="Heading5"/>
            </w:pPr>
            <w:bookmarkStart w:id="21" w:name="_c.__Tests"/>
            <w:bookmarkEnd w:id="21"/>
            <w:r w:rsidRPr="00BB1E65">
              <w:t xml:space="preserve">c.  Tests Not Recommended for Pregnant </w:t>
            </w:r>
            <w:r w:rsidR="008F5930" w:rsidRPr="00BB1E65">
              <w:t>Claimants</w:t>
            </w:r>
          </w:p>
        </w:tc>
        <w:tc>
          <w:tcPr>
            <w:tcW w:w="7740" w:type="dxa"/>
            <w:tcBorders>
              <w:top w:val="nil"/>
              <w:left w:val="nil"/>
              <w:bottom w:val="nil"/>
              <w:right w:val="nil"/>
            </w:tcBorders>
          </w:tcPr>
          <w:p w14:paraId="14066ADC" w14:textId="22798BBD" w:rsidR="008F3A9B" w:rsidRPr="00BB1E65" w:rsidRDefault="008F3A9B" w:rsidP="00FB1164">
            <w:pPr>
              <w:pStyle w:val="BlockText"/>
            </w:pPr>
            <w:r w:rsidRPr="00BB1E65">
              <w:t xml:space="preserve">Tests and procedures that are not recommended for pregnant </w:t>
            </w:r>
            <w:r w:rsidR="00A71F4B" w:rsidRPr="00BB1E65">
              <w:t xml:space="preserve">claimants </w:t>
            </w:r>
            <w:r w:rsidRPr="00BB1E65">
              <w:t>include</w:t>
            </w:r>
          </w:p>
          <w:p w14:paraId="553E23A8" w14:textId="77777777" w:rsidR="008F3A9B" w:rsidRPr="00BB1E65" w:rsidRDefault="008F3A9B" w:rsidP="00FB1164">
            <w:pPr>
              <w:pStyle w:val="BlockText"/>
            </w:pPr>
          </w:p>
          <w:p w14:paraId="4BEAC48A" w14:textId="77777777" w:rsidR="008F3A9B" w:rsidRPr="00BB1E65" w:rsidRDefault="008F3A9B" w:rsidP="00FB1164">
            <w:pPr>
              <w:pStyle w:val="BulletText1"/>
            </w:pPr>
            <w:r w:rsidRPr="00BB1E65">
              <w:t>x-rays</w:t>
            </w:r>
          </w:p>
          <w:p w14:paraId="0882BA2D" w14:textId="77777777" w:rsidR="008F3A9B" w:rsidRPr="00BB1E65" w:rsidRDefault="008F3A9B" w:rsidP="00FB1164">
            <w:pPr>
              <w:pStyle w:val="BulletText1"/>
            </w:pPr>
            <w:r w:rsidRPr="00BB1E65">
              <w:t>pulmonary function tests (PFT), and</w:t>
            </w:r>
          </w:p>
          <w:p w14:paraId="28C03826" w14:textId="77777777" w:rsidR="008F3A9B" w:rsidRPr="00BB1E65" w:rsidRDefault="008F3A9B" w:rsidP="00FB1164">
            <w:pPr>
              <w:pStyle w:val="BulletText1"/>
            </w:pPr>
            <w:r w:rsidRPr="00BB1E65">
              <w:t>range of motion examinations.</w:t>
            </w:r>
          </w:p>
          <w:p w14:paraId="7136C778" w14:textId="77777777" w:rsidR="000500E1" w:rsidRPr="00BB1E65" w:rsidRDefault="000500E1" w:rsidP="000500E1">
            <w:pPr>
              <w:pStyle w:val="BulletText1"/>
              <w:numPr>
                <w:ilvl w:val="0"/>
                <w:numId w:val="0"/>
              </w:numPr>
              <w:ind w:left="173" w:hanging="173"/>
            </w:pPr>
          </w:p>
          <w:p w14:paraId="1A2D143C" w14:textId="358C9EAF" w:rsidR="000500E1" w:rsidRPr="00BB1E65" w:rsidRDefault="000500E1" w:rsidP="000500E1">
            <w:pPr>
              <w:pStyle w:val="BulletText1"/>
              <w:numPr>
                <w:ilvl w:val="0"/>
                <w:numId w:val="0"/>
              </w:numPr>
            </w:pPr>
            <w:r w:rsidRPr="00BB1E65">
              <w:rPr>
                <w:b/>
                <w:i/>
              </w:rPr>
              <w:t>Note</w:t>
            </w:r>
            <w:r w:rsidRPr="00BB1E65">
              <w:t>:  When pregnancy is known, include a comment in the exam request that the claimant is pregnant.</w:t>
            </w:r>
          </w:p>
        </w:tc>
      </w:tr>
    </w:tbl>
    <w:p w14:paraId="6EA8EA98" w14:textId="77777777" w:rsidR="008F3A9B" w:rsidRPr="00BB1E65" w:rsidRDefault="008F3A9B" w:rsidP="008F3A9B">
      <w:pPr>
        <w:pStyle w:val="BlockLine"/>
      </w:pPr>
      <w:r w:rsidRPr="00BB1E65">
        <w:lastRenderedPageBreak/>
        <w:fldChar w:fldCharType="begin"/>
      </w:r>
      <w:r w:rsidRPr="00BB1E65">
        <w:instrText xml:space="preserve"> PRIVATE INFOTYPE="PRINCIPLE"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8F3A9B" w:rsidRPr="00BB1E65" w14:paraId="520A98D1" w14:textId="77777777" w:rsidTr="00FB1164">
        <w:trPr>
          <w:cantSplit/>
        </w:trPr>
        <w:tc>
          <w:tcPr>
            <w:tcW w:w="1728" w:type="dxa"/>
            <w:tcBorders>
              <w:top w:val="nil"/>
              <w:left w:val="nil"/>
              <w:bottom w:val="nil"/>
              <w:right w:val="nil"/>
            </w:tcBorders>
          </w:tcPr>
          <w:p w14:paraId="613CC320" w14:textId="2BF29BFE" w:rsidR="008F3A9B" w:rsidRPr="00BB1E65" w:rsidRDefault="008F3A9B" w:rsidP="00A71F4B">
            <w:pPr>
              <w:pStyle w:val="Heading5"/>
            </w:pPr>
            <w:bookmarkStart w:id="22" w:name="_d.__How"/>
            <w:bookmarkEnd w:id="22"/>
            <w:r w:rsidRPr="00BB1E65">
              <w:t xml:space="preserve">d.  How Pregnancy Affects Participation in the </w:t>
            </w:r>
            <w:r w:rsidR="00A71F4B" w:rsidRPr="00BB1E65">
              <w:t xml:space="preserve">Pre-Discharge </w:t>
            </w:r>
            <w:r w:rsidRPr="00BB1E65">
              <w:t>Program</w:t>
            </w:r>
          </w:p>
        </w:tc>
        <w:tc>
          <w:tcPr>
            <w:tcW w:w="7740" w:type="dxa"/>
            <w:tcBorders>
              <w:top w:val="nil"/>
              <w:left w:val="nil"/>
              <w:bottom w:val="nil"/>
              <w:right w:val="nil"/>
            </w:tcBorders>
          </w:tcPr>
          <w:p w14:paraId="6CE72CB4" w14:textId="6ABD5F1F" w:rsidR="00A71F4B" w:rsidRPr="00BB1E65" w:rsidRDefault="00830FA2" w:rsidP="00A71F4B">
            <w:pPr>
              <w:pStyle w:val="BlockText"/>
            </w:pPr>
            <w:r w:rsidRPr="00BB1E65">
              <w:t xml:space="preserve">The regional office of jurisdiction (ROJ) processes and rates Pre-Discharge claims for pregnant </w:t>
            </w:r>
            <w:r w:rsidR="008F5930" w:rsidRPr="00BB1E65">
              <w:t>service members</w:t>
            </w:r>
            <w:r w:rsidRPr="00BB1E65">
              <w:t xml:space="preserve"> locally. </w:t>
            </w:r>
            <w:r w:rsidR="00BB6808" w:rsidRPr="00BB1E65">
              <w:t xml:space="preserve"> </w:t>
            </w:r>
            <w:r w:rsidR="00A71F4B" w:rsidRPr="00BB1E65">
              <w:t xml:space="preserve">Pregnant </w:t>
            </w:r>
            <w:r w:rsidR="008F5930" w:rsidRPr="00BB1E65">
              <w:t>service members</w:t>
            </w:r>
            <w:r w:rsidR="00A71F4B" w:rsidRPr="00BB1E65">
              <w:t xml:space="preserve"> may file Pre-Discharge claims up to 180 days prior to separ</w:t>
            </w:r>
            <w:r w:rsidR="00401F0D" w:rsidRPr="00BB1E65">
              <w:t>ation/retirement; however, the</w:t>
            </w:r>
            <w:r w:rsidR="00A71F4B" w:rsidRPr="00BB1E65">
              <w:t xml:space="preserve"> claims are excluded from processing at BDD Rating Activity Sites (RAS) and Quick Start Consolidated Processing Sites (CPS).  </w:t>
            </w:r>
          </w:p>
          <w:p w14:paraId="7BAAE16F" w14:textId="77777777" w:rsidR="00A71F4B" w:rsidRPr="00BB1E65" w:rsidRDefault="00A71F4B" w:rsidP="00A71F4B">
            <w:pPr>
              <w:pStyle w:val="BlockText"/>
            </w:pPr>
          </w:p>
          <w:p w14:paraId="335CFA51" w14:textId="661ACBB1" w:rsidR="00CA683A" w:rsidRPr="00BB1E65" w:rsidRDefault="00504FBE" w:rsidP="008F751F">
            <w:pPr>
              <w:pStyle w:val="BlockText"/>
            </w:pPr>
            <w:r w:rsidRPr="00BB1E65">
              <w:t>Since pregnan</w:t>
            </w:r>
            <w:r w:rsidR="00357FAE" w:rsidRPr="00BB1E65">
              <w:t>cy</w:t>
            </w:r>
            <w:r w:rsidRPr="00BB1E65">
              <w:t xml:space="preserve"> </w:t>
            </w:r>
            <w:r w:rsidR="008F5930" w:rsidRPr="00BB1E65">
              <w:t>prohibits</w:t>
            </w:r>
            <w:r w:rsidRPr="00BB1E65">
              <w:t xml:space="preserve"> certain</w:t>
            </w:r>
            <w:r w:rsidR="008F3A9B" w:rsidRPr="00BB1E65">
              <w:t xml:space="preserve"> diagnostic tests and procedures, the examiner may be unable to accurately assess the claimant’s medical condition.  This would preclude completion of the examination and the rating process until </w:t>
            </w:r>
            <w:r w:rsidR="008F751F" w:rsidRPr="00BB1E65">
              <w:t xml:space="preserve">conclusion of </w:t>
            </w:r>
            <w:r w:rsidRPr="00BB1E65">
              <w:t>the pregnancy</w:t>
            </w:r>
            <w:r w:rsidR="008F3A9B" w:rsidRPr="00BB1E65">
              <w:t>.</w:t>
            </w:r>
          </w:p>
          <w:p w14:paraId="259C08C7" w14:textId="77777777" w:rsidR="00CA683A" w:rsidRPr="00BB1E65" w:rsidRDefault="00CA683A" w:rsidP="008F751F">
            <w:pPr>
              <w:pStyle w:val="BlockText"/>
            </w:pPr>
          </w:p>
          <w:p w14:paraId="26F9A3B8" w14:textId="0EA3D6CE" w:rsidR="008F3A9B" w:rsidRPr="00BB1E65" w:rsidRDefault="00CA683A" w:rsidP="008F5930">
            <w:pPr>
              <w:pStyle w:val="BlockText"/>
            </w:pPr>
            <w:r w:rsidRPr="00BB1E65">
              <w:rPr>
                <w:b/>
                <w:i/>
              </w:rPr>
              <w:t>Reference</w:t>
            </w:r>
            <w:r w:rsidRPr="00BB1E65">
              <w:t>:  For more infor</w:t>
            </w:r>
            <w:r w:rsidR="003366F0" w:rsidRPr="00BB1E65">
              <w:t>mation on exclusions from RAS and CPS processing</w:t>
            </w:r>
            <w:r w:rsidRPr="00BB1E65">
              <w:t>, see M21-1, Part III, Subpart</w:t>
            </w:r>
            <w:r w:rsidR="008F5930" w:rsidRPr="00BB1E65">
              <w:t xml:space="preserve"> </w:t>
            </w:r>
            <w:r w:rsidRPr="00BB1E65">
              <w:t xml:space="preserve">i, 2.A.1.e. </w:t>
            </w:r>
          </w:p>
        </w:tc>
      </w:tr>
    </w:tbl>
    <w:p w14:paraId="7B9574FF" w14:textId="77777777" w:rsidR="008F3A9B" w:rsidRPr="00BB1E65" w:rsidRDefault="008F3A9B" w:rsidP="008F3A9B">
      <w:pPr>
        <w:pStyle w:val="BlockLine"/>
      </w:pPr>
      <w:r w:rsidRPr="00BB1E65">
        <w:fldChar w:fldCharType="begin"/>
      </w:r>
      <w:r w:rsidRPr="00BB1E65">
        <w:instrText xml:space="preserve"> PRIVATE INFOTYPE="PROCEDURE" </w:instrText>
      </w:r>
      <w:r w:rsidRPr="00BB1E65">
        <w:fldChar w:fldCharType="end"/>
      </w:r>
      <w:r w:rsidRPr="00BB1E65">
        <w:t xml:space="preserve"> </w:t>
      </w:r>
    </w:p>
    <w:tbl>
      <w:tblPr>
        <w:tblW w:w="0" w:type="auto"/>
        <w:tblInd w:w="-106" w:type="dxa"/>
        <w:tblLayout w:type="fixed"/>
        <w:tblLook w:val="0000" w:firstRow="0" w:lastRow="0" w:firstColumn="0" w:lastColumn="0" w:noHBand="0" w:noVBand="0"/>
      </w:tblPr>
      <w:tblGrid>
        <w:gridCol w:w="1728"/>
        <w:gridCol w:w="7740"/>
      </w:tblGrid>
      <w:tr w:rsidR="008F3A9B" w:rsidRPr="00BB1E65" w14:paraId="53A8D534" w14:textId="77777777" w:rsidTr="00BC63D2">
        <w:tc>
          <w:tcPr>
            <w:tcW w:w="1728" w:type="dxa"/>
            <w:tcBorders>
              <w:top w:val="nil"/>
              <w:left w:val="nil"/>
              <w:bottom w:val="nil"/>
              <w:right w:val="nil"/>
            </w:tcBorders>
          </w:tcPr>
          <w:p w14:paraId="2FB64A22" w14:textId="21CDDF16" w:rsidR="008F3A9B" w:rsidRPr="00BB1E65" w:rsidRDefault="008F3A9B" w:rsidP="008F5930">
            <w:pPr>
              <w:pStyle w:val="Heading5"/>
            </w:pPr>
            <w:bookmarkStart w:id="23" w:name="_e.__Options"/>
            <w:bookmarkEnd w:id="23"/>
            <w:r w:rsidRPr="00BB1E65">
              <w:t xml:space="preserve">e.  Options for Processing Claims for Pregnant </w:t>
            </w:r>
            <w:r w:rsidR="008F5930" w:rsidRPr="00BB1E65">
              <w:t>Claimants</w:t>
            </w:r>
          </w:p>
        </w:tc>
        <w:tc>
          <w:tcPr>
            <w:tcW w:w="7740" w:type="dxa"/>
            <w:tcBorders>
              <w:top w:val="nil"/>
              <w:left w:val="nil"/>
              <w:bottom w:val="nil"/>
              <w:right w:val="nil"/>
            </w:tcBorders>
          </w:tcPr>
          <w:p w14:paraId="4D1DBFD3" w14:textId="29FFA963" w:rsidR="00A71F4B" w:rsidRPr="00BB1E65" w:rsidRDefault="008F3A9B" w:rsidP="00A71F4B">
            <w:pPr>
              <w:pStyle w:val="BlockText"/>
            </w:pPr>
            <w:r w:rsidRPr="00BB1E65">
              <w:t xml:space="preserve">There are three options for processing claims for pregnant </w:t>
            </w:r>
            <w:r w:rsidR="00A71F4B" w:rsidRPr="00BB1E65">
              <w:t>claimants.</w:t>
            </w:r>
            <w:r w:rsidR="008F5930" w:rsidRPr="00BB1E65">
              <w:t xml:space="preserve"> </w:t>
            </w:r>
            <w:r w:rsidR="00BB6808" w:rsidRPr="00BB1E65">
              <w:t xml:space="preserve"> </w:t>
            </w:r>
            <w:r w:rsidR="00A71F4B" w:rsidRPr="00BB1E65">
              <w:t>A</w:t>
            </w:r>
            <w:r w:rsidR="00401F0D" w:rsidRPr="00BB1E65">
              <w:t>n</w:t>
            </w:r>
            <w:r w:rsidR="00A71F4B" w:rsidRPr="00BB1E65">
              <w:t xml:space="preserve"> RVSR at the receiving </w:t>
            </w:r>
            <w:r w:rsidR="008023A4" w:rsidRPr="00BB1E65">
              <w:t xml:space="preserve">RO </w:t>
            </w:r>
            <w:r w:rsidR="00A71F4B" w:rsidRPr="00BB1E65">
              <w:t>should determine</w:t>
            </w:r>
            <w:r w:rsidR="008F5930" w:rsidRPr="00BB1E65">
              <w:t>,</w:t>
            </w:r>
            <w:r w:rsidR="00A71F4B" w:rsidRPr="00BB1E65">
              <w:t xml:space="preserve"> on an individual basis</w:t>
            </w:r>
            <w:r w:rsidR="008F5930" w:rsidRPr="00BB1E65">
              <w:t>,</w:t>
            </w:r>
            <w:r w:rsidR="00A71F4B" w:rsidRPr="00BB1E65">
              <w:t xml:space="preserve"> which of the following </w:t>
            </w:r>
            <w:r w:rsidR="008F2A3F" w:rsidRPr="00BB1E65">
              <w:t>actions</w:t>
            </w:r>
            <w:r w:rsidR="00A71F4B" w:rsidRPr="00BB1E65">
              <w:t xml:space="preserve"> </w:t>
            </w:r>
            <w:r w:rsidR="008F5930" w:rsidRPr="00BB1E65">
              <w:t>is</w:t>
            </w:r>
            <w:r w:rsidR="00A71F4B" w:rsidRPr="00BB1E65">
              <w:t xml:space="preserve"> appropriate based on the claimed contentions</w:t>
            </w:r>
          </w:p>
          <w:p w14:paraId="1AB7D874" w14:textId="77777777" w:rsidR="00A71F4B" w:rsidRPr="00BB1E65" w:rsidRDefault="00A71F4B" w:rsidP="00FB1164">
            <w:pPr>
              <w:pStyle w:val="BlockText"/>
            </w:pPr>
          </w:p>
          <w:p w14:paraId="4F701CBB" w14:textId="41A4F623" w:rsidR="008F3A9B" w:rsidRPr="00BB1E65" w:rsidRDefault="008F3A9B" w:rsidP="00FB1164">
            <w:pPr>
              <w:pStyle w:val="BulletText1"/>
            </w:pPr>
            <w:r w:rsidRPr="00BB1E65">
              <w:t xml:space="preserve">defer the entire examination until </w:t>
            </w:r>
            <w:r w:rsidR="008F2A3F" w:rsidRPr="00BB1E65">
              <w:t>conclusion of the pregnancy</w:t>
            </w:r>
            <w:r w:rsidRPr="00BB1E65">
              <w:t xml:space="preserve"> </w:t>
            </w:r>
          </w:p>
          <w:p w14:paraId="1B0B1DAF" w14:textId="7F98A98C" w:rsidR="008F3A9B" w:rsidRPr="00BB1E65" w:rsidRDefault="008F3A9B" w:rsidP="00FB1164">
            <w:pPr>
              <w:pStyle w:val="BulletText1"/>
            </w:pPr>
            <w:r w:rsidRPr="00BB1E65">
              <w:t>rate the entire claim based on existing STRs and evidence</w:t>
            </w:r>
            <w:r w:rsidR="009772A3" w:rsidRPr="00BB1E65">
              <w:t xml:space="preserve"> of record</w:t>
            </w:r>
            <w:r w:rsidRPr="00BB1E65">
              <w:t xml:space="preserve">, or </w:t>
            </w:r>
          </w:p>
          <w:p w14:paraId="790BDFA7" w14:textId="501215A1" w:rsidR="008F2A3F" w:rsidRPr="00BB1E65" w:rsidRDefault="008F3A9B" w:rsidP="006E03E0">
            <w:pPr>
              <w:pStyle w:val="BulletText1"/>
            </w:pPr>
            <w:r w:rsidRPr="00BB1E65">
              <w:t xml:space="preserve">rate any claimed conditions that may be </w:t>
            </w:r>
            <w:r w:rsidR="004F230A" w:rsidRPr="00BB1E65">
              <w:t xml:space="preserve">awarded </w:t>
            </w:r>
            <w:r w:rsidRPr="00BB1E65">
              <w:t>based on existing STRs and evidence</w:t>
            </w:r>
            <w:r w:rsidR="008F751F" w:rsidRPr="00BB1E65">
              <w:t>, and d</w:t>
            </w:r>
            <w:r w:rsidRPr="00BB1E65">
              <w:t xml:space="preserve">efer consideration of any additional disabilities that may not be examined until </w:t>
            </w:r>
            <w:r w:rsidR="008F2A3F" w:rsidRPr="00BB1E65">
              <w:t>conclusion of the pregnancy</w:t>
            </w:r>
            <w:r w:rsidRPr="00BB1E65">
              <w:t xml:space="preserve">.  </w:t>
            </w:r>
          </w:p>
          <w:p w14:paraId="4B088B12" w14:textId="77777777" w:rsidR="008F2A3F" w:rsidRPr="00BB1E65" w:rsidRDefault="008F2A3F" w:rsidP="008F2A3F">
            <w:pPr>
              <w:pStyle w:val="BulletText1"/>
              <w:numPr>
                <w:ilvl w:val="0"/>
                <w:numId w:val="0"/>
              </w:numPr>
            </w:pPr>
          </w:p>
          <w:p w14:paraId="0954D9D9" w14:textId="5F1F6DEF" w:rsidR="008F3A9B" w:rsidRPr="00BB1E65" w:rsidRDefault="008F2A3F" w:rsidP="00B30766">
            <w:pPr>
              <w:pStyle w:val="BulletText1"/>
              <w:numPr>
                <w:ilvl w:val="0"/>
                <w:numId w:val="0"/>
              </w:numPr>
            </w:pPr>
            <w:r w:rsidRPr="00BB1E65">
              <w:rPr>
                <w:b/>
                <w:i/>
              </w:rPr>
              <w:t>E</w:t>
            </w:r>
            <w:r w:rsidR="008F3A9B" w:rsidRPr="00BB1E65">
              <w:rPr>
                <w:b/>
                <w:i/>
              </w:rPr>
              <w:t>xample</w:t>
            </w:r>
            <w:r w:rsidRPr="00BB1E65">
              <w:t xml:space="preserve">:  </w:t>
            </w:r>
            <w:r w:rsidR="004F230A" w:rsidRPr="00BB1E65">
              <w:t>S</w:t>
            </w:r>
            <w:r w:rsidR="00381D0E" w:rsidRPr="00BB1E65">
              <w:t>C</w:t>
            </w:r>
            <w:r w:rsidR="008F3A9B" w:rsidRPr="00BB1E65">
              <w:t xml:space="preserve"> for an amputated finger </w:t>
            </w:r>
            <w:r w:rsidR="00B30766" w:rsidRPr="00BB1E65">
              <w:t xml:space="preserve">can </w:t>
            </w:r>
            <w:r w:rsidR="008F3A9B" w:rsidRPr="00BB1E65">
              <w:t xml:space="preserve">be </w:t>
            </w:r>
            <w:r w:rsidR="004F230A" w:rsidRPr="00BB1E65">
              <w:t xml:space="preserve">awarded </w:t>
            </w:r>
            <w:r w:rsidRPr="00BB1E65">
              <w:t>based on STRs,</w:t>
            </w:r>
            <w:r w:rsidR="008F3A9B" w:rsidRPr="00BB1E65">
              <w:t xml:space="preserve"> but the </w:t>
            </w:r>
            <w:r w:rsidR="00B30766" w:rsidRPr="00BB1E65">
              <w:t>other claimed issues require specific tests that are prohibited due to pregnancy and</w:t>
            </w:r>
            <w:r w:rsidR="008F3A9B" w:rsidRPr="00BB1E65">
              <w:t xml:space="preserve"> </w:t>
            </w:r>
            <w:r w:rsidR="00B30766" w:rsidRPr="00BB1E65">
              <w:t xml:space="preserve">must </w:t>
            </w:r>
            <w:r w:rsidR="008F3A9B" w:rsidRPr="00BB1E65">
              <w:t xml:space="preserve">be deferred until the pregnancy </w:t>
            </w:r>
            <w:r w:rsidR="007F3DE2" w:rsidRPr="00BB1E65">
              <w:t>concludes</w:t>
            </w:r>
            <w:r w:rsidR="00B30766" w:rsidRPr="00BB1E65">
              <w:t xml:space="preserve"> and a full examination can be conducted</w:t>
            </w:r>
            <w:r w:rsidR="008F3A9B" w:rsidRPr="00BB1E65">
              <w:t>.</w:t>
            </w:r>
          </w:p>
          <w:p w14:paraId="1736054B" w14:textId="77777777" w:rsidR="00A71F4B" w:rsidRPr="00BB1E65" w:rsidRDefault="00A71F4B" w:rsidP="00A71F4B">
            <w:pPr>
              <w:pStyle w:val="BulletText1"/>
              <w:numPr>
                <w:ilvl w:val="0"/>
                <w:numId w:val="0"/>
              </w:numPr>
              <w:ind w:left="173" w:hanging="173"/>
            </w:pPr>
          </w:p>
          <w:p w14:paraId="147E7DB2" w14:textId="5D4125F4" w:rsidR="00A71F4B" w:rsidRPr="00BB1E65" w:rsidRDefault="007F3DE2" w:rsidP="008F2A3F">
            <w:pPr>
              <w:pStyle w:val="BulletText1"/>
              <w:numPr>
                <w:ilvl w:val="0"/>
                <w:numId w:val="0"/>
              </w:numPr>
            </w:pPr>
            <w:r w:rsidRPr="00BB1E65">
              <w:rPr>
                <w:b/>
                <w:i/>
              </w:rPr>
              <w:t>Reference</w:t>
            </w:r>
            <w:r w:rsidR="00A71F4B" w:rsidRPr="00BB1E65">
              <w:t xml:space="preserve">:  For more information </w:t>
            </w:r>
            <w:r w:rsidR="00D45276" w:rsidRPr="00BB1E65">
              <w:t>on intermediate rating decisions and deferred issues</w:t>
            </w:r>
            <w:r w:rsidRPr="00BB1E65">
              <w:t>, see M21-</w:t>
            </w:r>
            <w:r w:rsidR="00D618B0" w:rsidRPr="00BB1E65">
              <w:t>1, Part III, Subpart iv, 6.A.</w:t>
            </w:r>
            <w:r w:rsidRPr="00BB1E65">
              <w:t xml:space="preserve"> </w:t>
            </w:r>
          </w:p>
        </w:tc>
      </w:tr>
    </w:tbl>
    <w:p w14:paraId="377A98E7" w14:textId="4C139832" w:rsidR="008F3A9B" w:rsidRPr="00BB1E65" w:rsidRDefault="008F3A9B" w:rsidP="00A906D4">
      <w:pPr>
        <w:pStyle w:val="BlockLine"/>
      </w:pPr>
      <w:bookmarkStart w:id="24" w:name="_f.__General"/>
      <w:bookmarkEnd w:id="24"/>
    </w:p>
    <w:p w14:paraId="32BB074B" w14:textId="77777777" w:rsidR="00954934" w:rsidRPr="00BB1E65" w:rsidRDefault="00954934" w:rsidP="00954934"/>
    <w:p w14:paraId="1C2200B3" w14:textId="2F1F4500" w:rsidR="00C41B19" w:rsidRPr="00BB1E65" w:rsidRDefault="00135DC0" w:rsidP="009E6689">
      <w:pPr>
        <w:pStyle w:val="Heading4"/>
        <w:spacing w:after="0"/>
      </w:pPr>
      <w:r w:rsidRPr="00BB1E65">
        <w:br w:type="page"/>
      </w:r>
      <w:bookmarkStart w:id="25" w:name="_15._Examiner_Review"/>
      <w:bookmarkEnd w:id="25"/>
      <w:r w:rsidR="008F3A9B" w:rsidRPr="00BB1E65">
        <w:lastRenderedPageBreak/>
        <w:t>15</w:t>
      </w:r>
      <w:r w:rsidR="00C41B19" w:rsidRPr="00BB1E65">
        <w:t xml:space="preserve">. </w:t>
      </w:r>
      <w:r w:rsidR="00F55485" w:rsidRPr="00BB1E65">
        <w:t xml:space="preserve"> </w:t>
      </w:r>
      <w:r w:rsidR="00E57802" w:rsidRPr="00BB1E65">
        <w:t>Examiner Review of the Claim</w:t>
      </w:r>
      <w:r w:rsidR="003301AA" w:rsidRPr="00BB1E65">
        <w:t>s</w:t>
      </w:r>
      <w:r w:rsidR="00E57802" w:rsidRPr="00BB1E65">
        <w:t xml:space="preserve"> Folder</w:t>
      </w:r>
    </w:p>
    <w:p w14:paraId="75260AC9" w14:textId="1188F134" w:rsidR="00C41B19" w:rsidRPr="00BB1E65" w:rsidRDefault="00C41B19" w:rsidP="00C41B19">
      <w:pPr>
        <w:tabs>
          <w:tab w:val="left" w:pos="9360"/>
        </w:tabs>
        <w:ind w:left="1714"/>
      </w:pPr>
      <w:r w:rsidRPr="00BB1E65">
        <w:rPr>
          <w:u w:val="single"/>
        </w:rPr>
        <w:tab/>
      </w:r>
    </w:p>
    <w:p w14:paraId="6532953C" w14:textId="2F27F9A4" w:rsidR="00C41B19" w:rsidRPr="00BB1E65" w:rsidRDefault="00C41B19" w:rsidP="00C41B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41B19" w:rsidRPr="00BB1E65" w14:paraId="6AF497A4" w14:textId="77777777" w:rsidTr="00D05880">
        <w:tc>
          <w:tcPr>
            <w:tcW w:w="1728" w:type="dxa"/>
            <w:shd w:val="clear" w:color="auto" w:fill="auto"/>
          </w:tcPr>
          <w:p w14:paraId="1022FD7E" w14:textId="2B4D59A7" w:rsidR="00C41B19" w:rsidRPr="00BB1E65" w:rsidRDefault="00C41B19" w:rsidP="009E6689">
            <w:pPr>
              <w:pStyle w:val="Heading5"/>
            </w:pPr>
            <w:r w:rsidRPr="00BB1E65">
              <w:t>Introduction</w:t>
            </w:r>
          </w:p>
        </w:tc>
        <w:tc>
          <w:tcPr>
            <w:tcW w:w="7740" w:type="dxa"/>
            <w:shd w:val="clear" w:color="auto" w:fill="auto"/>
          </w:tcPr>
          <w:p w14:paraId="5F728E26" w14:textId="419D1794" w:rsidR="00C41B19" w:rsidRPr="00BB1E65" w:rsidRDefault="00583569" w:rsidP="00C41B19">
            <w:r w:rsidRPr="00BB1E65">
              <w:t>this topic contains information about inputting examination requests, including</w:t>
            </w:r>
          </w:p>
          <w:p w14:paraId="5AAD6172" w14:textId="77777777" w:rsidR="00C41B19" w:rsidRPr="00BB1E65" w:rsidRDefault="00C41B19" w:rsidP="00C41B19"/>
          <w:p w14:paraId="1F70913E" w14:textId="50620FAE" w:rsidR="00583569" w:rsidRPr="00BB1E65" w:rsidRDefault="00583569" w:rsidP="00661A60">
            <w:pPr>
              <w:pStyle w:val="ListParagraph"/>
              <w:numPr>
                <w:ilvl w:val="0"/>
                <w:numId w:val="22"/>
              </w:numPr>
              <w:ind w:left="158" w:hanging="187"/>
            </w:pPr>
            <w:r w:rsidRPr="00BB1E65">
              <w:t>importance of claims folder review</w:t>
            </w:r>
          </w:p>
          <w:p w14:paraId="7168C23D" w14:textId="7F0ECCF5" w:rsidR="00583569" w:rsidRPr="00BB1E65" w:rsidRDefault="00583569" w:rsidP="00661A60">
            <w:pPr>
              <w:pStyle w:val="ListParagraph"/>
              <w:numPr>
                <w:ilvl w:val="0"/>
                <w:numId w:val="22"/>
              </w:numPr>
              <w:ind w:left="158" w:hanging="187"/>
            </w:pPr>
            <w:r w:rsidRPr="00BB1E65">
              <w:t>examinations requiring claims folder review</w:t>
            </w:r>
          </w:p>
          <w:p w14:paraId="7B6B26A3" w14:textId="3A7A4BDB" w:rsidR="00583569" w:rsidRPr="00BB1E65" w:rsidRDefault="00583569" w:rsidP="00661A60">
            <w:pPr>
              <w:pStyle w:val="ListParagraph"/>
              <w:numPr>
                <w:ilvl w:val="0"/>
                <w:numId w:val="22"/>
              </w:numPr>
              <w:ind w:left="158" w:hanging="187"/>
            </w:pPr>
            <w:r w:rsidRPr="00BB1E65">
              <w:t xml:space="preserve">requesting examiner review of the claims folder </w:t>
            </w:r>
          </w:p>
          <w:p w14:paraId="5F771549" w14:textId="6F68B20F" w:rsidR="00E57802" w:rsidRPr="00BB1E65" w:rsidRDefault="005221F7" w:rsidP="00661A60">
            <w:pPr>
              <w:pStyle w:val="ListParagraph"/>
              <w:numPr>
                <w:ilvl w:val="0"/>
                <w:numId w:val="22"/>
              </w:numPr>
              <w:ind w:left="158" w:hanging="187"/>
            </w:pPr>
            <w:r w:rsidRPr="00BB1E65">
              <w:t xml:space="preserve">requirement to </w:t>
            </w:r>
            <w:r w:rsidR="00583569" w:rsidRPr="00BB1E65">
              <w:t xml:space="preserve">identify </w:t>
            </w:r>
            <w:r w:rsidRPr="00BB1E65">
              <w:t xml:space="preserve">relevant </w:t>
            </w:r>
            <w:r w:rsidR="00583569" w:rsidRPr="00BB1E65">
              <w:t xml:space="preserve">evidence </w:t>
            </w:r>
            <w:r w:rsidR="00CB2872" w:rsidRPr="00BB1E65">
              <w:t>for the examiner’s review</w:t>
            </w:r>
            <w:r w:rsidR="00583569" w:rsidRPr="00BB1E65" w:rsidDel="00583569">
              <w:t xml:space="preserve"> </w:t>
            </w:r>
          </w:p>
          <w:p w14:paraId="24A3043B" w14:textId="735BAE21" w:rsidR="00C41B19" w:rsidRPr="00BB1E65" w:rsidRDefault="00583569" w:rsidP="00171AC4">
            <w:pPr>
              <w:pStyle w:val="ListParagraph"/>
              <w:numPr>
                <w:ilvl w:val="0"/>
                <w:numId w:val="12"/>
              </w:numPr>
              <w:ind w:left="158" w:hanging="187"/>
            </w:pPr>
            <w:r w:rsidRPr="00BB1E65">
              <w:t>bookmarking documents for examiner review, and</w:t>
            </w:r>
          </w:p>
          <w:p w14:paraId="29638BBD" w14:textId="242A4D9E" w:rsidR="00583569" w:rsidRPr="00BB1E65" w:rsidRDefault="00583569" w:rsidP="00171AC4">
            <w:pPr>
              <w:pStyle w:val="ListParagraph"/>
              <w:numPr>
                <w:ilvl w:val="0"/>
                <w:numId w:val="12"/>
              </w:numPr>
              <w:ind w:left="158" w:hanging="187"/>
            </w:pPr>
            <w:r w:rsidRPr="00BB1E65">
              <w:t>annotating documents for examiner review.</w:t>
            </w:r>
          </w:p>
        </w:tc>
      </w:tr>
    </w:tbl>
    <w:p w14:paraId="13F167CE" w14:textId="3C80C36D" w:rsidR="00C41B19" w:rsidRPr="00BB1E65" w:rsidRDefault="00C41B19" w:rsidP="00C41B19">
      <w:pPr>
        <w:tabs>
          <w:tab w:val="left" w:pos="9360"/>
        </w:tabs>
        <w:ind w:left="1714"/>
      </w:pPr>
      <w:r w:rsidRPr="00BB1E65">
        <w:rPr>
          <w:u w:val="single"/>
        </w:rPr>
        <w:tab/>
      </w:r>
    </w:p>
    <w:p w14:paraId="2ECD339C" w14:textId="3F6F2933" w:rsidR="00C724FD" w:rsidRPr="00BB1E65" w:rsidRDefault="00C724FD" w:rsidP="00C41B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54898" w:rsidRPr="00BB1E65" w14:paraId="3B678581" w14:textId="77777777" w:rsidTr="009E6689">
        <w:tc>
          <w:tcPr>
            <w:tcW w:w="1728" w:type="dxa"/>
            <w:shd w:val="clear" w:color="auto" w:fill="auto"/>
          </w:tcPr>
          <w:p w14:paraId="7E94780F" w14:textId="60783599" w:rsidR="00F54898" w:rsidRPr="00BB1E65" w:rsidRDefault="00F54898" w:rsidP="00C41B19">
            <w:pPr>
              <w:rPr>
                <w:b/>
                <w:sz w:val="22"/>
              </w:rPr>
            </w:pPr>
            <w:r w:rsidRPr="00BB1E65">
              <w:rPr>
                <w:b/>
                <w:sz w:val="22"/>
              </w:rPr>
              <w:t>Change Date</w:t>
            </w:r>
          </w:p>
        </w:tc>
        <w:tc>
          <w:tcPr>
            <w:tcW w:w="7740" w:type="dxa"/>
            <w:shd w:val="clear" w:color="auto" w:fill="auto"/>
          </w:tcPr>
          <w:p w14:paraId="20CEDFAC" w14:textId="6D5869BB" w:rsidR="00F54898" w:rsidRPr="00BB1E65" w:rsidRDefault="00176A15" w:rsidP="00C41B19">
            <w:r w:rsidRPr="00BB1E65">
              <w:t>January 15</w:t>
            </w:r>
            <w:r w:rsidR="00E6083A" w:rsidRPr="00BB1E65">
              <w:t>, 2016</w:t>
            </w:r>
          </w:p>
        </w:tc>
      </w:tr>
    </w:tbl>
    <w:p w14:paraId="1FC0B868" w14:textId="5181ADE0" w:rsidR="00F54898" w:rsidRPr="00BB1E65" w:rsidRDefault="00F54898" w:rsidP="00F54898">
      <w:pPr>
        <w:tabs>
          <w:tab w:val="left" w:pos="9360"/>
        </w:tabs>
        <w:ind w:left="1714"/>
      </w:pPr>
      <w:r w:rsidRPr="00BB1E65">
        <w:rPr>
          <w:u w:val="single"/>
        </w:rPr>
        <w:tab/>
      </w:r>
    </w:p>
    <w:p w14:paraId="7EE29E5B" w14:textId="4CD7CA05" w:rsidR="00E607FD" w:rsidRPr="00BB1E65" w:rsidRDefault="00E607FD" w:rsidP="00AB1B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B1BCE" w:rsidRPr="00BB1E65" w14:paraId="1BF72192" w14:textId="77777777" w:rsidTr="00AB1BCE">
        <w:tc>
          <w:tcPr>
            <w:tcW w:w="1728" w:type="dxa"/>
            <w:shd w:val="clear" w:color="auto" w:fill="auto"/>
          </w:tcPr>
          <w:p w14:paraId="0FABD5D2" w14:textId="7E9F3621" w:rsidR="00AB1BCE" w:rsidRPr="00BB1E65" w:rsidRDefault="00D4661E" w:rsidP="00AB1BCE">
            <w:pPr>
              <w:rPr>
                <w:b/>
                <w:sz w:val="22"/>
              </w:rPr>
            </w:pPr>
            <w:r w:rsidRPr="00BB1E65">
              <w:rPr>
                <w:b/>
                <w:sz w:val="22"/>
              </w:rPr>
              <w:t xml:space="preserve">a.  </w:t>
            </w:r>
            <w:r w:rsidR="00AB1BCE" w:rsidRPr="00BB1E65">
              <w:rPr>
                <w:b/>
                <w:sz w:val="22"/>
              </w:rPr>
              <w:t>Importance of Claims Folder Review</w:t>
            </w:r>
          </w:p>
        </w:tc>
        <w:tc>
          <w:tcPr>
            <w:tcW w:w="7740" w:type="dxa"/>
            <w:shd w:val="clear" w:color="auto" w:fill="auto"/>
          </w:tcPr>
          <w:p w14:paraId="1A3A0FA1" w14:textId="63115D1D" w:rsidR="00AB1BCE" w:rsidRPr="00BB1E65" w:rsidRDefault="00AB1BCE" w:rsidP="00AB1BCE">
            <w:pPr>
              <w:rPr>
                <w:lang w:val="en"/>
              </w:rPr>
            </w:pPr>
            <w:r w:rsidRPr="00BB1E65">
              <w:rPr>
                <w:lang w:val="en"/>
              </w:rPr>
              <w:t xml:space="preserve">Folder review helps VA ensure that the examiner is given the fullest evidentiary picture possible. </w:t>
            </w:r>
            <w:r w:rsidR="00BB6808" w:rsidRPr="00BB1E65">
              <w:rPr>
                <w:lang w:val="en"/>
              </w:rPr>
              <w:t xml:space="preserve"> </w:t>
            </w:r>
            <w:r w:rsidRPr="00BB1E65">
              <w:rPr>
                <w:lang w:val="en"/>
              </w:rPr>
              <w:t>The claims folder often contains a history of treatment of the disability at issue.</w:t>
            </w:r>
            <w:r w:rsidR="00BB6808" w:rsidRPr="00BB1E65">
              <w:rPr>
                <w:lang w:val="en"/>
              </w:rPr>
              <w:t xml:space="preserve"> </w:t>
            </w:r>
            <w:r w:rsidRPr="00BB1E65">
              <w:rPr>
                <w:lang w:val="en"/>
              </w:rPr>
              <w:t xml:space="preserve"> In order to provide </w:t>
            </w:r>
            <w:r w:rsidR="00D4661E" w:rsidRPr="00BB1E65">
              <w:t>an adequate basis for the findings and conclusions of an examination</w:t>
            </w:r>
            <w:r w:rsidRPr="00BB1E65">
              <w:rPr>
                <w:lang w:val="en"/>
              </w:rPr>
              <w:t>, the examiner needs access to that history.</w:t>
            </w:r>
            <w:r w:rsidR="00D4661E" w:rsidRPr="00BB1E65">
              <w:rPr>
                <w:lang w:val="en"/>
              </w:rPr>
              <w:t xml:space="preserve"> </w:t>
            </w:r>
          </w:p>
          <w:p w14:paraId="16C389EE" w14:textId="77777777" w:rsidR="00AB1BCE" w:rsidRPr="00BB1E65" w:rsidRDefault="00AB1BCE" w:rsidP="00AB1BCE">
            <w:pPr>
              <w:rPr>
                <w:lang w:val="en"/>
              </w:rPr>
            </w:pPr>
          </w:p>
          <w:p w14:paraId="3888021D" w14:textId="6AE78818" w:rsidR="00D4661E" w:rsidRPr="00BB1E65" w:rsidRDefault="00AB1BCE" w:rsidP="00AB1BCE">
            <w:pPr>
              <w:rPr>
                <w:lang w:val="en"/>
              </w:rPr>
            </w:pPr>
            <w:r w:rsidRPr="00BB1E65">
              <w:rPr>
                <w:b/>
                <w:i/>
                <w:lang w:val="en"/>
              </w:rPr>
              <w:t>Referenc</w:t>
            </w:r>
            <w:r w:rsidR="0059712B" w:rsidRPr="00BB1E65">
              <w:rPr>
                <w:b/>
                <w:i/>
                <w:lang w:val="en"/>
              </w:rPr>
              <w:t>es</w:t>
            </w:r>
            <w:r w:rsidRPr="00BB1E65">
              <w:rPr>
                <w:lang w:val="en"/>
              </w:rPr>
              <w:t>:  For more information on</w:t>
            </w:r>
          </w:p>
          <w:p w14:paraId="6AD2C615" w14:textId="33060D2A" w:rsidR="00D4661E" w:rsidRPr="00BB1E65" w:rsidRDefault="00D4661E" w:rsidP="00D4661E">
            <w:pPr>
              <w:pStyle w:val="BulletText1"/>
            </w:pPr>
            <w:r w:rsidRPr="00BB1E65">
              <w:t xml:space="preserve">sending the claims folder in connection with a VA examination or opinion, see </w:t>
            </w:r>
            <w:hyperlink r:id="rId82" w:history="1">
              <w:r w:rsidRPr="00BB1E65">
                <w:rPr>
                  <w:rStyle w:val="Hyperlink"/>
                </w:rPr>
                <w:t>VAOPGCPREC 20-95</w:t>
              </w:r>
            </w:hyperlink>
          </w:p>
          <w:p w14:paraId="2E7E1291" w14:textId="1CBC6BEE" w:rsidR="00AB1BCE" w:rsidRPr="00BB1E65" w:rsidRDefault="00AB1BCE" w:rsidP="00661A60">
            <w:pPr>
              <w:pStyle w:val="ListParagraph"/>
              <w:numPr>
                <w:ilvl w:val="0"/>
                <w:numId w:val="59"/>
              </w:numPr>
              <w:ind w:left="158" w:hanging="187"/>
              <w:rPr>
                <w:lang w:val="en"/>
              </w:rPr>
            </w:pPr>
            <w:r w:rsidRPr="00BB1E65">
              <w:rPr>
                <w:lang w:val="en"/>
              </w:rPr>
              <w:t>examinations requiring claims folder review, see M21-1, Part III, Subpart iv, 3.A.15.b, and</w:t>
            </w:r>
          </w:p>
          <w:p w14:paraId="4E3680C7" w14:textId="3699094A" w:rsidR="00AB1BCE" w:rsidRPr="00BB1E65" w:rsidRDefault="00AB1BCE" w:rsidP="00661A60">
            <w:pPr>
              <w:pStyle w:val="ListParagraph"/>
              <w:numPr>
                <w:ilvl w:val="0"/>
                <w:numId w:val="59"/>
              </w:numPr>
              <w:ind w:left="158" w:hanging="187"/>
            </w:pPr>
            <w:r w:rsidRPr="00BB1E65">
              <w:t>requesting examiner review of the claims folder, see M21-1, Part III, Subpart iv, 3.A.15.c.</w:t>
            </w:r>
          </w:p>
        </w:tc>
      </w:tr>
    </w:tbl>
    <w:p w14:paraId="6D576558" w14:textId="2B00C388" w:rsidR="00AB1BCE" w:rsidRPr="00BB1E65" w:rsidRDefault="00AB1BCE" w:rsidP="00AB1BCE">
      <w:pPr>
        <w:tabs>
          <w:tab w:val="left" w:pos="9360"/>
        </w:tabs>
        <w:ind w:left="1714"/>
      </w:pPr>
      <w:r w:rsidRPr="00BB1E65">
        <w:rPr>
          <w:u w:val="single"/>
        </w:rPr>
        <w:tab/>
      </w:r>
    </w:p>
    <w:p w14:paraId="23797BAD" w14:textId="068A656E" w:rsidR="00AB1BCE" w:rsidRPr="00BB1E65" w:rsidRDefault="00AB1BCE" w:rsidP="00AB1BCE">
      <w:pPr>
        <w:ind w:left="1714"/>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607FD" w:rsidRPr="00BB1E65" w14:paraId="039C9461" w14:textId="77777777" w:rsidTr="00E607FD">
        <w:tc>
          <w:tcPr>
            <w:tcW w:w="1728" w:type="dxa"/>
            <w:shd w:val="clear" w:color="auto" w:fill="auto"/>
          </w:tcPr>
          <w:p w14:paraId="311A5C2E" w14:textId="58E90A9E" w:rsidR="00E607FD" w:rsidRPr="00BB1E65" w:rsidRDefault="00D4661E" w:rsidP="00AB1BCE">
            <w:pPr>
              <w:rPr>
                <w:b/>
                <w:sz w:val="22"/>
              </w:rPr>
            </w:pPr>
            <w:r w:rsidRPr="00BB1E65">
              <w:rPr>
                <w:b/>
                <w:sz w:val="22"/>
              </w:rPr>
              <w:t>b</w:t>
            </w:r>
            <w:r w:rsidR="00E607FD" w:rsidRPr="00BB1E65">
              <w:rPr>
                <w:b/>
                <w:sz w:val="22"/>
              </w:rPr>
              <w:t xml:space="preserve">.  </w:t>
            </w:r>
            <w:r w:rsidR="00AB1BCE" w:rsidRPr="00BB1E65">
              <w:rPr>
                <w:b/>
                <w:sz w:val="22"/>
              </w:rPr>
              <w:t>Examinations</w:t>
            </w:r>
            <w:r w:rsidR="00E607FD" w:rsidRPr="00BB1E65">
              <w:rPr>
                <w:b/>
                <w:sz w:val="22"/>
              </w:rPr>
              <w:t xml:space="preserve"> Requir</w:t>
            </w:r>
            <w:r w:rsidR="00213BE9" w:rsidRPr="00BB1E65">
              <w:rPr>
                <w:b/>
                <w:sz w:val="22"/>
              </w:rPr>
              <w:t>ing</w:t>
            </w:r>
            <w:r w:rsidR="00E607FD" w:rsidRPr="00BB1E65">
              <w:rPr>
                <w:b/>
                <w:sz w:val="22"/>
              </w:rPr>
              <w:t xml:space="preserve"> </w:t>
            </w:r>
            <w:r w:rsidR="00AB1BCE" w:rsidRPr="00BB1E65">
              <w:rPr>
                <w:b/>
                <w:sz w:val="22"/>
              </w:rPr>
              <w:t>Claims Folder</w:t>
            </w:r>
            <w:r w:rsidR="00E607FD" w:rsidRPr="00BB1E65">
              <w:rPr>
                <w:b/>
                <w:sz w:val="22"/>
              </w:rPr>
              <w:t xml:space="preserve"> Review</w:t>
            </w:r>
          </w:p>
        </w:tc>
        <w:tc>
          <w:tcPr>
            <w:tcW w:w="7740" w:type="dxa"/>
            <w:shd w:val="clear" w:color="auto" w:fill="auto"/>
          </w:tcPr>
          <w:p w14:paraId="2E8FA04D" w14:textId="77777777" w:rsidR="00E607FD" w:rsidRPr="00BB1E65" w:rsidRDefault="00E607FD" w:rsidP="00E607FD">
            <w:pPr>
              <w:pStyle w:val="BulletText1"/>
              <w:numPr>
                <w:ilvl w:val="0"/>
                <w:numId w:val="0"/>
              </w:numPr>
            </w:pPr>
            <w:r w:rsidRPr="00BB1E65">
              <w:t>The examiner must review the claims folder for the following DBQs or claim types</w:t>
            </w:r>
          </w:p>
          <w:p w14:paraId="57058157" w14:textId="77777777" w:rsidR="00E607FD" w:rsidRPr="00BB1E65" w:rsidRDefault="00E607FD" w:rsidP="00E607FD">
            <w:pPr>
              <w:pStyle w:val="BulletText1"/>
              <w:numPr>
                <w:ilvl w:val="0"/>
                <w:numId w:val="0"/>
              </w:numPr>
            </w:pPr>
          </w:p>
          <w:p w14:paraId="093FB881" w14:textId="1E83E276" w:rsidR="00E607FD" w:rsidRPr="00BB1E65" w:rsidRDefault="00381D0E" w:rsidP="00171AC4">
            <w:pPr>
              <w:pStyle w:val="BulletText1"/>
              <w:numPr>
                <w:ilvl w:val="0"/>
                <w:numId w:val="9"/>
              </w:numPr>
              <w:ind w:left="158" w:hanging="187"/>
              <w:rPr>
                <w:rStyle w:val="Hyperlink"/>
                <w:color w:val="000000"/>
                <w:u w:val="none"/>
              </w:rPr>
            </w:pPr>
            <w:r w:rsidRPr="00BB1E65">
              <w:t xml:space="preserve">SC </w:t>
            </w:r>
            <w:r w:rsidR="00E607FD" w:rsidRPr="00BB1E65">
              <w:t xml:space="preserve">under </w:t>
            </w:r>
            <w:hyperlink r:id="rId83" w:history="1">
              <w:r w:rsidR="00E607FD" w:rsidRPr="00BB1E65">
                <w:rPr>
                  <w:rStyle w:val="Hyperlink"/>
                </w:rPr>
                <w:t>38 CFR 3.317</w:t>
              </w:r>
            </w:hyperlink>
            <w:r w:rsidR="00E607FD" w:rsidRPr="00BB1E65">
              <w:rPr>
                <w:rStyle w:val="Hyperlink"/>
              </w:rPr>
              <w:t xml:space="preserve"> </w:t>
            </w:r>
          </w:p>
          <w:p w14:paraId="6C95F4CB" w14:textId="77777777" w:rsidR="00E607FD" w:rsidRPr="00BB1E65" w:rsidRDefault="00E607FD" w:rsidP="00171AC4">
            <w:pPr>
              <w:pStyle w:val="BulletText1"/>
              <w:numPr>
                <w:ilvl w:val="0"/>
                <w:numId w:val="9"/>
              </w:numPr>
              <w:ind w:left="158" w:hanging="187"/>
            </w:pPr>
            <w:r w:rsidRPr="00BB1E65">
              <w:t>cold injury residuals</w:t>
            </w:r>
          </w:p>
          <w:p w14:paraId="4FDCF7F9" w14:textId="77777777" w:rsidR="00E607FD" w:rsidRPr="00BB1E65" w:rsidRDefault="00E607FD" w:rsidP="00171AC4">
            <w:pPr>
              <w:pStyle w:val="ListParagraph"/>
              <w:numPr>
                <w:ilvl w:val="0"/>
                <w:numId w:val="9"/>
              </w:numPr>
              <w:ind w:left="158" w:hanging="187"/>
            </w:pPr>
            <w:r w:rsidRPr="00BB1E65">
              <w:t>FPOW Protocol</w:t>
            </w:r>
          </w:p>
          <w:p w14:paraId="6B21D868" w14:textId="77777777" w:rsidR="00E607FD" w:rsidRPr="00BB1E65" w:rsidRDefault="00E607FD" w:rsidP="00171AC4">
            <w:pPr>
              <w:pStyle w:val="ListParagraph"/>
              <w:numPr>
                <w:ilvl w:val="0"/>
                <w:numId w:val="9"/>
              </w:numPr>
              <w:ind w:left="158" w:hanging="187"/>
            </w:pPr>
            <w:r w:rsidRPr="00BB1E65">
              <w:t>Gulf War General Medical</w:t>
            </w:r>
          </w:p>
          <w:p w14:paraId="721F8C59" w14:textId="198DC4EE" w:rsidR="00E607FD" w:rsidRPr="00BB1E65" w:rsidRDefault="00E607FD" w:rsidP="00171AC4">
            <w:pPr>
              <w:pStyle w:val="ListParagraph"/>
              <w:numPr>
                <w:ilvl w:val="0"/>
                <w:numId w:val="9"/>
              </w:numPr>
              <w:ind w:left="158" w:hanging="187"/>
            </w:pPr>
            <w:r w:rsidRPr="00BB1E65">
              <w:t>medical opinions</w:t>
            </w:r>
            <w:r w:rsidR="00687093" w:rsidRPr="00BB1E65">
              <w:t xml:space="preserve">, including </w:t>
            </w:r>
            <w:r w:rsidRPr="00BB1E65">
              <w:t>etiology opinions in hearing loss and tinnitus claims</w:t>
            </w:r>
          </w:p>
          <w:p w14:paraId="3F583336" w14:textId="77777777" w:rsidR="00E607FD" w:rsidRPr="00BB1E65" w:rsidRDefault="00E607FD" w:rsidP="00171AC4">
            <w:pPr>
              <w:pStyle w:val="ListParagraph"/>
              <w:numPr>
                <w:ilvl w:val="0"/>
                <w:numId w:val="9"/>
              </w:numPr>
              <w:ind w:left="158" w:hanging="187"/>
            </w:pPr>
            <w:r w:rsidRPr="00BB1E65">
              <w:t>mental health exams</w:t>
            </w:r>
          </w:p>
          <w:p w14:paraId="35B16247" w14:textId="77777777" w:rsidR="00E607FD" w:rsidRPr="00BB1E65" w:rsidRDefault="00E607FD" w:rsidP="00171AC4">
            <w:pPr>
              <w:pStyle w:val="ListParagraph"/>
              <w:numPr>
                <w:ilvl w:val="0"/>
                <w:numId w:val="9"/>
              </w:numPr>
              <w:ind w:left="158" w:hanging="187"/>
            </w:pPr>
            <w:r w:rsidRPr="00BB1E65">
              <w:t>traumatic brain injury</w:t>
            </w:r>
          </w:p>
          <w:p w14:paraId="71141874" w14:textId="77777777" w:rsidR="00E607FD" w:rsidRPr="00BB1E65" w:rsidRDefault="00E607FD" w:rsidP="00171AC4">
            <w:pPr>
              <w:pStyle w:val="ListParagraph"/>
              <w:numPr>
                <w:ilvl w:val="0"/>
                <w:numId w:val="10"/>
              </w:numPr>
              <w:ind w:left="158" w:hanging="187"/>
            </w:pPr>
            <w:r w:rsidRPr="00BB1E65">
              <w:t xml:space="preserve">BVA remands </w:t>
            </w:r>
          </w:p>
          <w:p w14:paraId="2AFB121A" w14:textId="77777777" w:rsidR="00E607FD" w:rsidRPr="00BB1E65" w:rsidRDefault="00E607FD" w:rsidP="00171AC4">
            <w:pPr>
              <w:pStyle w:val="ListParagraph"/>
              <w:numPr>
                <w:ilvl w:val="0"/>
                <w:numId w:val="9"/>
              </w:numPr>
              <w:ind w:left="158" w:hanging="187"/>
            </w:pPr>
            <w:r w:rsidRPr="00BB1E65">
              <w:t>1151 Claims</w:t>
            </w:r>
          </w:p>
          <w:p w14:paraId="7CF241F0" w14:textId="77777777" w:rsidR="00E607FD" w:rsidRPr="00BB1E65" w:rsidRDefault="00E607FD" w:rsidP="00171AC4">
            <w:pPr>
              <w:pStyle w:val="ListParagraph"/>
              <w:numPr>
                <w:ilvl w:val="0"/>
                <w:numId w:val="9"/>
              </w:numPr>
              <w:ind w:left="158" w:hanging="187"/>
            </w:pPr>
            <w:r w:rsidRPr="00BB1E65">
              <w:t xml:space="preserve">ACE </w:t>
            </w:r>
          </w:p>
          <w:p w14:paraId="74D893DD" w14:textId="77777777" w:rsidR="00E607FD" w:rsidRPr="00BB1E65" w:rsidRDefault="00E607FD" w:rsidP="00E607FD">
            <w:pPr>
              <w:pStyle w:val="BulletText1"/>
            </w:pPr>
            <w:r w:rsidRPr="00BB1E65">
              <w:t>environmental hazards in Iraq, Afghanistan, and other military installations, and</w:t>
            </w:r>
          </w:p>
          <w:p w14:paraId="33AD72E8" w14:textId="77777777" w:rsidR="00E607FD" w:rsidRPr="00BB1E65" w:rsidRDefault="00E607FD" w:rsidP="00E607FD">
            <w:pPr>
              <w:pStyle w:val="BulletText1"/>
            </w:pPr>
            <w:r w:rsidRPr="00BB1E65">
              <w:lastRenderedPageBreak/>
              <w:t>IDES claims.</w:t>
            </w:r>
          </w:p>
          <w:p w14:paraId="201DFE3B" w14:textId="77777777" w:rsidR="00E607FD" w:rsidRPr="00BB1E65" w:rsidRDefault="00E607FD" w:rsidP="00E607FD">
            <w:pPr>
              <w:pStyle w:val="BlockText"/>
              <w:rPr>
                <w:b/>
                <w:bCs/>
                <w:i/>
                <w:iCs/>
              </w:rPr>
            </w:pPr>
          </w:p>
          <w:p w14:paraId="39AEF001" w14:textId="46AB01EF" w:rsidR="00E607FD" w:rsidRPr="00BB1E65" w:rsidRDefault="00E607FD" w:rsidP="00E607FD">
            <w:pPr>
              <w:pStyle w:val="BlockText"/>
              <w:rPr>
                <w:bCs/>
                <w:iCs/>
              </w:rPr>
            </w:pPr>
            <w:r w:rsidRPr="00BB1E65">
              <w:rPr>
                <w:b/>
                <w:bCs/>
                <w:i/>
                <w:iCs/>
              </w:rPr>
              <w:t>Note</w:t>
            </w:r>
            <w:r w:rsidRPr="00BB1E65">
              <w:rPr>
                <w:bCs/>
                <w:iCs/>
              </w:rPr>
              <w:t xml:space="preserve">: </w:t>
            </w:r>
            <w:r w:rsidR="00C8303B" w:rsidRPr="00BB1E65">
              <w:rPr>
                <w:bCs/>
                <w:iCs/>
              </w:rPr>
              <w:t xml:space="preserve"> </w:t>
            </w:r>
            <w:r w:rsidRPr="00BB1E65">
              <w:rPr>
                <w:bCs/>
                <w:iCs/>
              </w:rPr>
              <w:t>For pension claims, sending the claims folder for review is not required.  However, medical records received with the claim relevant to the issue of whether the claimant is currently permanently and totally disabled due to non</w:t>
            </w:r>
            <w:r w:rsidR="00DD5195" w:rsidRPr="00BB1E65">
              <w:rPr>
                <w:bCs/>
                <w:iCs/>
              </w:rPr>
              <w:t>-</w:t>
            </w:r>
            <w:r w:rsidR="004F230A" w:rsidRPr="00BB1E65">
              <w:rPr>
                <w:bCs/>
                <w:iCs/>
              </w:rPr>
              <w:t>service-</w:t>
            </w:r>
            <w:r w:rsidRPr="00BB1E65">
              <w:rPr>
                <w:bCs/>
                <w:iCs/>
              </w:rPr>
              <w:t>connected causes must be uploaded into the</w:t>
            </w:r>
            <w:r w:rsidR="00005F3D" w:rsidRPr="00BB1E65">
              <w:rPr>
                <w:bCs/>
                <w:iCs/>
              </w:rPr>
              <w:t xml:space="preserve"> </w:t>
            </w:r>
            <w:r w:rsidRPr="00BB1E65">
              <w:rPr>
                <w:bCs/>
                <w:iCs/>
              </w:rPr>
              <w:t>eFolder.</w:t>
            </w:r>
          </w:p>
          <w:p w14:paraId="073A36A6" w14:textId="77777777" w:rsidR="00E607FD" w:rsidRPr="00BB1E65" w:rsidRDefault="00E607FD" w:rsidP="00E607FD">
            <w:pPr>
              <w:pStyle w:val="BlockText"/>
              <w:rPr>
                <w:bCs/>
                <w:iCs/>
              </w:rPr>
            </w:pPr>
          </w:p>
          <w:p w14:paraId="5F4F4170" w14:textId="77777777" w:rsidR="00E607FD" w:rsidRPr="00BB1E65" w:rsidRDefault="00E607FD" w:rsidP="00E607FD">
            <w:pPr>
              <w:pStyle w:val="BlockText"/>
            </w:pPr>
            <w:r w:rsidRPr="00BB1E65">
              <w:rPr>
                <w:b/>
                <w:bCs/>
                <w:i/>
                <w:iCs/>
              </w:rPr>
              <w:t>References</w:t>
            </w:r>
            <w:r w:rsidRPr="00BB1E65">
              <w:t>:  For more information on</w:t>
            </w:r>
          </w:p>
          <w:p w14:paraId="7E8E5C4C" w14:textId="77777777" w:rsidR="00E607FD" w:rsidRPr="00BB1E65" w:rsidRDefault="00E607FD" w:rsidP="00E607FD">
            <w:pPr>
              <w:pStyle w:val="BulletText1"/>
            </w:pPr>
            <w:r w:rsidRPr="00BB1E65">
              <w:t xml:space="preserve">requesting medical opinions, see M21-1, Part III, Subpart iv, 3.A.7 </w:t>
            </w:r>
          </w:p>
          <w:p w14:paraId="3677BE0E" w14:textId="6B1B765C" w:rsidR="00E607FD" w:rsidRPr="00BB1E65" w:rsidRDefault="00E607FD" w:rsidP="00E607FD">
            <w:pPr>
              <w:pStyle w:val="BulletText1"/>
            </w:pPr>
            <w:r w:rsidRPr="00BB1E65">
              <w:t xml:space="preserve">handling examinations in claims for </w:t>
            </w:r>
            <w:r w:rsidR="00381D0E" w:rsidRPr="00BB1E65">
              <w:t>SC</w:t>
            </w:r>
            <w:r w:rsidRPr="00BB1E65">
              <w:t xml:space="preserve"> for PTSD, see M21-1, Part III, Subpart iv, 4.H.5</w:t>
            </w:r>
          </w:p>
          <w:p w14:paraId="2AC2EEE3" w14:textId="17989A4A" w:rsidR="00E607FD" w:rsidRPr="00BB1E65" w:rsidRDefault="00E607FD" w:rsidP="00E607FD">
            <w:pPr>
              <w:pStyle w:val="BulletText1"/>
            </w:pPr>
            <w:r w:rsidRPr="00BB1E65">
              <w:t xml:space="preserve">requesting examinations in claims for </w:t>
            </w:r>
            <w:r w:rsidR="00381D0E" w:rsidRPr="00BB1E65">
              <w:t xml:space="preserve">SC </w:t>
            </w:r>
            <w:r w:rsidRPr="00BB1E65">
              <w:t xml:space="preserve">under </w:t>
            </w:r>
            <w:hyperlink r:id="rId84" w:history="1">
              <w:r w:rsidRPr="00BB1E65">
                <w:rPr>
                  <w:rStyle w:val="Hyperlink"/>
                </w:rPr>
                <w:t>38 CFR 3.317</w:t>
              </w:r>
            </w:hyperlink>
            <w:r w:rsidRPr="00BB1E65">
              <w:t>, see M21-1, Part IV, Subpart ii, 1.E.</w:t>
            </w:r>
            <w:r w:rsidR="00D4661E" w:rsidRPr="00BB1E65">
              <w:t>2</w:t>
            </w:r>
          </w:p>
          <w:p w14:paraId="13533F1A" w14:textId="229F584A" w:rsidR="00E607FD" w:rsidRPr="00BB1E65" w:rsidRDefault="00E607FD" w:rsidP="00E607FD">
            <w:pPr>
              <w:pStyle w:val="BulletText1"/>
            </w:pPr>
            <w:r w:rsidRPr="00BB1E65">
              <w:t>ordering initial FPOW protocol examinations, see M21-1, Part III, Subpart iv, 3.A.11</w:t>
            </w:r>
            <w:r w:rsidR="00005F3D" w:rsidRPr="00BB1E65">
              <w:t>.c</w:t>
            </w:r>
            <w:r w:rsidR="00D4661E" w:rsidRPr="00BB1E65">
              <w:t>, and</w:t>
            </w:r>
          </w:p>
          <w:p w14:paraId="0BDA4510" w14:textId="77777777" w:rsidR="00E607FD" w:rsidRPr="00BB1E65" w:rsidRDefault="00E607FD" w:rsidP="00E607FD">
            <w:pPr>
              <w:pStyle w:val="BulletText1"/>
            </w:pPr>
            <w:r w:rsidRPr="00BB1E65">
              <w:t>examinations based on ACE see M21-1, Part III, Subpart iv, 3.A.4, and</w:t>
            </w:r>
          </w:p>
          <w:p w14:paraId="5B4F1319" w14:textId="47ACA8BE" w:rsidR="00E607FD" w:rsidRPr="00BB1E65" w:rsidRDefault="00E607FD" w:rsidP="00CA1389">
            <w:pPr>
              <w:pStyle w:val="ListParagraph"/>
              <w:numPr>
                <w:ilvl w:val="0"/>
                <w:numId w:val="86"/>
              </w:numPr>
              <w:ind w:left="158" w:hanging="187"/>
            </w:pPr>
            <w:r w:rsidRPr="00BB1E65">
              <w:t xml:space="preserve">eFolders, see M21-1, Part III, </w:t>
            </w:r>
            <w:r w:rsidR="00114A7E" w:rsidRPr="00BB1E65">
              <w:t>S</w:t>
            </w:r>
            <w:r w:rsidRPr="00BB1E65">
              <w:t xml:space="preserve">ubpart ii, </w:t>
            </w:r>
            <w:r w:rsidR="00096EF2" w:rsidRPr="00BB1E65">
              <w:t>4.G</w:t>
            </w:r>
            <w:r w:rsidRPr="00BB1E65">
              <w:t>.2.</w:t>
            </w:r>
          </w:p>
        </w:tc>
      </w:tr>
    </w:tbl>
    <w:p w14:paraId="38D7BD85" w14:textId="5C512552" w:rsidR="00E607FD" w:rsidRPr="00BB1E65" w:rsidRDefault="00E607FD" w:rsidP="00E607FD">
      <w:pPr>
        <w:tabs>
          <w:tab w:val="left" w:pos="9360"/>
        </w:tabs>
        <w:ind w:left="1714"/>
      </w:pPr>
      <w:r w:rsidRPr="00BB1E65">
        <w:rPr>
          <w:u w:val="single"/>
        </w:rPr>
        <w:lastRenderedPageBreak/>
        <w:tab/>
      </w:r>
    </w:p>
    <w:p w14:paraId="3011A291" w14:textId="2F965E1B" w:rsidR="00E607FD" w:rsidRPr="00BB1E65" w:rsidRDefault="00E607FD" w:rsidP="00E607FD">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57802" w:rsidRPr="00BB1E65" w14:paraId="1FCBEC8B" w14:textId="77777777" w:rsidTr="00D05880">
        <w:tc>
          <w:tcPr>
            <w:tcW w:w="1728" w:type="dxa"/>
            <w:shd w:val="clear" w:color="auto" w:fill="auto"/>
          </w:tcPr>
          <w:p w14:paraId="6FA7C486" w14:textId="36C263AF" w:rsidR="00E57802" w:rsidRPr="00BB1E65" w:rsidRDefault="00D4661E" w:rsidP="001270B1">
            <w:pPr>
              <w:rPr>
                <w:b/>
                <w:sz w:val="22"/>
              </w:rPr>
            </w:pPr>
            <w:r w:rsidRPr="00BB1E65">
              <w:rPr>
                <w:b/>
                <w:sz w:val="22"/>
              </w:rPr>
              <w:t>c</w:t>
            </w:r>
            <w:r w:rsidR="00692506" w:rsidRPr="00BB1E65">
              <w:rPr>
                <w:b/>
                <w:sz w:val="22"/>
              </w:rPr>
              <w:t xml:space="preserve">. </w:t>
            </w:r>
            <w:r w:rsidR="00F54898" w:rsidRPr="00BB1E65">
              <w:rPr>
                <w:b/>
                <w:sz w:val="22"/>
              </w:rPr>
              <w:t xml:space="preserve"> </w:t>
            </w:r>
            <w:r w:rsidR="001270B1" w:rsidRPr="00BB1E65">
              <w:rPr>
                <w:b/>
                <w:sz w:val="22"/>
              </w:rPr>
              <w:t xml:space="preserve">Requesting </w:t>
            </w:r>
            <w:r w:rsidR="00232D1E" w:rsidRPr="00BB1E65">
              <w:rPr>
                <w:b/>
                <w:sz w:val="22"/>
              </w:rPr>
              <w:t xml:space="preserve">Examiner </w:t>
            </w:r>
            <w:r w:rsidR="00213BE9" w:rsidRPr="00BB1E65">
              <w:rPr>
                <w:b/>
                <w:sz w:val="22"/>
              </w:rPr>
              <w:t>Review of</w:t>
            </w:r>
            <w:r w:rsidR="00232D1E" w:rsidRPr="00BB1E65">
              <w:rPr>
                <w:b/>
                <w:sz w:val="22"/>
              </w:rPr>
              <w:t xml:space="preserve"> </w:t>
            </w:r>
            <w:r w:rsidR="001270B1" w:rsidRPr="00BB1E65">
              <w:rPr>
                <w:b/>
                <w:sz w:val="22"/>
              </w:rPr>
              <w:t xml:space="preserve">the </w:t>
            </w:r>
            <w:r w:rsidR="00D3307B" w:rsidRPr="00BB1E65">
              <w:rPr>
                <w:b/>
                <w:sz w:val="22"/>
              </w:rPr>
              <w:t xml:space="preserve">Claims </w:t>
            </w:r>
            <w:r w:rsidR="001270B1" w:rsidRPr="00BB1E65">
              <w:rPr>
                <w:b/>
                <w:sz w:val="22"/>
              </w:rPr>
              <w:t>F</w:t>
            </w:r>
            <w:r w:rsidR="00D3307B" w:rsidRPr="00BB1E65">
              <w:rPr>
                <w:b/>
                <w:sz w:val="22"/>
              </w:rPr>
              <w:t>older</w:t>
            </w:r>
          </w:p>
        </w:tc>
        <w:tc>
          <w:tcPr>
            <w:tcW w:w="7740" w:type="dxa"/>
            <w:shd w:val="clear" w:color="auto" w:fill="auto"/>
          </w:tcPr>
          <w:p w14:paraId="122B3CE6" w14:textId="6DB99651" w:rsidR="00BC559A" w:rsidRPr="00BB1E65" w:rsidRDefault="00E607FD" w:rsidP="00600943">
            <w:pPr>
              <w:pStyle w:val="BlockText"/>
            </w:pPr>
            <w:r w:rsidRPr="00BB1E65">
              <w:t xml:space="preserve">To ensure examination requests clearly indicate claims folder review is </w:t>
            </w:r>
            <w:r w:rsidR="00600943" w:rsidRPr="00BB1E65">
              <w:t>required</w:t>
            </w:r>
            <w:r w:rsidRPr="00BB1E65">
              <w:t>, f</w:t>
            </w:r>
            <w:r w:rsidR="004459AD" w:rsidRPr="00BB1E65">
              <w:t xml:space="preserve">ollow the </w:t>
            </w:r>
            <w:r w:rsidRPr="00BB1E65">
              <w:t xml:space="preserve">procedures in the </w:t>
            </w:r>
            <w:r w:rsidR="004459AD" w:rsidRPr="00BB1E65">
              <w:t>table below.</w:t>
            </w:r>
          </w:p>
        </w:tc>
      </w:tr>
    </w:tbl>
    <w:p w14:paraId="301BF6B7" w14:textId="5B539AE2" w:rsidR="00E57802" w:rsidRPr="00BB1E65" w:rsidRDefault="00E57802" w:rsidP="00BC559A"/>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7"/>
        <w:gridCol w:w="4593"/>
      </w:tblGrid>
      <w:tr w:rsidR="00BC559A" w:rsidRPr="00BB1E65" w14:paraId="4BD09490" w14:textId="77777777" w:rsidTr="00614FC2">
        <w:tc>
          <w:tcPr>
            <w:tcW w:w="1978" w:type="pct"/>
            <w:shd w:val="clear" w:color="auto" w:fill="auto"/>
          </w:tcPr>
          <w:p w14:paraId="3A23BF13" w14:textId="34BD4165" w:rsidR="00BC559A" w:rsidRPr="00BB1E65" w:rsidRDefault="00BC559A" w:rsidP="004459AD">
            <w:pPr>
              <w:pStyle w:val="TableHeaderText"/>
              <w:jc w:val="left"/>
            </w:pPr>
            <w:r w:rsidRPr="00BB1E65">
              <w:t xml:space="preserve">If </w:t>
            </w:r>
            <w:r w:rsidR="004459AD" w:rsidRPr="00BB1E65">
              <w:t xml:space="preserve">requesting the </w:t>
            </w:r>
            <w:r w:rsidRPr="00BB1E65">
              <w:t xml:space="preserve">examination </w:t>
            </w:r>
            <w:r w:rsidR="00614FC2" w:rsidRPr="00BB1E65">
              <w:t>from</w:t>
            </w:r>
            <w:r w:rsidR="005E1CFF" w:rsidRPr="00BB1E65">
              <w:t xml:space="preserve"> …</w:t>
            </w:r>
          </w:p>
        </w:tc>
        <w:tc>
          <w:tcPr>
            <w:tcW w:w="3022" w:type="pct"/>
            <w:shd w:val="clear" w:color="auto" w:fill="auto"/>
          </w:tcPr>
          <w:p w14:paraId="0865FE11" w14:textId="286B7F1E" w:rsidR="00BC559A" w:rsidRPr="00BB1E65" w:rsidRDefault="00BC559A" w:rsidP="00BC559A">
            <w:pPr>
              <w:pStyle w:val="TableHeaderText"/>
              <w:jc w:val="left"/>
            </w:pPr>
            <w:r w:rsidRPr="00BB1E65">
              <w:t>Then ...</w:t>
            </w:r>
          </w:p>
        </w:tc>
      </w:tr>
      <w:tr w:rsidR="00BC559A" w:rsidRPr="00BB1E65" w14:paraId="46A1A836" w14:textId="77777777" w:rsidTr="00614FC2">
        <w:tc>
          <w:tcPr>
            <w:tcW w:w="1978" w:type="pct"/>
            <w:shd w:val="clear" w:color="auto" w:fill="auto"/>
          </w:tcPr>
          <w:p w14:paraId="1BE02F9B" w14:textId="7A61E9A2" w:rsidR="00BC559A" w:rsidRPr="00BB1E65" w:rsidRDefault="00614FC2" w:rsidP="00BC559A">
            <w:pPr>
              <w:pStyle w:val="TableText"/>
            </w:pPr>
            <w:r w:rsidRPr="00BB1E65">
              <w:t>VHA using CAPRI</w:t>
            </w:r>
          </w:p>
        </w:tc>
        <w:tc>
          <w:tcPr>
            <w:tcW w:w="3022" w:type="pct"/>
            <w:shd w:val="clear" w:color="auto" w:fill="auto"/>
          </w:tcPr>
          <w:p w14:paraId="4B2766EA" w14:textId="50CFD9E4" w:rsidR="00632183" w:rsidRPr="00BB1E65" w:rsidRDefault="005E1CFF" w:rsidP="004459AD">
            <w:r w:rsidRPr="00BB1E65">
              <w:t>i</w:t>
            </w:r>
            <w:r w:rsidR="00EC7E71" w:rsidRPr="00BB1E65">
              <w:t xml:space="preserve">n the </w:t>
            </w:r>
            <w:hyperlink r:id="rId85" w:history="1">
              <w:r w:rsidR="00EC7E71" w:rsidRPr="00BB1E65">
                <w:rPr>
                  <w:rStyle w:val="Hyperlink"/>
                </w:rPr>
                <w:t>ERB tool</w:t>
              </w:r>
            </w:hyperlink>
            <w:r w:rsidR="00632183" w:rsidRPr="00BB1E65">
              <w:t xml:space="preserve"> </w:t>
            </w:r>
            <w:r w:rsidR="004459AD" w:rsidRPr="00BB1E65">
              <w:t xml:space="preserve"> </w:t>
            </w:r>
          </w:p>
          <w:p w14:paraId="4B7A23E6" w14:textId="77777777" w:rsidR="00632183" w:rsidRPr="00BB1E65" w:rsidRDefault="00632183" w:rsidP="004459AD"/>
          <w:p w14:paraId="2DE0094E" w14:textId="104BDC5C" w:rsidR="00632183" w:rsidRPr="00BB1E65" w:rsidRDefault="00632183" w:rsidP="00661A60">
            <w:pPr>
              <w:pStyle w:val="ListParagraph"/>
              <w:numPr>
                <w:ilvl w:val="0"/>
                <w:numId w:val="58"/>
              </w:numPr>
              <w:ind w:left="158" w:hanging="187"/>
            </w:pPr>
            <w:r w:rsidRPr="00BB1E65">
              <w:t xml:space="preserve">on the INTRODUCTION screen, use the C-FILE TYPE drop down menu to indicate the format(s) of the claims folder, and  </w:t>
            </w:r>
          </w:p>
          <w:p w14:paraId="028F183E" w14:textId="49517689" w:rsidR="00BC559A" w:rsidRPr="00BB1E65" w:rsidRDefault="00632183" w:rsidP="00661A60">
            <w:pPr>
              <w:pStyle w:val="ListParagraph"/>
              <w:numPr>
                <w:ilvl w:val="0"/>
                <w:numId w:val="58"/>
              </w:numPr>
              <w:ind w:left="158" w:hanging="187"/>
            </w:pPr>
            <w:r w:rsidRPr="00BB1E65">
              <w:t xml:space="preserve">on the </w:t>
            </w:r>
            <w:r w:rsidR="004459AD" w:rsidRPr="00BB1E65">
              <w:t xml:space="preserve">EXAM REQUEST ENTRY screen, </w:t>
            </w:r>
            <w:r w:rsidR="00EC7E71" w:rsidRPr="00BB1E65">
              <w:t xml:space="preserve">ensure that REVIEW E-FOLDER/REVIEW CLAIMS FOLDER </w:t>
            </w:r>
            <w:r w:rsidR="004459AD" w:rsidRPr="00BB1E65">
              <w:t>box</w:t>
            </w:r>
            <w:r w:rsidR="00EC7E71" w:rsidRPr="00BB1E65">
              <w:t xml:space="preserve"> is</w:t>
            </w:r>
            <w:r w:rsidR="004459AD" w:rsidRPr="00BB1E65">
              <w:t xml:space="preserve"> checked</w:t>
            </w:r>
            <w:r w:rsidR="00EC7E71" w:rsidRPr="00BB1E65">
              <w:t xml:space="preserve">. </w:t>
            </w:r>
          </w:p>
        </w:tc>
      </w:tr>
      <w:tr w:rsidR="00BC559A" w:rsidRPr="00BB1E65" w14:paraId="341E9C97" w14:textId="77777777" w:rsidTr="00614FC2">
        <w:tc>
          <w:tcPr>
            <w:tcW w:w="1978" w:type="pct"/>
            <w:shd w:val="clear" w:color="auto" w:fill="auto"/>
          </w:tcPr>
          <w:p w14:paraId="42BF0778" w14:textId="19F7573A" w:rsidR="00BC559A" w:rsidRPr="00BB1E65" w:rsidRDefault="00614FC2" w:rsidP="00BC559A">
            <w:pPr>
              <w:pStyle w:val="TableText"/>
            </w:pPr>
            <w:r w:rsidRPr="00BB1E65">
              <w:t>a contract examiner using CAATS</w:t>
            </w:r>
          </w:p>
        </w:tc>
        <w:tc>
          <w:tcPr>
            <w:tcW w:w="3022" w:type="pct"/>
            <w:shd w:val="clear" w:color="auto" w:fill="auto"/>
          </w:tcPr>
          <w:p w14:paraId="565BBA20" w14:textId="50E6D060" w:rsidR="00632183" w:rsidRPr="00BB1E65" w:rsidRDefault="005E1CFF" w:rsidP="003F3038">
            <w:r w:rsidRPr="00BB1E65">
              <w:t>i</w:t>
            </w:r>
            <w:r w:rsidR="00614FC2" w:rsidRPr="00BB1E65">
              <w:t xml:space="preserve">n </w:t>
            </w:r>
            <w:r w:rsidR="00632183" w:rsidRPr="00BB1E65">
              <w:t xml:space="preserve">CAATS, on the </w:t>
            </w:r>
            <w:r w:rsidR="00BF1BB9" w:rsidRPr="00BB1E65">
              <w:t>EXAM REQUEST DETAILS</w:t>
            </w:r>
            <w:r w:rsidR="00632183" w:rsidRPr="00BB1E65">
              <w:t xml:space="preserve"> screen</w:t>
            </w:r>
            <w:r w:rsidR="00614FC2" w:rsidRPr="00BB1E65">
              <w:t xml:space="preserve">, </w:t>
            </w:r>
            <w:r w:rsidR="00BF1BB9" w:rsidRPr="00BB1E65">
              <w:t xml:space="preserve">chose </w:t>
            </w:r>
            <w:r w:rsidR="00632183" w:rsidRPr="00BB1E65">
              <w:t xml:space="preserve">one of the following from the SEND CLAIM FILE TO CONTRACTOR drop down menu </w:t>
            </w:r>
          </w:p>
          <w:p w14:paraId="47A4F061" w14:textId="18003046" w:rsidR="00632183" w:rsidRPr="00BB1E65" w:rsidRDefault="00632183" w:rsidP="00632183">
            <w:pPr>
              <w:pStyle w:val="ListParagraph"/>
              <w:ind w:left="158"/>
            </w:pPr>
            <w:r w:rsidRPr="00BB1E65">
              <w:t xml:space="preserve"> </w:t>
            </w:r>
          </w:p>
          <w:p w14:paraId="7CD75584" w14:textId="77777777" w:rsidR="00632183" w:rsidRPr="00BB1E65" w:rsidRDefault="00614FC2" w:rsidP="00661A60">
            <w:pPr>
              <w:pStyle w:val="ListParagraph"/>
              <w:numPr>
                <w:ilvl w:val="0"/>
                <w:numId w:val="57"/>
              </w:numPr>
              <w:ind w:left="158" w:hanging="187"/>
              <w:rPr>
                <w:i/>
              </w:rPr>
            </w:pPr>
            <w:r w:rsidRPr="00BB1E65">
              <w:rPr>
                <w:i/>
              </w:rPr>
              <w:t>Shipping</w:t>
            </w:r>
          </w:p>
          <w:p w14:paraId="6C9D18FA" w14:textId="51C32F0A" w:rsidR="00632183" w:rsidRPr="00BB1E65" w:rsidRDefault="00632183" w:rsidP="00661A60">
            <w:pPr>
              <w:pStyle w:val="ListParagraph"/>
              <w:numPr>
                <w:ilvl w:val="0"/>
                <w:numId w:val="57"/>
              </w:numPr>
              <w:ind w:left="158" w:hanging="187"/>
              <w:rPr>
                <w:i/>
              </w:rPr>
            </w:pPr>
            <w:r w:rsidRPr="00BB1E65">
              <w:rPr>
                <w:i/>
              </w:rPr>
              <w:t>VBMS</w:t>
            </w:r>
          </w:p>
          <w:p w14:paraId="235673C7" w14:textId="64B14A09" w:rsidR="00632183" w:rsidRPr="00BB1E65" w:rsidRDefault="00632183" w:rsidP="00661A60">
            <w:pPr>
              <w:pStyle w:val="ListParagraph"/>
              <w:numPr>
                <w:ilvl w:val="0"/>
                <w:numId w:val="57"/>
              </w:numPr>
              <w:ind w:left="158" w:hanging="187"/>
              <w:rPr>
                <w:i/>
              </w:rPr>
            </w:pPr>
            <w:r w:rsidRPr="00BB1E65">
              <w:rPr>
                <w:i/>
              </w:rPr>
              <w:t>Virtual</w:t>
            </w:r>
            <w:r w:rsidR="005E5491" w:rsidRPr="00BB1E65">
              <w:rPr>
                <w:i/>
              </w:rPr>
              <w:t xml:space="preserve"> </w:t>
            </w:r>
            <w:r w:rsidRPr="00BB1E65">
              <w:rPr>
                <w:i/>
              </w:rPr>
              <w:t>VA</w:t>
            </w:r>
          </w:p>
          <w:p w14:paraId="46A45C21" w14:textId="58302C7C" w:rsidR="00632183" w:rsidRPr="00BB1E65" w:rsidRDefault="00632183" w:rsidP="00661A60">
            <w:pPr>
              <w:pStyle w:val="ListParagraph"/>
              <w:numPr>
                <w:ilvl w:val="0"/>
                <w:numId w:val="57"/>
              </w:numPr>
              <w:ind w:left="158" w:hanging="187"/>
            </w:pPr>
            <w:r w:rsidRPr="00BB1E65">
              <w:rPr>
                <w:i/>
              </w:rPr>
              <w:t>No</w:t>
            </w:r>
            <w:r w:rsidRPr="00BB1E65">
              <w:t xml:space="preserve">, or </w:t>
            </w:r>
          </w:p>
          <w:p w14:paraId="358E6DFF" w14:textId="7CA5B8D0" w:rsidR="00CD1E64" w:rsidRPr="00BB1E65" w:rsidRDefault="00614FC2" w:rsidP="0000682D">
            <w:pPr>
              <w:pStyle w:val="ListParagraph"/>
              <w:numPr>
                <w:ilvl w:val="0"/>
                <w:numId w:val="57"/>
              </w:numPr>
              <w:ind w:left="158" w:hanging="187"/>
            </w:pPr>
            <w:r w:rsidRPr="00BB1E65">
              <w:rPr>
                <w:i/>
              </w:rPr>
              <w:t>ECFT</w:t>
            </w:r>
            <w:r w:rsidRPr="00BB1E65">
              <w:t>.</w:t>
            </w:r>
          </w:p>
        </w:tc>
      </w:tr>
    </w:tbl>
    <w:p w14:paraId="2FB87AB2" w14:textId="3BD09C3B" w:rsidR="00BC559A" w:rsidRPr="00BB1E65" w:rsidRDefault="00BC559A" w:rsidP="00BC559A"/>
    <w:tbl>
      <w:tblPr>
        <w:tblW w:w="7732" w:type="dxa"/>
        <w:tblInd w:w="1728" w:type="dxa"/>
        <w:tblLayout w:type="fixed"/>
        <w:tblLook w:val="0000" w:firstRow="0" w:lastRow="0" w:firstColumn="0" w:lastColumn="0" w:noHBand="0" w:noVBand="0"/>
      </w:tblPr>
      <w:tblGrid>
        <w:gridCol w:w="7732"/>
      </w:tblGrid>
      <w:tr w:rsidR="00614FC2" w:rsidRPr="00BB1E65" w14:paraId="6CECECF8" w14:textId="77777777" w:rsidTr="00614FC2">
        <w:tc>
          <w:tcPr>
            <w:tcW w:w="5000" w:type="pct"/>
            <w:shd w:val="clear" w:color="auto" w:fill="auto"/>
          </w:tcPr>
          <w:p w14:paraId="3560C781" w14:textId="77777777" w:rsidR="00614FC2" w:rsidRPr="00BB1E65" w:rsidRDefault="00614FC2" w:rsidP="004459AD">
            <w:pPr>
              <w:pStyle w:val="NoteText"/>
            </w:pPr>
            <w:r w:rsidRPr="00BB1E65">
              <w:rPr>
                <w:b/>
                <w:i/>
              </w:rPr>
              <w:t>Important</w:t>
            </w:r>
            <w:r w:rsidRPr="00BB1E65">
              <w:t xml:space="preserve">:  When requesting an examination for a sensitive-level case, </w:t>
            </w:r>
            <w:r w:rsidR="004459AD" w:rsidRPr="00BB1E65">
              <w:t xml:space="preserve">check the </w:t>
            </w:r>
            <w:r w:rsidRPr="00BB1E65">
              <w:t xml:space="preserve">SENSITIVE </w:t>
            </w:r>
            <w:r w:rsidR="004459AD" w:rsidRPr="00BB1E65">
              <w:t xml:space="preserve">box on the INTRODUCTION </w:t>
            </w:r>
            <w:r w:rsidR="00AE1CA1" w:rsidRPr="00BB1E65">
              <w:t>screen in the ERB tool</w:t>
            </w:r>
            <w:r w:rsidR="004459AD" w:rsidRPr="00BB1E65">
              <w:t xml:space="preserve">. </w:t>
            </w:r>
          </w:p>
          <w:p w14:paraId="5CD26F49" w14:textId="77777777" w:rsidR="00E607FD" w:rsidRPr="00BB1E65" w:rsidRDefault="00E607FD" w:rsidP="004459AD">
            <w:pPr>
              <w:pStyle w:val="NoteText"/>
            </w:pPr>
          </w:p>
          <w:p w14:paraId="584512BE" w14:textId="4A051F28" w:rsidR="00E607FD" w:rsidRPr="00BB1E65" w:rsidRDefault="00E607FD" w:rsidP="00096EF2">
            <w:pPr>
              <w:pStyle w:val="NoteText"/>
            </w:pPr>
            <w:r w:rsidRPr="00BB1E65">
              <w:rPr>
                <w:b/>
                <w:i/>
              </w:rPr>
              <w:lastRenderedPageBreak/>
              <w:t>Reference</w:t>
            </w:r>
            <w:r w:rsidRPr="00BB1E65">
              <w:t xml:space="preserve">:  For more information on using the ERB tool, see the </w:t>
            </w:r>
            <w:hyperlink r:id="rId86" w:history="1">
              <w:r w:rsidR="00096EF2" w:rsidRPr="00BB1E65">
                <w:rPr>
                  <w:rStyle w:val="Hyperlink"/>
                  <w:i/>
                </w:rPr>
                <w:t>ERB User</w:t>
              </w:r>
              <w:r w:rsidR="003E0904" w:rsidRPr="00BB1E65">
                <w:rPr>
                  <w:rStyle w:val="Hyperlink"/>
                  <w:i/>
                </w:rPr>
                <w:t xml:space="preserve"> </w:t>
              </w:r>
              <w:r w:rsidR="00096EF2" w:rsidRPr="00BB1E65">
                <w:rPr>
                  <w:rStyle w:val="Hyperlink"/>
                  <w:i/>
                </w:rPr>
                <w:t>Guide</w:t>
              </w:r>
            </w:hyperlink>
            <w:r w:rsidRPr="00BB1E65">
              <w:t>.</w:t>
            </w:r>
          </w:p>
        </w:tc>
      </w:tr>
    </w:tbl>
    <w:p w14:paraId="4468CFF7" w14:textId="68EBC3CF" w:rsidR="00C724FD" w:rsidRPr="00BB1E65" w:rsidRDefault="00C724FD" w:rsidP="00C724FD">
      <w:pPr>
        <w:tabs>
          <w:tab w:val="left" w:pos="9360"/>
        </w:tabs>
        <w:ind w:left="1714"/>
        <w:rPr>
          <w:u w:val="single"/>
        </w:rPr>
      </w:pPr>
      <w:r w:rsidRPr="00BB1E65">
        <w:rPr>
          <w:u w:val="single"/>
        </w:rPr>
        <w:lastRenderedPageBreak/>
        <w:tab/>
      </w:r>
    </w:p>
    <w:p w14:paraId="4BABF8B2" w14:textId="77777777" w:rsidR="00583569" w:rsidRPr="00BB1E65" w:rsidRDefault="00583569" w:rsidP="00C724FD">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848"/>
      </w:tblGrid>
      <w:tr w:rsidR="001270B1" w:rsidRPr="00BB1E65" w14:paraId="41EF297E" w14:textId="77777777" w:rsidTr="00657F74">
        <w:tc>
          <w:tcPr>
            <w:tcW w:w="1728" w:type="dxa"/>
            <w:shd w:val="clear" w:color="auto" w:fill="auto"/>
          </w:tcPr>
          <w:p w14:paraId="5B817EC6" w14:textId="1F61B13F" w:rsidR="001270B1" w:rsidRPr="00BB1E65" w:rsidRDefault="00D4661E" w:rsidP="00CB2872">
            <w:pPr>
              <w:rPr>
                <w:b/>
                <w:sz w:val="22"/>
              </w:rPr>
            </w:pPr>
            <w:r w:rsidRPr="00BB1E65">
              <w:rPr>
                <w:b/>
                <w:sz w:val="22"/>
              </w:rPr>
              <w:t>d</w:t>
            </w:r>
            <w:r w:rsidR="001270B1" w:rsidRPr="00BB1E65">
              <w:rPr>
                <w:b/>
                <w:sz w:val="22"/>
              </w:rPr>
              <w:t xml:space="preserve">.  </w:t>
            </w:r>
            <w:r w:rsidR="008E745F" w:rsidRPr="00BB1E65">
              <w:rPr>
                <w:b/>
                <w:sz w:val="22"/>
              </w:rPr>
              <w:t>Requirement to Identify Relevant</w:t>
            </w:r>
            <w:r w:rsidR="007D0EFC" w:rsidRPr="00BB1E65">
              <w:rPr>
                <w:b/>
                <w:sz w:val="22"/>
              </w:rPr>
              <w:t xml:space="preserve"> </w:t>
            </w:r>
            <w:r w:rsidR="001270B1" w:rsidRPr="00BB1E65">
              <w:rPr>
                <w:b/>
                <w:sz w:val="22"/>
              </w:rPr>
              <w:t xml:space="preserve">Evidence </w:t>
            </w:r>
            <w:r w:rsidR="00CB2872" w:rsidRPr="00BB1E65">
              <w:rPr>
                <w:b/>
                <w:sz w:val="22"/>
              </w:rPr>
              <w:t>for the Examiner’s Review</w:t>
            </w:r>
          </w:p>
        </w:tc>
        <w:tc>
          <w:tcPr>
            <w:tcW w:w="7848" w:type="dxa"/>
            <w:shd w:val="clear" w:color="auto" w:fill="auto"/>
          </w:tcPr>
          <w:p w14:paraId="1A6CB99D" w14:textId="77777777" w:rsidR="00583569" w:rsidRPr="00BB1E65" w:rsidRDefault="001270B1" w:rsidP="001270B1">
            <w:r w:rsidRPr="00BB1E65">
              <w:t xml:space="preserve">RO employees must ensure that each piece of relevant evidence in the </w:t>
            </w:r>
          </w:p>
          <w:p w14:paraId="65364AF9" w14:textId="77777777" w:rsidR="00583569" w:rsidRPr="00BB1E65" w:rsidRDefault="00583569" w:rsidP="001270B1"/>
          <w:p w14:paraId="27A8BDD2" w14:textId="0F86F42A" w:rsidR="00583569" w:rsidRPr="00BB1E65" w:rsidRDefault="00583569" w:rsidP="00661A60">
            <w:pPr>
              <w:pStyle w:val="ListParagraph"/>
              <w:numPr>
                <w:ilvl w:val="0"/>
                <w:numId w:val="60"/>
              </w:numPr>
              <w:ind w:left="158" w:hanging="187"/>
            </w:pPr>
            <w:r w:rsidRPr="00BB1E65">
              <w:t>paper claims folder is tabbed, or</w:t>
            </w:r>
          </w:p>
          <w:p w14:paraId="18BE2DAA" w14:textId="58197F52" w:rsidR="001270B1" w:rsidRPr="00BB1E65" w:rsidRDefault="001270B1" w:rsidP="00661A60">
            <w:pPr>
              <w:pStyle w:val="ListParagraph"/>
              <w:numPr>
                <w:ilvl w:val="0"/>
                <w:numId w:val="60"/>
              </w:numPr>
              <w:ind w:left="158" w:hanging="187"/>
            </w:pPr>
            <w:r w:rsidRPr="00BB1E65">
              <w:t xml:space="preserve">eFolder is either bookmarked </w:t>
            </w:r>
            <w:r w:rsidRPr="00BB1E65">
              <w:rPr>
                <w:i/>
              </w:rPr>
              <w:t>or</w:t>
            </w:r>
            <w:r w:rsidRPr="00BB1E65">
              <w:t xml:space="preserve"> annotated</w:t>
            </w:r>
            <w:r w:rsidR="0059712B" w:rsidRPr="00BB1E65">
              <w:t xml:space="preserve"> following the standard</w:t>
            </w:r>
            <w:r w:rsidR="0072631F" w:rsidRPr="00BB1E65">
              <w:t>ized</w:t>
            </w:r>
            <w:r w:rsidR="0059712B" w:rsidRPr="00BB1E65">
              <w:t xml:space="preserve"> procedures outlined in M21-1, Part III, Subpart iv, 3.A.15.e and f</w:t>
            </w:r>
            <w:r w:rsidRPr="00BB1E65">
              <w:t xml:space="preserve">.  </w:t>
            </w:r>
          </w:p>
          <w:p w14:paraId="0C1339CC" w14:textId="77777777" w:rsidR="00583569" w:rsidRPr="00BB1E65" w:rsidRDefault="00583569" w:rsidP="00583569">
            <w:pPr>
              <w:pStyle w:val="ListParagraph"/>
              <w:ind w:left="158"/>
            </w:pPr>
          </w:p>
          <w:p w14:paraId="7BF40ABD" w14:textId="33C92CE1" w:rsidR="00583569" w:rsidRPr="00BB1E65" w:rsidRDefault="00583569" w:rsidP="00583569">
            <w:r w:rsidRPr="00BB1E65">
              <w:rPr>
                <w:b/>
                <w:i/>
              </w:rPr>
              <w:t>Important</w:t>
            </w:r>
            <w:r w:rsidRPr="00BB1E65">
              <w:t xml:space="preserve">:  All pertinent evidence, to include STRs, must be scanned into the eFolder prior to requesting any examination. </w:t>
            </w:r>
            <w:r w:rsidR="00BB6808" w:rsidRPr="00BB1E65">
              <w:t xml:space="preserve"> </w:t>
            </w:r>
            <w:r w:rsidRPr="00BB1E65">
              <w:t xml:space="preserve">This includes any case </w:t>
            </w:r>
            <w:r w:rsidR="00D53A44" w:rsidRPr="00BB1E65">
              <w:t>for which</w:t>
            </w:r>
            <w:r w:rsidRPr="00BB1E65">
              <w:t xml:space="preserve"> a VHA examiner may complete an ACE examination.</w:t>
            </w:r>
          </w:p>
          <w:p w14:paraId="1D84A7A3" w14:textId="77777777" w:rsidR="0000682D" w:rsidRPr="00BB1E65" w:rsidRDefault="0000682D" w:rsidP="00583569"/>
          <w:p w14:paraId="051FCD45" w14:textId="171B0E83" w:rsidR="0000682D" w:rsidRPr="00BB1E65" w:rsidRDefault="0000682D" w:rsidP="00583569">
            <w:r w:rsidRPr="00BB1E65">
              <w:rPr>
                <w:b/>
                <w:i/>
              </w:rPr>
              <w:t>Note</w:t>
            </w:r>
            <w:r w:rsidRPr="00BB1E65">
              <w:t xml:space="preserve">:  Contract examiners do </w:t>
            </w:r>
            <w:r w:rsidRPr="00BB1E65">
              <w:rPr>
                <w:i/>
              </w:rPr>
              <w:t>not</w:t>
            </w:r>
            <w:r w:rsidRPr="00BB1E65">
              <w:t xml:space="preserve"> have access to CAPRI.  Any VHA treatment report that needs to be reviewed must </w:t>
            </w:r>
            <w:r w:rsidR="00340855" w:rsidRPr="00BB1E65">
              <w:t>be uploaded to the eFolder or, if applicable,</w:t>
            </w:r>
            <w:r w:rsidRPr="00BB1E65">
              <w:t xml:space="preserve"> printed and filed in </w:t>
            </w:r>
            <w:r w:rsidR="00340855" w:rsidRPr="00BB1E65">
              <w:t xml:space="preserve">the </w:t>
            </w:r>
            <w:r w:rsidRPr="00BB1E65">
              <w:t>paper claims folder.</w:t>
            </w:r>
          </w:p>
          <w:p w14:paraId="6014B4AD" w14:textId="77777777" w:rsidR="001270B1" w:rsidRPr="00BB1E65" w:rsidRDefault="001270B1" w:rsidP="001270B1"/>
          <w:p w14:paraId="11E965B2" w14:textId="2F6B9445" w:rsidR="001270B1" w:rsidRPr="00BB1E65" w:rsidRDefault="00D4661E" w:rsidP="001270B1">
            <w:r w:rsidRPr="00BB1E65">
              <w:rPr>
                <w:b/>
                <w:i/>
              </w:rPr>
              <w:t>Reference</w:t>
            </w:r>
            <w:r w:rsidRPr="00BB1E65">
              <w:t xml:space="preserve">:  </w:t>
            </w:r>
            <w:r w:rsidR="001270B1" w:rsidRPr="00BB1E65">
              <w:t>For more information about bookmarking and annotating documents in the eFolder, see M21-1, Part III, Subpart ii, 4.G.2.</w:t>
            </w:r>
          </w:p>
        </w:tc>
      </w:tr>
    </w:tbl>
    <w:p w14:paraId="435A9800" w14:textId="43EED0FC" w:rsidR="008F7631" w:rsidRPr="00BB1E65" w:rsidRDefault="007B71CB" w:rsidP="007B71CB">
      <w:pPr>
        <w:tabs>
          <w:tab w:val="left" w:pos="9360"/>
        </w:tabs>
        <w:ind w:left="1714"/>
      </w:pPr>
      <w:r w:rsidRPr="00BB1E65">
        <w:rPr>
          <w:u w:val="single"/>
        </w:rPr>
        <w:tab/>
      </w:r>
    </w:p>
    <w:p w14:paraId="4534A044" w14:textId="462DD841" w:rsidR="007B71CB" w:rsidRPr="00BB1E65" w:rsidRDefault="007B71CB" w:rsidP="007B71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4661E" w:rsidRPr="00BB1E65" w14:paraId="6AE56D4E" w14:textId="77777777" w:rsidTr="00D4661E">
        <w:tc>
          <w:tcPr>
            <w:tcW w:w="1728" w:type="dxa"/>
            <w:shd w:val="clear" w:color="auto" w:fill="auto"/>
          </w:tcPr>
          <w:p w14:paraId="2FB4F06F" w14:textId="4F5CE546" w:rsidR="00D4661E" w:rsidRPr="00BB1E65" w:rsidRDefault="00D4661E" w:rsidP="007B71CB">
            <w:pPr>
              <w:rPr>
                <w:b/>
                <w:sz w:val="22"/>
              </w:rPr>
            </w:pPr>
            <w:r w:rsidRPr="00BB1E65">
              <w:rPr>
                <w:b/>
                <w:sz w:val="22"/>
              </w:rPr>
              <w:t xml:space="preserve">e.  </w:t>
            </w:r>
            <w:r w:rsidR="0059712B" w:rsidRPr="00BB1E65">
              <w:rPr>
                <w:b/>
                <w:sz w:val="22"/>
              </w:rPr>
              <w:t>Bookmarking Documents for Examiner Review</w:t>
            </w:r>
          </w:p>
        </w:tc>
        <w:tc>
          <w:tcPr>
            <w:tcW w:w="7740" w:type="dxa"/>
            <w:shd w:val="clear" w:color="auto" w:fill="auto"/>
          </w:tcPr>
          <w:p w14:paraId="606869CA" w14:textId="0644E010" w:rsidR="00D4661E" w:rsidRPr="00BB1E65" w:rsidRDefault="0072631F" w:rsidP="007B71CB">
            <w:r w:rsidRPr="00BB1E65">
              <w:t>ROs must follow the standardized</w:t>
            </w:r>
            <w:r w:rsidR="0059712B" w:rsidRPr="00BB1E65">
              <w:t xml:space="preserve"> steps in the table below to bookmark documents in the claims folder for the examiner’s review.</w:t>
            </w:r>
          </w:p>
          <w:p w14:paraId="20AF6245" w14:textId="77777777" w:rsidR="0072631F" w:rsidRPr="00BB1E65" w:rsidRDefault="0072631F" w:rsidP="007B71CB"/>
          <w:p w14:paraId="4B788DD1" w14:textId="3581D630" w:rsidR="0072631F" w:rsidRPr="00BB1E65" w:rsidRDefault="0072631F" w:rsidP="004E3DE6">
            <w:r w:rsidRPr="00BB1E65">
              <w:rPr>
                <w:b/>
                <w:i/>
              </w:rPr>
              <w:t>Important</w:t>
            </w:r>
            <w:r w:rsidRPr="00BB1E65">
              <w:t xml:space="preserve">:  While there are multiple bookmark types available in VBMS, when bookmarking evidence for an examiner’s review, ROs must use the </w:t>
            </w:r>
            <w:r w:rsidR="004E3DE6" w:rsidRPr="00BB1E65">
              <w:t>m</w:t>
            </w:r>
            <w:r w:rsidRPr="00BB1E65">
              <w:t>edical bookmark.</w:t>
            </w:r>
          </w:p>
        </w:tc>
      </w:tr>
    </w:tbl>
    <w:p w14:paraId="7B359222" w14:textId="77777777" w:rsidR="0059712B" w:rsidRPr="00BB1E65" w:rsidRDefault="0059712B" w:rsidP="0059712B"/>
    <w:tbl>
      <w:tblPr>
        <w:tblStyle w:val="TableGrid"/>
        <w:tblW w:w="7756" w:type="dxa"/>
        <w:tblInd w:w="1728" w:type="dxa"/>
        <w:tblLook w:val="04A0" w:firstRow="1" w:lastRow="0" w:firstColumn="1" w:lastColumn="0" w:noHBand="0" w:noVBand="1"/>
      </w:tblPr>
      <w:tblGrid>
        <w:gridCol w:w="670"/>
        <w:gridCol w:w="7086"/>
      </w:tblGrid>
      <w:tr w:rsidR="0059712B" w:rsidRPr="00BB1E65" w14:paraId="611BCA9A" w14:textId="77777777" w:rsidTr="0072631F">
        <w:tc>
          <w:tcPr>
            <w:tcW w:w="670" w:type="dxa"/>
          </w:tcPr>
          <w:p w14:paraId="7A2FC90F" w14:textId="1CAA46BA" w:rsidR="0059712B" w:rsidRPr="00BB1E65" w:rsidRDefault="0059712B" w:rsidP="0059712B">
            <w:pPr>
              <w:jc w:val="center"/>
              <w:rPr>
                <w:b/>
              </w:rPr>
            </w:pPr>
            <w:r w:rsidRPr="00BB1E65">
              <w:rPr>
                <w:b/>
              </w:rPr>
              <w:t>Step</w:t>
            </w:r>
          </w:p>
        </w:tc>
        <w:tc>
          <w:tcPr>
            <w:tcW w:w="7086" w:type="dxa"/>
          </w:tcPr>
          <w:p w14:paraId="164145B4" w14:textId="4B6800AC" w:rsidR="0059712B" w:rsidRPr="00BB1E65" w:rsidRDefault="0059712B" w:rsidP="0059712B">
            <w:pPr>
              <w:jc w:val="center"/>
              <w:rPr>
                <w:b/>
              </w:rPr>
            </w:pPr>
            <w:r w:rsidRPr="00BB1E65">
              <w:rPr>
                <w:b/>
              </w:rPr>
              <w:t>Action</w:t>
            </w:r>
          </w:p>
        </w:tc>
      </w:tr>
      <w:tr w:rsidR="0059712B" w:rsidRPr="00BB1E65" w14:paraId="7EB4A368" w14:textId="77777777" w:rsidTr="0072631F">
        <w:tc>
          <w:tcPr>
            <w:tcW w:w="670" w:type="dxa"/>
          </w:tcPr>
          <w:p w14:paraId="02386957" w14:textId="6C896DB2" w:rsidR="0059712B" w:rsidRPr="00BB1E65" w:rsidRDefault="0059712B" w:rsidP="0059712B">
            <w:pPr>
              <w:jc w:val="center"/>
            </w:pPr>
            <w:r w:rsidRPr="00BB1E65">
              <w:t>1</w:t>
            </w:r>
          </w:p>
        </w:tc>
        <w:tc>
          <w:tcPr>
            <w:tcW w:w="7086" w:type="dxa"/>
          </w:tcPr>
          <w:p w14:paraId="492DD797" w14:textId="6EC76903" w:rsidR="0059712B" w:rsidRPr="00BB1E65" w:rsidRDefault="0059712B" w:rsidP="001F5C6E">
            <w:r w:rsidRPr="00BB1E65">
              <w:t>Locate the document in which you want to add a bookmark.</w:t>
            </w:r>
          </w:p>
        </w:tc>
      </w:tr>
      <w:tr w:rsidR="0059712B" w:rsidRPr="00BB1E65" w14:paraId="385B89B1" w14:textId="77777777" w:rsidTr="0072631F">
        <w:tc>
          <w:tcPr>
            <w:tcW w:w="670" w:type="dxa"/>
          </w:tcPr>
          <w:p w14:paraId="72EDBEAB" w14:textId="73148243" w:rsidR="0059712B" w:rsidRPr="00BB1E65" w:rsidRDefault="001F5C6E" w:rsidP="0059712B">
            <w:pPr>
              <w:jc w:val="center"/>
            </w:pPr>
            <w:r w:rsidRPr="00BB1E65">
              <w:t>2</w:t>
            </w:r>
          </w:p>
        </w:tc>
        <w:tc>
          <w:tcPr>
            <w:tcW w:w="7086" w:type="dxa"/>
          </w:tcPr>
          <w:p w14:paraId="0D99BFD0" w14:textId="77777777" w:rsidR="001F5C6E" w:rsidRPr="00BB1E65" w:rsidRDefault="001F5C6E" w:rsidP="001F5C6E">
            <w:r w:rsidRPr="00BB1E65">
              <w:t>Click on the bookmark icon in the TOOLS column. The BOOKMARKS</w:t>
            </w:r>
            <w:r w:rsidRPr="00BB1E65">
              <w:rPr>
                <w:b/>
              </w:rPr>
              <w:t xml:space="preserve"> </w:t>
            </w:r>
            <w:r w:rsidRPr="00BB1E65">
              <w:t>prompt box appears.</w:t>
            </w:r>
          </w:p>
          <w:p w14:paraId="5DCD4B45" w14:textId="77777777" w:rsidR="001F5C6E" w:rsidRPr="00BB1E65" w:rsidRDefault="001F5C6E" w:rsidP="001F5C6E">
            <w:pPr>
              <w:ind w:left="-29"/>
            </w:pPr>
          </w:p>
          <w:p w14:paraId="25B8A9EC" w14:textId="155C16DF" w:rsidR="0059712B" w:rsidRPr="00BB1E65" w:rsidRDefault="001F5C6E" w:rsidP="0059712B">
            <w:r w:rsidRPr="00BB1E65">
              <w:rPr>
                <w:noProof/>
              </w:rPr>
              <w:drawing>
                <wp:inline distT="0" distB="0" distL="0" distR="0" wp14:anchorId="08E6227C" wp14:editId="41E1483C">
                  <wp:extent cx="4327451" cy="1137787"/>
                  <wp:effectExtent l="19050" t="19050" r="16510" b="247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mark Box no others.png"/>
                          <pic:cNvPicPr/>
                        </pic:nvPicPr>
                        <pic:blipFill>
                          <a:blip r:embed="rId87">
                            <a:extLst>
                              <a:ext uri="{28A0092B-C50C-407E-A947-70E740481C1C}">
                                <a14:useLocalDpi xmlns:a14="http://schemas.microsoft.com/office/drawing/2010/main" val="0"/>
                              </a:ext>
                            </a:extLst>
                          </a:blip>
                          <a:stretch>
                            <a:fillRect/>
                          </a:stretch>
                        </pic:blipFill>
                        <pic:spPr>
                          <a:xfrm>
                            <a:off x="0" y="0"/>
                            <a:ext cx="4332558" cy="1139130"/>
                          </a:xfrm>
                          <a:prstGeom prst="rect">
                            <a:avLst/>
                          </a:prstGeom>
                          <a:ln w="12700">
                            <a:solidFill>
                              <a:schemeClr val="accent1"/>
                            </a:solidFill>
                          </a:ln>
                        </pic:spPr>
                      </pic:pic>
                    </a:graphicData>
                  </a:graphic>
                </wp:inline>
              </w:drawing>
            </w:r>
          </w:p>
        </w:tc>
      </w:tr>
      <w:tr w:rsidR="0059712B" w:rsidRPr="00BB1E65" w14:paraId="34542F60" w14:textId="77777777" w:rsidTr="0072631F">
        <w:tc>
          <w:tcPr>
            <w:tcW w:w="670" w:type="dxa"/>
          </w:tcPr>
          <w:p w14:paraId="2ABE25AA" w14:textId="74D62D03" w:rsidR="0059712B" w:rsidRPr="00BB1E65" w:rsidRDefault="001F5C6E" w:rsidP="0059712B">
            <w:pPr>
              <w:jc w:val="center"/>
            </w:pPr>
            <w:r w:rsidRPr="00BB1E65">
              <w:t>3</w:t>
            </w:r>
          </w:p>
        </w:tc>
        <w:tc>
          <w:tcPr>
            <w:tcW w:w="7086" w:type="dxa"/>
          </w:tcPr>
          <w:p w14:paraId="69291468" w14:textId="59B285A9" w:rsidR="001F5C6E" w:rsidRPr="00BB1E65" w:rsidRDefault="001F5C6E" w:rsidP="001F5C6E">
            <w:pPr>
              <w:pStyle w:val="NoSpacing"/>
              <w:spacing w:line="276" w:lineRule="auto"/>
              <w:rPr>
                <w:rFonts w:ascii="Times New Roman" w:hAnsi="Times New Roman"/>
                <w:sz w:val="24"/>
                <w:szCs w:val="24"/>
              </w:rPr>
            </w:pPr>
            <w:r w:rsidRPr="00BB1E65">
              <w:rPr>
                <w:rFonts w:ascii="Times New Roman" w:hAnsi="Times New Roman"/>
                <w:sz w:val="24"/>
                <w:szCs w:val="24"/>
              </w:rPr>
              <w:t xml:space="preserve">For each document in the eFolder that contains information to be reviewed by a VA examiner, select the </w:t>
            </w:r>
            <w:r w:rsidR="00CE2AC8" w:rsidRPr="00BB1E65">
              <w:rPr>
                <w:rFonts w:ascii="Times New Roman" w:hAnsi="Times New Roman"/>
                <w:sz w:val="24"/>
                <w:szCs w:val="24"/>
              </w:rPr>
              <w:t>m</w:t>
            </w:r>
            <w:r w:rsidRPr="00BB1E65">
              <w:rPr>
                <w:rFonts w:ascii="Times New Roman" w:hAnsi="Times New Roman"/>
                <w:sz w:val="24"/>
                <w:szCs w:val="24"/>
              </w:rPr>
              <w:t>edical bookmark (heart shape</w:t>
            </w:r>
            <w:r w:rsidR="00C8097A" w:rsidRPr="00BB1E65">
              <w:rPr>
                <w:rFonts w:ascii="Times New Roman" w:hAnsi="Times New Roman"/>
                <w:sz w:val="24"/>
                <w:szCs w:val="24"/>
              </w:rPr>
              <w:t xml:space="preserve"> icon</w:t>
            </w:r>
            <w:r w:rsidRPr="00BB1E65">
              <w:rPr>
                <w:rFonts w:ascii="Times New Roman" w:hAnsi="Times New Roman"/>
                <w:sz w:val="24"/>
                <w:szCs w:val="24"/>
              </w:rPr>
              <w:t>).</w:t>
            </w:r>
          </w:p>
          <w:p w14:paraId="2A884274" w14:textId="77777777" w:rsidR="001F5C6E" w:rsidRPr="00BB1E65" w:rsidRDefault="001F5C6E" w:rsidP="001F5C6E">
            <w:pPr>
              <w:pStyle w:val="NoSpacing"/>
              <w:spacing w:line="276" w:lineRule="auto"/>
              <w:rPr>
                <w:rFonts w:ascii="Times New Roman" w:hAnsi="Times New Roman"/>
                <w:sz w:val="24"/>
                <w:szCs w:val="24"/>
              </w:rPr>
            </w:pPr>
          </w:p>
          <w:p w14:paraId="5BB7C6D8" w14:textId="47CB7992" w:rsidR="0059712B" w:rsidRPr="00BB1E65" w:rsidRDefault="001F5C6E" w:rsidP="004E3DE6">
            <w:pPr>
              <w:pStyle w:val="NoSpacing"/>
            </w:pPr>
            <w:r w:rsidRPr="00BB1E65">
              <w:rPr>
                <w:rFonts w:ascii="Times New Roman" w:hAnsi="Times New Roman"/>
                <w:b/>
                <w:i/>
                <w:sz w:val="24"/>
                <w:szCs w:val="24"/>
              </w:rPr>
              <w:t>Example</w:t>
            </w:r>
            <w:r w:rsidRPr="00BB1E65">
              <w:rPr>
                <w:rFonts w:ascii="Times New Roman" w:hAnsi="Times New Roman"/>
                <w:sz w:val="24"/>
                <w:szCs w:val="24"/>
              </w:rPr>
              <w:t xml:space="preserve">:  The </w:t>
            </w:r>
            <w:r w:rsidR="00114A7E" w:rsidRPr="00BB1E65">
              <w:rPr>
                <w:rFonts w:ascii="Times New Roman" w:hAnsi="Times New Roman"/>
                <w:sz w:val="24"/>
                <w:szCs w:val="24"/>
              </w:rPr>
              <w:t>V</w:t>
            </w:r>
            <w:r w:rsidRPr="00BB1E65">
              <w:rPr>
                <w:rFonts w:ascii="Times New Roman" w:hAnsi="Times New Roman"/>
                <w:sz w:val="24"/>
                <w:szCs w:val="24"/>
              </w:rPr>
              <w:t>eteran has claimed a right kne</w:t>
            </w:r>
            <w:r w:rsidR="004E3DE6" w:rsidRPr="00BB1E65">
              <w:rPr>
                <w:rFonts w:ascii="Times New Roman" w:hAnsi="Times New Roman"/>
                <w:sz w:val="24"/>
                <w:szCs w:val="24"/>
              </w:rPr>
              <w:t xml:space="preserve">e and left shoulder condition. </w:t>
            </w:r>
            <w:r w:rsidR="00BB6808" w:rsidRPr="00BB1E65">
              <w:rPr>
                <w:rFonts w:ascii="Times New Roman" w:hAnsi="Times New Roman"/>
                <w:sz w:val="24"/>
                <w:szCs w:val="24"/>
              </w:rPr>
              <w:t xml:space="preserve"> </w:t>
            </w:r>
            <w:r w:rsidRPr="00BB1E65">
              <w:rPr>
                <w:rFonts w:ascii="Times New Roman" w:hAnsi="Times New Roman"/>
                <w:sz w:val="24"/>
                <w:szCs w:val="24"/>
              </w:rPr>
              <w:t xml:space="preserve">A review of the STRs shows treatment for chondromalacia patella of the right knee and a rotator cuff tear of the left shoulder. </w:t>
            </w:r>
            <w:r w:rsidR="00BB6808" w:rsidRPr="00BB1E65">
              <w:rPr>
                <w:rFonts w:ascii="Times New Roman" w:hAnsi="Times New Roman"/>
                <w:sz w:val="24"/>
                <w:szCs w:val="24"/>
              </w:rPr>
              <w:t xml:space="preserve"> </w:t>
            </w:r>
            <w:r w:rsidRPr="00BB1E65">
              <w:rPr>
                <w:rFonts w:ascii="Times New Roman" w:hAnsi="Times New Roman"/>
                <w:sz w:val="24"/>
                <w:szCs w:val="24"/>
              </w:rPr>
              <w:t>An examiner will need to review the records.</w:t>
            </w:r>
          </w:p>
        </w:tc>
      </w:tr>
      <w:tr w:rsidR="001F5C6E" w:rsidRPr="00BB1E65" w14:paraId="4991B7A3" w14:textId="77777777" w:rsidTr="0072631F">
        <w:tc>
          <w:tcPr>
            <w:tcW w:w="670" w:type="dxa"/>
          </w:tcPr>
          <w:p w14:paraId="59EA1BEF" w14:textId="6040F5AE" w:rsidR="001F5C6E" w:rsidRPr="00BB1E65" w:rsidRDefault="001F5C6E" w:rsidP="0059712B">
            <w:pPr>
              <w:jc w:val="center"/>
            </w:pPr>
            <w:r w:rsidRPr="00BB1E65">
              <w:lastRenderedPageBreak/>
              <w:t>4</w:t>
            </w:r>
          </w:p>
        </w:tc>
        <w:tc>
          <w:tcPr>
            <w:tcW w:w="7086" w:type="dxa"/>
          </w:tcPr>
          <w:p w14:paraId="1CD7AF6B" w14:textId="77777777" w:rsidR="00FA2D56" w:rsidRPr="00BB1E65" w:rsidRDefault="00FA2D56" w:rsidP="001F5C6E">
            <w:pPr>
              <w:pStyle w:val="NoSpacing"/>
              <w:rPr>
                <w:rFonts w:ascii="Times New Roman" w:hAnsi="Times New Roman"/>
                <w:sz w:val="24"/>
                <w:szCs w:val="24"/>
              </w:rPr>
            </w:pPr>
            <w:r w:rsidRPr="00BB1E65">
              <w:rPr>
                <w:rFonts w:ascii="Times New Roman" w:hAnsi="Times New Roman"/>
                <w:sz w:val="24"/>
                <w:szCs w:val="24"/>
              </w:rPr>
              <w:t>I</w:t>
            </w:r>
            <w:r w:rsidR="001F5C6E" w:rsidRPr="00BB1E65">
              <w:rPr>
                <w:rFonts w:ascii="Times New Roman" w:hAnsi="Times New Roman"/>
                <w:sz w:val="24"/>
                <w:szCs w:val="24"/>
              </w:rPr>
              <w:t>n the e</w:t>
            </w:r>
            <w:r w:rsidRPr="00BB1E65">
              <w:rPr>
                <w:rFonts w:ascii="Times New Roman" w:hAnsi="Times New Roman"/>
                <w:sz w:val="24"/>
                <w:szCs w:val="24"/>
              </w:rPr>
              <w:t xml:space="preserve">xpanded prompt box that appears, type the </w:t>
            </w:r>
          </w:p>
          <w:p w14:paraId="2BE6B088" w14:textId="77777777" w:rsidR="00FA2D56" w:rsidRPr="00BB1E65" w:rsidRDefault="00FA2D56" w:rsidP="001F5C6E">
            <w:pPr>
              <w:pStyle w:val="NoSpacing"/>
              <w:rPr>
                <w:rFonts w:ascii="Times New Roman" w:hAnsi="Times New Roman"/>
                <w:sz w:val="24"/>
                <w:szCs w:val="24"/>
              </w:rPr>
            </w:pPr>
          </w:p>
          <w:p w14:paraId="471AED82" w14:textId="77777777" w:rsidR="00FA2D56" w:rsidRPr="00BB1E65" w:rsidRDefault="00FA2D56" w:rsidP="00661A60">
            <w:pPr>
              <w:pStyle w:val="ListParagraph"/>
              <w:numPr>
                <w:ilvl w:val="0"/>
                <w:numId w:val="61"/>
              </w:numPr>
              <w:ind w:left="158" w:hanging="187"/>
            </w:pPr>
            <w:r w:rsidRPr="00BB1E65">
              <w:t xml:space="preserve">tab name, and </w:t>
            </w:r>
          </w:p>
          <w:p w14:paraId="5ED5B9B5" w14:textId="46A81B84" w:rsidR="001F5C6E" w:rsidRPr="00BB1E65" w:rsidRDefault="00FA2D56" w:rsidP="00661A60">
            <w:pPr>
              <w:pStyle w:val="ListParagraph"/>
              <w:numPr>
                <w:ilvl w:val="0"/>
                <w:numId w:val="61"/>
              </w:numPr>
              <w:ind w:left="158" w:hanging="187"/>
            </w:pPr>
            <w:r w:rsidRPr="00BB1E65">
              <w:t>contention</w:t>
            </w:r>
            <w:r w:rsidR="006A33FC" w:rsidRPr="00BB1E65">
              <w:t>(s)</w:t>
            </w:r>
            <w:r w:rsidRPr="00BB1E65">
              <w:t xml:space="preserve"> name.</w:t>
            </w:r>
          </w:p>
          <w:p w14:paraId="7D5333FA" w14:textId="77777777" w:rsidR="001F5C6E" w:rsidRPr="00BB1E65" w:rsidRDefault="001F5C6E" w:rsidP="001F5C6E">
            <w:pPr>
              <w:pStyle w:val="NoSpacing"/>
              <w:spacing w:line="276" w:lineRule="auto"/>
              <w:rPr>
                <w:rFonts w:ascii="Times New Roman" w:hAnsi="Times New Roman"/>
                <w:sz w:val="24"/>
                <w:szCs w:val="24"/>
              </w:rPr>
            </w:pPr>
          </w:p>
          <w:p w14:paraId="053E7EC3" w14:textId="45DCE774" w:rsidR="001F5C6E" w:rsidRPr="00BB1E65" w:rsidRDefault="006A33FC" w:rsidP="001F5C6E">
            <w:pPr>
              <w:pStyle w:val="NoSpacing"/>
              <w:spacing w:line="276" w:lineRule="auto"/>
              <w:rPr>
                <w:rFonts w:ascii="Times New Roman" w:hAnsi="Times New Roman"/>
                <w:sz w:val="24"/>
                <w:szCs w:val="24"/>
              </w:rPr>
            </w:pPr>
            <w:r w:rsidRPr="00BB1E65">
              <w:rPr>
                <w:noProof/>
                <w:color w:val="1F497D"/>
              </w:rPr>
              <w:drawing>
                <wp:inline distT="0" distB="0" distL="0" distR="0" wp14:anchorId="1608768B" wp14:editId="67A5272D">
                  <wp:extent cx="2179955" cy="1467485"/>
                  <wp:effectExtent l="0" t="0" r="0" b="0"/>
                  <wp:docPr id="3" name="Picture 3" descr="cid:image004.png@01D0C620.1C2D7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0C620.1C2D7A60"/>
                          <pic:cNvPicPr>
                            <a:picLocks noChangeAspect="1" noChangeArrowheads="1"/>
                          </pic:cNvPicPr>
                        </pic:nvPicPr>
                        <pic:blipFill>
                          <a:blip r:embed="rId88" r:link="rId89">
                            <a:extLst>
                              <a:ext uri="{28A0092B-C50C-407E-A947-70E740481C1C}">
                                <a14:useLocalDpi xmlns:a14="http://schemas.microsoft.com/office/drawing/2010/main" val="0"/>
                              </a:ext>
                            </a:extLst>
                          </a:blip>
                          <a:srcRect/>
                          <a:stretch>
                            <a:fillRect/>
                          </a:stretch>
                        </pic:blipFill>
                        <pic:spPr bwMode="auto">
                          <a:xfrm>
                            <a:off x="0" y="0"/>
                            <a:ext cx="2179955" cy="1467485"/>
                          </a:xfrm>
                          <a:prstGeom prst="rect">
                            <a:avLst/>
                          </a:prstGeom>
                          <a:noFill/>
                          <a:ln>
                            <a:noFill/>
                          </a:ln>
                        </pic:spPr>
                      </pic:pic>
                    </a:graphicData>
                  </a:graphic>
                </wp:inline>
              </w:drawing>
            </w:r>
          </w:p>
        </w:tc>
      </w:tr>
      <w:tr w:rsidR="001F5C6E" w:rsidRPr="00BB1E65" w14:paraId="55956B44" w14:textId="77777777" w:rsidTr="0072631F">
        <w:tc>
          <w:tcPr>
            <w:tcW w:w="670" w:type="dxa"/>
          </w:tcPr>
          <w:p w14:paraId="349B78AD" w14:textId="371DF638" w:rsidR="001F5C6E" w:rsidRPr="00BB1E65" w:rsidRDefault="001F5C6E" w:rsidP="0059712B">
            <w:pPr>
              <w:jc w:val="center"/>
            </w:pPr>
            <w:r w:rsidRPr="00BB1E65">
              <w:t>5</w:t>
            </w:r>
          </w:p>
        </w:tc>
        <w:tc>
          <w:tcPr>
            <w:tcW w:w="7086" w:type="dxa"/>
          </w:tcPr>
          <w:p w14:paraId="31A7BE11" w14:textId="4581D6C5" w:rsidR="00FA2D56" w:rsidRPr="00BB1E65" w:rsidRDefault="001F5C6E" w:rsidP="00661A60">
            <w:pPr>
              <w:pStyle w:val="ListParagraph"/>
              <w:numPr>
                <w:ilvl w:val="0"/>
                <w:numId w:val="62"/>
              </w:numPr>
              <w:ind w:left="158" w:hanging="187"/>
            </w:pPr>
            <w:r w:rsidRPr="00BB1E65">
              <w:t xml:space="preserve">Click the </w:t>
            </w:r>
            <w:r w:rsidR="00CE2AC8" w:rsidRPr="00BB1E65">
              <w:t xml:space="preserve">working notes </w:t>
            </w:r>
            <w:r w:rsidRPr="00BB1E65">
              <w:t>bookmark (note paper</w:t>
            </w:r>
            <w:r w:rsidR="00C8097A" w:rsidRPr="00BB1E65">
              <w:t xml:space="preserve"> icon</w:t>
            </w:r>
            <w:r w:rsidRPr="00BB1E65">
              <w:t>)</w:t>
            </w:r>
            <w:r w:rsidR="00FA2D56" w:rsidRPr="00BB1E65">
              <w:t xml:space="preserve">.  </w:t>
            </w:r>
          </w:p>
          <w:p w14:paraId="6E9F38A0" w14:textId="77777777" w:rsidR="004E3DE6" w:rsidRPr="00BB1E65" w:rsidRDefault="00FA2D56" w:rsidP="00661A60">
            <w:pPr>
              <w:pStyle w:val="ListParagraph"/>
              <w:numPr>
                <w:ilvl w:val="0"/>
                <w:numId w:val="62"/>
              </w:numPr>
              <w:ind w:left="158" w:hanging="187"/>
            </w:pPr>
            <w:r w:rsidRPr="00BB1E65">
              <w:t xml:space="preserve">In the expanded prompt box </w:t>
            </w:r>
            <w:r w:rsidR="001F5C6E" w:rsidRPr="00BB1E65">
              <w:t xml:space="preserve">list </w:t>
            </w:r>
          </w:p>
          <w:p w14:paraId="004F4ABD" w14:textId="77777777" w:rsidR="004E3DE6" w:rsidRPr="00BB1E65" w:rsidRDefault="001F5C6E" w:rsidP="00661A60">
            <w:pPr>
              <w:pStyle w:val="ListParagraph"/>
              <w:numPr>
                <w:ilvl w:val="0"/>
                <w:numId w:val="74"/>
              </w:numPr>
              <w:ind w:left="346" w:hanging="187"/>
            </w:pPr>
            <w:r w:rsidRPr="00BB1E65">
              <w:t xml:space="preserve">the </w:t>
            </w:r>
            <w:r w:rsidR="00FA2D56" w:rsidRPr="00BB1E65">
              <w:t>condition treated</w:t>
            </w:r>
            <w:r w:rsidR="004E3DE6" w:rsidRPr="00BB1E65">
              <w:t>, and</w:t>
            </w:r>
          </w:p>
          <w:p w14:paraId="6850040E" w14:textId="7CF2E536" w:rsidR="001F5C6E" w:rsidRPr="00BB1E65" w:rsidRDefault="00FA2D56" w:rsidP="00661A60">
            <w:pPr>
              <w:pStyle w:val="ListParagraph"/>
              <w:numPr>
                <w:ilvl w:val="0"/>
                <w:numId w:val="74"/>
              </w:numPr>
              <w:ind w:left="346" w:hanging="187"/>
            </w:pPr>
            <w:r w:rsidRPr="00BB1E65">
              <w:t>the</w:t>
            </w:r>
            <w:r w:rsidR="001F5C6E" w:rsidRPr="00BB1E65">
              <w:t xml:space="preserve"> pages where treatment can be found </w:t>
            </w:r>
            <w:r w:rsidRPr="00BB1E65">
              <w:t>for the relevant conditions.</w:t>
            </w:r>
          </w:p>
          <w:p w14:paraId="1DD87DB2" w14:textId="77777777" w:rsidR="001F5C6E" w:rsidRPr="00BB1E65" w:rsidRDefault="001F5C6E" w:rsidP="001F5C6E">
            <w:pPr>
              <w:pStyle w:val="NoSpacing"/>
              <w:rPr>
                <w:rFonts w:ascii="Times New Roman" w:hAnsi="Times New Roman"/>
                <w:sz w:val="24"/>
                <w:szCs w:val="24"/>
              </w:rPr>
            </w:pPr>
          </w:p>
          <w:p w14:paraId="4B71534C" w14:textId="01D6D32B" w:rsidR="001F5C6E" w:rsidRPr="00BB1E65" w:rsidRDefault="006A33FC" w:rsidP="001F5C6E">
            <w:pPr>
              <w:pStyle w:val="NoSpacing"/>
              <w:rPr>
                <w:rFonts w:ascii="Times New Roman" w:hAnsi="Times New Roman"/>
                <w:sz w:val="24"/>
                <w:szCs w:val="24"/>
              </w:rPr>
            </w:pPr>
            <w:r w:rsidRPr="00BB1E65">
              <w:rPr>
                <w:rFonts w:ascii="Times New Roman" w:eastAsia="Times New Roman" w:hAnsi="Times New Roman"/>
                <w:noProof/>
                <w:color w:val="1F497D"/>
                <w:sz w:val="24"/>
                <w:szCs w:val="24"/>
              </w:rPr>
              <w:drawing>
                <wp:inline distT="0" distB="0" distL="0" distR="0" wp14:anchorId="296FC6EE" wp14:editId="402F55AE">
                  <wp:extent cx="2190115" cy="2030730"/>
                  <wp:effectExtent l="0" t="0" r="635" b="7620"/>
                  <wp:docPr id="4" name="Picture 2" descr="cid:image005.png@01D0C620.1C2D7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0C620.1C2D7A60"/>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2190115" cy="2030730"/>
                          </a:xfrm>
                          <a:prstGeom prst="rect">
                            <a:avLst/>
                          </a:prstGeom>
                          <a:noFill/>
                          <a:ln>
                            <a:noFill/>
                          </a:ln>
                        </pic:spPr>
                      </pic:pic>
                    </a:graphicData>
                  </a:graphic>
                </wp:inline>
              </w:drawing>
            </w:r>
          </w:p>
        </w:tc>
      </w:tr>
    </w:tbl>
    <w:p w14:paraId="16AB56CE" w14:textId="60B86A72" w:rsidR="00D4661E" w:rsidRPr="00BB1E65" w:rsidRDefault="0059712B" w:rsidP="0059712B">
      <w:pPr>
        <w:tabs>
          <w:tab w:val="left" w:pos="9360"/>
        </w:tabs>
        <w:ind w:left="1714"/>
      </w:pPr>
      <w:r w:rsidRPr="00BB1E65">
        <w:rPr>
          <w:u w:val="single"/>
        </w:rPr>
        <w:tab/>
      </w:r>
    </w:p>
    <w:p w14:paraId="1D3B0564" w14:textId="7C4A9435" w:rsidR="0059712B" w:rsidRPr="00BB1E65" w:rsidRDefault="0059712B" w:rsidP="0059712B">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9712B" w:rsidRPr="00BB1E65" w14:paraId="5507F3FB" w14:textId="77777777" w:rsidTr="0059712B">
        <w:tc>
          <w:tcPr>
            <w:tcW w:w="1728" w:type="dxa"/>
            <w:shd w:val="clear" w:color="auto" w:fill="auto"/>
          </w:tcPr>
          <w:p w14:paraId="0D159BB8" w14:textId="09AA0A83" w:rsidR="0059712B" w:rsidRPr="00BB1E65" w:rsidRDefault="0059712B" w:rsidP="0059712B">
            <w:pPr>
              <w:rPr>
                <w:b/>
                <w:sz w:val="22"/>
              </w:rPr>
            </w:pPr>
            <w:r w:rsidRPr="00BB1E65">
              <w:rPr>
                <w:b/>
                <w:sz w:val="22"/>
              </w:rPr>
              <w:t>f.  Annotating Documents for Examiner Review</w:t>
            </w:r>
          </w:p>
        </w:tc>
        <w:tc>
          <w:tcPr>
            <w:tcW w:w="7740" w:type="dxa"/>
            <w:shd w:val="clear" w:color="auto" w:fill="auto"/>
          </w:tcPr>
          <w:p w14:paraId="0F5B3A68" w14:textId="2BE7C7C0" w:rsidR="0059712B" w:rsidRPr="00BB1E65" w:rsidRDefault="0072631F" w:rsidP="0059712B">
            <w:r w:rsidRPr="00BB1E65">
              <w:t xml:space="preserve">ROs must follow the standardized steps </w:t>
            </w:r>
            <w:r w:rsidR="0059712B" w:rsidRPr="00BB1E65">
              <w:t>in the table below to annotate documents in the claims folder for the examiner’s review.</w:t>
            </w:r>
          </w:p>
          <w:p w14:paraId="39DC727C" w14:textId="77777777" w:rsidR="0072631F" w:rsidRPr="00BB1E65" w:rsidRDefault="0072631F" w:rsidP="0059712B"/>
          <w:p w14:paraId="1103ACC6" w14:textId="5A5193EE" w:rsidR="0072631F" w:rsidRPr="00BB1E65" w:rsidRDefault="0072631F" w:rsidP="0072631F">
            <w:pPr>
              <w:autoSpaceDE w:val="0"/>
              <w:autoSpaceDN w:val="0"/>
              <w:adjustRightInd w:val="0"/>
            </w:pPr>
            <w:r w:rsidRPr="00BB1E65">
              <w:rPr>
                <w:b/>
                <w:i/>
              </w:rPr>
              <w:t>Important</w:t>
            </w:r>
            <w:r w:rsidRPr="00BB1E65">
              <w:t xml:space="preserve">:  There are many available styles of annotations.  For the purpose of promoting consistency, use only the </w:t>
            </w:r>
            <w:r w:rsidR="004E3DE6" w:rsidRPr="00BB1E65">
              <w:t>note</w:t>
            </w:r>
            <w:r w:rsidRPr="00BB1E65">
              <w:t xml:space="preserve"> annotation when tabbing evidence for the examiner’s review. </w:t>
            </w:r>
          </w:p>
        </w:tc>
      </w:tr>
    </w:tbl>
    <w:p w14:paraId="4F8D275E" w14:textId="77777777" w:rsidR="0059712B" w:rsidRPr="00BB1E65" w:rsidRDefault="0059712B" w:rsidP="0059712B"/>
    <w:tbl>
      <w:tblPr>
        <w:tblStyle w:val="TableGrid"/>
        <w:tblW w:w="7650" w:type="dxa"/>
        <w:tblInd w:w="1818" w:type="dxa"/>
        <w:tblLook w:val="04A0" w:firstRow="1" w:lastRow="0" w:firstColumn="1" w:lastColumn="0" w:noHBand="0" w:noVBand="1"/>
      </w:tblPr>
      <w:tblGrid>
        <w:gridCol w:w="1080"/>
        <w:gridCol w:w="6570"/>
      </w:tblGrid>
      <w:tr w:rsidR="0059712B" w:rsidRPr="00BB1E65" w14:paraId="13446C86" w14:textId="77777777" w:rsidTr="0059712B">
        <w:tc>
          <w:tcPr>
            <w:tcW w:w="1080" w:type="dxa"/>
          </w:tcPr>
          <w:p w14:paraId="085CA708" w14:textId="7CD00430" w:rsidR="0059712B" w:rsidRPr="00BB1E65" w:rsidRDefault="0059712B" w:rsidP="0059712B">
            <w:pPr>
              <w:jc w:val="center"/>
              <w:rPr>
                <w:b/>
              </w:rPr>
            </w:pPr>
            <w:r w:rsidRPr="00BB1E65">
              <w:rPr>
                <w:b/>
              </w:rPr>
              <w:t>Step</w:t>
            </w:r>
          </w:p>
        </w:tc>
        <w:tc>
          <w:tcPr>
            <w:tcW w:w="6570" w:type="dxa"/>
          </w:tcPr>
          <w:p w14:paraId="6580A4F0" w14:textId="533DAFFB" w:rsidR="0059712B" w:rsidRPr="00BB1E65" w:rsidRDefault="0059712B" w:rsidP="0059712B">
            <w:pPr>
              <w:jc w:val="center"/>
              <w:rPr>
                <w:b/>
              </w:rPr>
            </w:pPr>
            <w:r w:rsidRPr="00BB1E65">
              <w:rPr>
                <w:b/>
              </w:rPr>
              <w:t>Action</w:t>
            </w:r>
          </w:p>
        </w:tc>
      </w:tr>
      <w:tr w:rsidR="0059712B" w:rsidRPr="00BB1E65" w14:paraId="08050104" w14:textId="77777777" w:rsidTr="0059712B">
        <w:tc>
          <w:tcPr>
            <w:tcW w:w="1080" w:type="dxa"/>
          </w:tcPr>
          <w:p w14:paraId="43040248" w14:textId="2C7809FB" w:rsidR="0059712B" w:rsidRPr="00BB1E65" w:rsidRDefault="0072631F" w:rsidP="0059712B">
            <w:pPr>
              <w:jc w:val="center"/>
            </w:pPr>
            <w:r w:rsidRPr="00BB1E65">
              <w:t>1</w:t>
            </w:r>
          </w:p>
        </w:tc>
        <w:tc>
          <w:tcPr>
            <w:tcW w:w="6570" w:type="dxa"/>
          </w:tcPr>
          <w:p w14:paraId="0BD86771" w14:textId="39DCE4C2" w:rsidR="0059712B" w:rsidRPr="00BB1E65" w:rsidRDefault="0072631F" w:rsidP="0059712B">
            <w:r w:rsidRPr="00BB1E65">
              <w:t>Locate the document you want to annotate.</w:t>
            </w:r>
          </w:p>
        </w:tc>
      </w:tr>
      <w:tr w:rsidR="0059712B" w:rsidRPr="00BB1E65" w14:paraId="4454A560" w14:textId="77777777" w:rsidTr="0059712B">
        <w:tc>
          <w:tcPr>
            <w:tcW w:w="1080" w:type="dxa"/>
          </w:tcPr>
          <w:p w14:paraId="4304BB50" w14:textId="6A40B659" w:rsidR="0059712B" w:rsidRPr="00BB1E65" w:rsidRDefault="0072631F" w:rsidP="0059712B">
            <w:pPr>
              <w:jc w:val="center"/>
            </w:pPr>
            <w:r w:rsidRPr="00BB1E65">
              <w:t>2</w:t>
            </w:r>
          </w:p>
        </w:tc>
        <w:tc>
          <w:tcPr>
            <w:tcW w:w="6570" w:type="dxa"/>
          </w:tcPr>
          <w:p w14:paraId="69F618FF" w14:textId="63904FAD" w:rsidR="0072631F" w:rsidRPr="00BB1E65" w:rsidRDefault="0072631F" w:rsidP="0072631F">
            <w:pPr>
              <w:autoSpaceDE w:val="0"/>
              <w:autoSpaceDN w:val="0"/>
              <w:adjustRightInd w:val="0"/>
              <w:spacing w:line="276" w:lineRule="auto"/>
            </w:pPr>
            <w:r w:rsidRPr="00BB1E65">
              <w:t xml:space="preserve">Click on the </w:t>
            </w:r>
            <w:r w:rsidR="00657639" w:rsidRPr="00BB1E65">
              <w:t xml:space="preserve">annotator view </w:t>
            </w:r>
            <w:r w:rsidRPr="00BB1E65">
              <w:t>icon next to the document name.</w:t>
            </w:r>
          </w:p>
          <w:p w14:paraId="2129D13F" w14:textId="77777777" w:rsidR="0072631F" w:rsidRPr="00BB1E65" w:rsidRDefault="0072631F" w:rsidP="0072631F">
            <w:pPr>
              <w:pStyle w:val="ListParagraph"/>
              <w:autoSpaceDE w:val="0"/>
              <w:autoSpaceDN w:val="0"/>
              <w:adjustRightInd w:val="0"/>
              <w:ind w:left="360"/>
            </w:pPr>
          </w:p>
          <w:p w14:paraId="5C4D12DC" w14:textId="77777777" w:rsidR="0072631F" w:rsidRPr="00BB1E65" w:rsidRDefault="0072631F" w:rsidP="0072631F">
            <w:pPr>
              <w:autoSpaceDE w:val="0"/>
              <w:autoSpaceDN w:val="0"/>
              <w:adjustRightInd w:val="0"/>
              <w:ind w:left="360"/>
            </w:pPr>
            <w:r w:rsidRPr="00BB1E65">
              <w:rPr>
                <w:noProof/>
              </w:rPr>
              <mc:AlternateContent>
                <mc:Choice Requires="wps">
                  <w:drawing>
                    <wp:anchor distT="0" distB="0" distL="114300" distR="114300" simplePos="0" relativeHeight="251659264" behindDoc="0" locked="0" layoutInCell="1" allowOverlap="1" wp14:anchorId="13D96BE0" wp14:editId="170C1DB6">
                      <wp:simplePos x="0" y="0"/>
                      <wp:positionH relativeFrom="column">
                        <wp:posOffset>3312795</wp:posOffset>
                      </wp:positionH>
                      <wp:positionV relativeFrom="paragraph">
                        <wp:posOffset>94615</wp:posOffset>
                      </wp:positionV>
                      <wp:extent cx="590966" cy="92793"/>
                      <wp:effectExtent l="0" t="0" r="19050" b="21590"/>
                      <wp:wrapNone/>
                      <wp:docPr id="2" name="Left Arrow 2"/>
                      <wp:cNvGraphicFramePr/>
                      <a:graphic xmlns:a="http://schemas.openxmlformats.org/drawingml/2006/main">
                        <a:graphicData uri="http://schemas.microsoft.com/office/word/2010/wordprocessingShape">
                          <wps:wsp>
                            <wps:cNvSpPr/>
                            <wps:spPr>
                              <a:xfrm>
                                <a:off x="0" y="0"/>
                                <a:ext cx="590966" cy="92793"/>
                              </a:xfrm>
                              <a:prstGeom prst="leftArrow">
                                <a:avLst/>
                              </a:prstGeom>
                              <a:solidFill>
                                <a:srgbClr val="FF0000"/>
                              </a:solidFill>
                              <a:ln w="95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260.85pt;margin-top:7.45pt;width:46.5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" adj="1696" fillcolor="red" strokecolor="#95b3d7 [1940]"/>
                  </w:pict>
                </mc:Fallback>
              </mc:AlternateContent>
            </w:r>
            <w:r w:rsidRPr="00BB1E65">
              <w:rPr>
                <w:noProof/>
              </w:rPr>
              <w:drawing>
                <wp:inline distT="0" distB="0" distL="0" distR="0" wp14:anchorId="46DC7E79" wp14:editId="13ECBA02">
                  <wp:extent cx="3458058" cy="247685"/>
                  <wp:effectExtent l="19050" t="19050" r="952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or tab.png"/>
                          <pic:cNvPicPr/>
                        </pic:nvPicPr>
                        <pic:blipFill>
                          <a:blip r:embed="rId92">
                            <a:extLst>
                              <a:ext uri="{28A0092B-C50C-407E-A947-70E740481C1C}">
                                <a14:useLocalDpi xmlns:a14="http://schemas.microsoft.com/office/drawing/2010/main" val="0"/>
                              </a:ext>
                            </a:extLst>
                          </a:blip>
                          <a:stretch>
                            <a:fillRect/>
                          </a:stretch>
                        </pic:blipFill>
                        <pic:spPr>
                          <a:xfrm>
                            <a:off x="0" y="0"/>
                            <a:ext cx="3458058" cy="247685"/>
                          </a:xfrm>
                          <a:prstGeom prst="rect">
                            <a:avLst/>
                          </a:prstGeom>
                          <a:ln>
                            <a:solidFill>
                              <a:schemeClr val="accent1"/>
                            </a:solidFill>
                          </a:ln>
                        </pic:spPr>
                      </pic:pic>
                    </a:graphicData>
                  </a:graphic>
                </wp:inline>
              </w:drawing>
            </w:r>
          </w:p>
          <w:p w14:paraId="2792C322" w14:textId="77777777" w:rsidR="0059712B" w:rsidRPr="00BB1E65" w:rsidRDefault="0059712B" w:rsidP="0059712B"/>
        </w:tc>
      </w:tr>
      <w:tr w:rsidR="0059712B" w:rsidRPr="00BB1E65" w14:paraId="5FE8B0B5" w14:textId="77777777" w:rsidTr="0059712B">
        <w:tc>
          <w:tcPr>
            <w:tcW w:w="1080" w:type="dxa"/>
          </w:tcPr>
          <w:p w14:paraId="7E592C49" w14:textId="3D41F54F" w:rsidR="0059712B" w:rsidRPr="00BB1E65" w:rsidRDefault="0072631F" w:rsidP="0059712B">
            <w:pPr>
              <w:jc w:val="center"/>
            </w:pPr>
            <w:r w:rsidRPr="00BB1E65">
              <w:t>3</w:t>
            </w:r>
          </w:p>
        </w:tc>
        <w:tc>
          <w:tcPr>
            <w:tcW w:w="6570" w:type="dxa"/>
          </w:tcPr>
          <w:p w14:paraId="0806EFCC" w14:textId="04B42C62" w:rsidR="0072631F" w:rsidRPr="00BB1E65" w:rsidRDefault="0072631F" w:rsidP="0072631F">
            <w:pPr>
              <w:autoSpaceDE w:val="0"/>
              <w:autoSpaceDN w:val="0"/>
              <w:adjustRightInd w:val="0"/>
              <w:spacing w:line="276" w:lineRule="auto"/>
            </w:pPr>
            <w:r w:rsidRPr="00BB1E65">
              <w:t xml:space="preserve">The document will open with an additional toolbar located at the top. Click on the </w:t>
            </w:r>
            <w:r w:rsidR="00657639" w:rsidRPr="00BB1E65">
              <w:t xml:space="preserve">add an annotation </w:t>
            </w:r>
            <w:r w:rsidRPr="00BB1E65">
              <w:t>button.</w:t>
            </w:r>
          </w:p>
          <w:p w14:paraId="1FBB7441" w14:textId="05583A22" w:rsidR="0072631F" w:rsidRPr="00BB1E65" w:rsidRDefault="0072631F" w:rsidP="0072631F">
            <w:pPr>
              <w:autoSpaceDE w:val="0"/>
              <w:autoSpaceDN w:val="0"/>
              <w:adjustRightInd w:val="0"/>
              <w:spacing w:line="276" w:lineRule="auto"/>
            </w:pPr>
          </w:p>
          <w:p w14:paraId="756799A8" w14:textId="60FFBD2C" w:rsidR="0072631F" w:rsidRPr="00BB1E65" w:rsidRDefault="00657639" w:rsidP="0072631F">
            <w:pPr>
              <w:autoSpaceDE w:val="0"/>
              <w:autoSpaceDN w:val="0"/>
              <w:adjustRightInd w:val="0"/>
              <w:spacing w:line="276" w:lineRule="auto"/>
            </w:pPr>
            <w:r w:rsidRPr="00BB1E65">
              <w:rPr>
                <w:noProof/>
                <w:color w:val="FF0000"/>
              </w:rPr>
              <w:lastRenderedPageBreak/>
              <mc:AlternateContent>
                <mc:Choice Requires="wps">
                  <w:drawing>
                    <wp:anchor distT="0" distB="0" distL="114300" distR="114300" simplePos="0" relativeHeight="251667456" behindDoc="0" locked="0" layoutInCell="1" allowOverlap="1" wp14:anchorId="4E092311" wp14:editId="61A39A76">
                      <wp:simplePos x="0" y="0"/>
                      <wp:positionH relativeFrom="column">
                        <wp:posOffset>1540923</wp:posOffset>
                      </wp:positionH>
                      <wp:positionV relativeFrom="paragraph">
                        <wp:posOffset>147187</wp:posOffset>
                      </wp:positionV>
                      <wp:extent cx="1265275" cy="45719"/>
                      <wp:effectExtent l="0" t="0" r="11430" b="12065"/>
                      <wp:wrapNone/>
                      <wp:docPr id="18" name="Left Arrow 18"/>
                      <wp:cNvGraphicFramePr/>
                      <a:graphic xmlns:a="http://schemas.openxmlformats.org/drawingml/2006/main">
                        <a:graphicData uri="http://schemas.microsoft.com/office/word/2010/wordprocessingShape">
                          <wps:wsp>
                            <wps:cNvSpPr/>
                            <wps:spPr>
                              <a:xfrm>
                                <a:off x="0" y="0"/>
                                <a:ext cx="1265275" cy="45719"/>
                              </a:xfrm>
                              <a:prstGeom prst="leftArrow">
                                <a:avLst/>
                              </a:prstGeom>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8" o:spid="_x0000_s1026" type="#_x0000_t66" style="position:absolute;margin-left:121.35pt;margin-top:11.6pt;width:99.6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" adj="390" fillcolor="white [3201]" strokecolor="red" strokeweight="2pt"/>
                  </w:pict>
                </mc:Fallback>
              </mc:AlternateContent>
            </w:r>
            <w:r w:rsidR="0072631F" w:rsidRPr="00BB1E65">
              <w:rPr>
                <w:noProof/>
              </w:rPr>
              <w:drawing>
                <wp:inline distT="0" distB="0" distL="0" distR="0" wp14:anchorId="732AD256" wp14:editId="4CD4194A">
                  <wp:extent cx="2486372" cy="276264"/>
                  <wp:effectExtent l="19050" t="19050" r="952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or tool.png"/>
                          <pic:cNvPicPr/>
                        </pic:nvPicPr>
                        <pic:blipFill>
                          <a:blip r:embed="rId93">
                            <a:extLst>
                              <a:ext uri="{28A0092B-C50C-407E-A947-70E740481C1C}">
                                <a14:useLocalDpi xmlns:a14="http://schemas.microsoft.com/office/drawing/2010/main" val="0"/>
                              </a:ext>
                            </a:extLst>
                          </a:blip>
                          <a:stretch>
                            <a:fillRect/>
                          </a:stretch>
                        </pic:blipFill>
                        <pic:spPr>
                          <a:xfrm>
                            <a:off x="0" y="0"/>
                            <a:ext cx="2486372" cy="276264"/>
                          </a:xfrm>
                          <a:prstGeom prst="rect">
                            <a:avLst/>
                          </a:prstGeom>
                          <a:ln>
                            <a:solidFill>
                              <a:schemeClr val="accent1"/>
                            </a:solidFill>
                          </a:ln>
                        </pic:spPr>
                      </pic:pic>
                    </a:graphicData>
                  </a:graphic>
                </wp:inline>
              </w:drawing>
            </w:r>
          </w:p>
          <w:p w14:paraId="3E04F99C" w14:textId="77777777" w:rsidR="0059712B" w:rsidRPr="00BB1E65" w:rsidRDefault="0059712B" w:rsidP="0059712B"/>
        </w:tc>
      </w:tr>
      <w:tr w:rsidR="0072631F" w:rsidRPr="00BB1E65" w14:paraId="113171B7" w14:textId="77777777" w:rsidTr="0059712B">
        <w:tc>
          <w:tcPr>
            <w:tcW w:w="1080" w:type="dxa"/>
          </w:tcPr>
          <w:p w14:paraId="6F98E848" w14:textId="30E42ED5" w:rsidR="0072631F" w:rsidRPr="00BB1E65" w:rsidRDefault="0072631F" w:rsidP="0059712B">
            <w:pPr>
              <w:jc w:val="center"/>
            </w:pPr>
            <w:r w:rsidRPr="00BB1E65">
              <w:lastRenderedPageBreak/>
              <w:t>4</w:t>
            </w:r>
          </w:p>
        </w:tc>
        <w:tc>
          <w:tcPr>
            <w:tcW w:w="6570" w:type="dxa"/>
          </w:tcPr>
          <w:p w14:paraId="5813F882" w14:textId="6013B57D" w:rsidR="0072631F" w:rsidRPr="00BB1E65" w:rsidRDefault="0072631F" w:rsidP="002825BC">
            <w:pPr>
              <w:autoSpaceDE w:val="0"/>
              <w:autoSpaceDN w:val="0"/>
              <w:adjustRightInd w:val="0"/>
              <w:spacing w:line="276" w:lineRule="auto"/>
              <w:rPr>
                <w:noProof/>
              </w:rPr>
            </w:pPr>
            <w:r w:rsidRPr="00BB1E65">
              <w:t xml:space="preserve">Hold down the left mouse button and drag the cursor over a small area where you want the annotation to appear. </w:t>
            </w:r>
            <w:r w:rsidR="00BB6808" w:rsidRPr="00BB1E65">
              <w:t xml:space="preserve"> </w:t>
            </w:r>
            <w:r w:rsidRPr="00BB1E65">
              <w:t>This action will bring up the text box that allows you to type out notes or details for consideration.</w:t>
            </w:r>
          </w:p>
        </w:tc>
      </w:tr>
      <w:tr w:rsidR="002825BC" w:rsidRPr="00BB1E65" w14:paraId="5BA2A613" w14:textId="77777777" w:rsidTr="0059712B">
        <w:tc>
          <w:tcPr>
            <w:tcW w:w="1080" w:type="dxa"/>
          </w:tcPr>
          <w:p w14:paraId="2BD1C001" w14:textId="3713B02B" w:rsidR="002825BC" w:rsidRPr="00BB1E65" w:rsidRDefault="003E02C0" w:rsidP="0059712B">
            <w:pPr>
              <w:jc w:val="center"/>
            </w:pPr>
            <w:r w:rsidRPr="00BB1E65">
              <w:t>5</w:t>
            </w:r>
          </w:p>
        </w:tc>
        <w:tc>
          <w:tcPr>
            <w:tcW w:w="6570" w:type="dxa"/>
          </w:tcPr>
          <w:p w14:paraId="755207FD" w14:textId="77777777" w:rsidR="003E02C0" w:rsidRPr="00BB1E65" w:rsidRDefault="003E02C0" w:rsidP="00661A60">
            <w:pPr>
              <w:pStyle w:val="ListParagraph"/>
              <w:numPr>
                <w:ilvl w:val="0"/>
                <w:numId w:val="77"/>
              </w:numPr>
              <w:ind w:left="158" w:hanging="187"/>
            </w:pPr>
            <w:r w:rsidRPr="00BB1E65">
              <w:t xml:space="preserve">In the ANNOTATION text box, select </w:t>
            </w:r>
            <w:r w:rsidRPr="00BB1E65">
              <w:rPr>
                <w:i/>
              </w:rPr>
              <w:t>Note.</w:t>
            </w:r>
            <w:r w:rsidRPr="00BB1E65">
              <w:t xml:space="preserve"> </w:t>
            </w:r>
          </w:p>
          <w:p w14:paraId="74CD7F3A" w14:textId="3CC12C30" w:rsidR="00FA2D56" w:rsidRPr="00BB1E65" w:rsidRDefault="002825BC" w:rsidP="00661A60">
            <w:pPr>
              <w:pStyle w:val="ListParagraph"/>
              <w:numPr>
                <w:ilvl w:val="0"/>
                <w:numId w:val="77"/>
              </w:numPr>
              <w:ind w:left="158" w:hanging="187"/>
            </w:pPr>
            <w:r w:rsidRPr="00BB1E65">
              <w:t xml:space="preserve">In the text </w:t>
            </w:r>
            <w:r w:rsidR="003E02C0" w:rsidRPr="00BB1E65">
              <w:t>field</w:t>
            </w:r>
            <w:r w:rsidRPr="00BB1E65">
              <w:t xml:space="preserve">, </w:t>
            </w:r>
            <w:r w:rsidR="00583569" w:rsidRPr="00BB1E65">
              <w:t xml:space="preserve">list the </w:t>
            </w:r>
          </w:p>
          <w:p w14:paraId="5371D16A" w14:textId="77777777" w:rsidR="00FA2D56" w:rsidRPr="00BB1E65" w:rsidRDefault="00FA2D56" w:rsidP="00661A60">
            <w:pPr>
              <w:pStyle w:val="ListParagraph"/>
              <w:numPr>
                <w:ilvl w:val="0"/>
                <w:numId w:val="78"/>
              </w:numPr>
              <w:ind w:left="346" w:hanging="187"/>
            </w:pPr>
            <w:r w:rsidRPr="00BB1E65">
              <w:t>tab name</w:t>
            </w:r>
          </w:p>
          <w:p w14:paraId="4EE5F4DF" w14:textId="77777777" w:rsidR="00FA2D56" w:rsidRPr="00BB1E65" w:rsidRDefault="00FA2D56" w:rsidP="00661A60">
            <w:pPr>
              <w:pStyle w:val="ListParagraph"/>
              <w:numPr>
                <w:ilvl w:val="0"/>
                <w:numId w:val="78"/>
              </w:numPr>
              <w:ind w:left="346" w:hanging="187"/>
            </w:pPr>
            <w:r w:rsidRPr="00BB1E65">
              <w:t>relevant contentions,</w:t>
            </w:r>
            <w:r w:rsidR="00583569" w:rsidRPr="00BB1E65">
              <w:t xml:space="preserve"> and </w:t>
            </w:r>
          </w:p>
          <w:p w14:paraId="2D53295B" w14:textId="66CF0427" w:rsidR="002825BC" w:rsidRPr="00BB1E65" w:rsidRDefault="00583569" w:rsidP="00661A60">
            <w:pPr>
              <w:pStyle w:val="ListParagraph"/>
              <w:numPr>
                <w:ilvl w:val="0"/>
                <w:numId w:val="78"/>
              </w:numPr>
              <w:ind w:left="346" w:hanging="187"/>
            </w:pPr>
            <w:r w:rsidRPr="00BB1E65">
              <w:t>page</w:t>
            </w:r>
            <w:r w:rsidR="00FA2D56" w:rsidRPr="00BB1E65">
              <w:t xml:space="preserve"> number</w:t>
            </w:r>
            <w:r w:rsidRPr="00BB1E65">
              <w:t xml:space="preserve">s where treatment can be found in the document. </w:t>
            </w:r>
          </w:p>
          <w:p w14:paraId="333FC29D" w14:textId="77777777" w:rsidR="00583569" w:rsidRPr="00BB1E65" w:rsidRDefault="00583569" w:rsidP="002825BC">
            <w:pPr>
              <w:autoSpaceDE w:val="0"/>
              <w:autoSpaceDN w:val="0"/>
              <w:adjustRightInd w:val="0"/>
              <w:spacing w:line="276" w:lineRule="auto"/>
            </w:pPr>
          </w:p>
          <w:p w14:paraId="28BFA827" w14:textId="34B81EE1" w:rsidR="002825BC" w:rsidRPr="00BB1E65" w:rsidRDefault="006A33FC" w:rsidP="006A33FC">
            <w:pPr>
              <w:autoSpaceDE w:val="0"/>
              <w:autoSpaceDN w:val="0"/>
              <w:adjustRightInd w:val="0"/>
              <w:spacing w:line="276" w:lineRule="auto"/>
            </w:pPr>
            <w:r w:rsidRPr="00BB1E65">
              <w:rPr>
                <w:noProof/>
                <w:color w:val="1F497D"/>
              </w:rPr>
              <w:drawing>
                <wp:inline distT="0" distB="0" distL="0" distR="0" wp14:anchorId="4E062BA9" wp14:editId="6298BA6B">
                  <wp:extent cx="3466465" cy="2392045"/>
                  <wp:effectExtent l="0" t="0" r="635" b="8255"/>
                  <wp:docPr id="5" name="Picture 5" descr="cid:image001.png@01D0C620.A0C51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C620.A0C51CB0"/>
                          <pic:cNvPicPr>
                            <a:picLocks noChangeAspect="1" noChangeArrowheads="1"/>
                          </pic:cNvPicPr>
                        </pic:nvPicPr>
                        <pic:blipFill>
                          <a:blip r:embed="rId94" r:link="rId95">
                            <a:extLst>
                              <a:ext uri="{28A0092B-C50C-407E-A947-70E740481C1C}">
                                <a14:useLocalDpi xmlns:a14="http://schemas.microsoft.com/office/drawing/2010/main" val="0"/>
                              </a:ext>
                            </a:extLst>
                          </a:blip>
                          <a:srcRect/>
                          <a:stretch>
                            <a:fillRect/>
                          </a:stretch>
                        </pic:blipFill>
                        <pic:spPr bwMode="auto">
                          <a:xfrm>
                            <a:off x="0" y="0"/>
                            <a:ext cx="3466465" cy="2392045"/>
                          </a:xfrm>
                          <a:prstGeom prst="rect">
                            <a:avLst/>
                          </a:prstGeom>
                          <a:noFill/>
                          <a:ln>
                            <a:noFill/>
                          </a:ln>
                        </pic:spPr>
                      </pic:pic>
                    </a:graphicData>
                  </a:graphic>
                </wp:inline>
              </w:drawing>
            </w:r>
          </w:p>
        </w:tc>
      </w:tr>
      <w:tr w:rsidR="0072631F" w:rsidRPr="00BB1E65" w14:paraId="2CC4786E" w14:textId="77777777" w:rsidTr="0059712B">
        <w:tc>
          <w:tcPr>
            <w:tcW w:w="1080" w:type="dxa"/>
          </w:tcPr>
          <w:p w14:paraId="0532B9C0" w14:textId="507BA00E" w:rsidR="0072631F" w:rsidRPr="00BB1E65" w:rsidRDefault="00CE2AC8" w:rsidP="0059712B">
            <w:pPr>
              <w:jc w:val="center"/>
            </w:pPr>
            <w:r w:rsidRPr="00BB1E65">
              <w:t>6</w:t>
            </w:r>
          </w:p>
        </w:tc>
        <w:tc>
          <w:tcPr>
            <w:tcW w:w="6570" w:type="dxa"/>
          </w:tcPr>
          <w:p w14:paraId="4B8E5BA1" w14:textId="341076F9" w:rsidR="0072631F" w:rsidRPr="00BB1E65" w:rsidRDefault="0072631F" w:rsidP="0072631F">
            <w:pPr>
              <w:autoSpaceDE w:val="0"/>
              <w:autoSpaceDN w:val="0"/>
              <w:adjustRightInd w:val="0"/>
              <w:spacing w:line="276" w:lineRule="auto"/>
            </w:pPr>
            <w:r w:rsidRPr="00BB1E65">
              <w:t xml:space="preserve">Click the SAVE button in the toolbar. </w:t>
            </w:r>
          </w:p>
          <w:p w14:paraId="2F5E1DB6" w14:textId="77777777" w:rsidR="0072631F" w:rsidRPr="00BB1E65" w:rsidRDefault="0072631F" w:rsidP="0072631F">
            <w:pPr>
              <w:pStyle w:val="ListParagraph"/>
              <w:autoSpaceDE w:val="0"/>
              <w:autoSpaceDN w:val="0"/>
              <w:adjustRightInd w:val="0"/>
              <w:spacing w:line="276" w:lineRule="auto"/>
              <w:ind w:left="360"/>
            </w:pPr>
            <w:r w:rsidRPr="00BB1E65">
              <w:t xml:space="preserve">   </w:t>
            </w:r>
          </w:p>
          <w:p w14:paraId="060C9BDF" w14:textId="76B10931" w:rsidR="0072631F" w:rsidRPr="00BB1E65" w:rsidRDefault="0072631F" w:rsidP="0072631F">
            <w:pPr>
              <w:autoSpaceDE w:val="0"/>
              <w:autoSpaceDN w:val="0"/>
              <w:adjustRightInd w:val="0"/>
              <w:ind w:left="360"/>
            </w:pPr>
            <w:r w:rsidRPr="00BB1E65">
              <w:rPr>
                <w:noProof/>
              </w:rPr>
              <mc:AlternateContent>
                <mc:Choice Requires="wps">
                  <w:drawing>
                    <wp:anchor distT="0" distB="0" distL="114300" distR="114300" simplePos="0" relativeHeight="251663360" behindDoc="0" locked="0" layoutInCell="1" allowOverlap="1" wp14:anchorId="38096617" wp14:editId="5B9E4164">
                      <wp:simplePos x="0" y="0"/>
                      <wp:positionH relativeFrom="column">
                        <wp:posOffset>1245870</wp:posOffset>
                      </wp:positionH>
                      <wp:positionV relativeFrom="paragraph">
                        <wp:posOffset>123190</wp:posOffset>
                      </wp:positionV>
                      <wp:extent cx="590550" cy="92710"/>
                      <wp:effectExtent l="0" t="0" r="19050" b="21590"/>
                      <wp:wrapNone/>
                      <wp:docPr id="19" name="Left Arrow 19"/>
                      <wp:cNvGraphicFramePr/>
                      <a:graphic xmlns:a="http://schemas.openxmlformats.org/drawingml/2006/main">
                        <a:graphicData uri="http://schemas.microsoft.com/office/word/2010/wordprocessingShape">
                          <wps:wsp>
                            <wps:cNvSpPr/>
                            <wps:spPr>
                              <a:xfrm>
                                <a:off x="0" y="0"/>
                                <a:ext cx="590550" cy="92710"/>
                              </a:xfrm>
                              <a:prstGeom prst="leftArrow">
                                <a:avLst/>
                              </a:prstGeom>
                              <a:solidFill>
                                <a:srgbClr val="FF0000"/>
                              </a:solidFill>
                              <a:ln w="95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9" o:spid="_x0000_s1026" type="#_x0000_t66" style="position:absolute;margin-left:98.1pt;margin-top:9.7pt;width:46.5pt;height: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" adj="1695" fillcolor="red" strokecolor="#95b3d7 [1940]"/>
                  </w:pict>
                </mc:Fallback>
              </mc:AlternateContent>
            </w:r>
            <w:r w:rsidRPr="00BB1E65">
              <w:rPr>
                <w:noProof/>
              </w:rPr>
              <w:drawing>
                <wp:inline distT="0" distB="0" distL="0" distR="0" wp14:anchorId="613F8CA4" wp14:editId="5E035E52">
                  <wp:extent cx="1019175" cy="27622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 button.png"/>
                          <pic:cNvPicPr/>
                        </pic:nvPicPr>
                        <pic:blipFill>
                          <a:blip r:embed="rId96">
                            <a:extLst>
                              <a:ext uri="{28A0092B-C50C-407E-A947-70E740481C1C}">
                                <a14:useLocalDpi xmlns:a14="http://schemas.microsoft.com/office/drawing/2010/main" val="0"/>
                              </a:ext>
                            </a:extLst>
                          </a:blip>
                          <a:stretch>
                            <a:fillRect/>
                          </a:stretch>
                        </pic:blipFill>
                        <pic:spPr>
                          <a:xfrm>
                            <a:off x="0" y="0"/>
                            <a:ext cx="1019175" cy="276225"/>
                          </a:xfrm>
                          <a:prstGeom prst="rect">
                            <a:avLst/>
                          </a:prstGeom>
                          <a:ln>
                            <a:solidFill>
                              <a:schemeClr val="accent1"/>
                            </a:solidFill>
                          </a:ln>
                        </pic:spPr>
                      </pic:pic>
                    </a:graphicData>
                  </a:graphic>
                </wp:inline>
              </w:drawing>
            </w:r>
          </w:p>
        </w:tc>
      </w:tr>
    </w:tbl>
    <w:p w14:paraId="2839F7BA" w14:textId="72C3D642" w:rsidR="007B71CB" w:rsidRPr="00BB1E65" w:rsidRDefault="0059712B" w:rsidP="0059712B">
      <w:pPr>
        <w:tabs>
          <w:tab w:val="left" w:pos="9360"/>
        </w:tabs>
        <w:ind w:left="1714"/>
      </w:pPr>
      <w:r w:rsidRPr="00BB1E65">
        <w:rPr>
          <w:u w:val="single"/>
        </w:rPr>
        <w:tab/>
      </w:r>
    </w:p>
    <w:p w14:paraId="2B4C96C1" w14:textId="77777777" w:rsidR="0059712B" w:rsidRPr="00BB1E65" w:rsidRDefault="0059712B" w:rsidP="0059712B"/>
    <w:p w14:paraId="7EDB7028" w14:textId="165B2003" w:rsidR="00E91F31" w:rsidRPr="00BB1E65" w:rsidRDefault="00E91F31">
      <w:pPr>
        <w:rPr>
          <w:rFonts w:ascii="Arial" w:hAnsi="Arial" w:cs="Arial"/>
          <w:b/>
          <w:bCs/>
          <w:sz w:val="32"/>
          <w:szCs w:val="32"/>
        </w:rPr>
      </w:pPr>
      <w:r w:rsidRPr="00BB1E65">
        <w:br w:type="page"/>
      </w:r>
    </w:p>
    <w:p w14:paraId="12075D14" w14:textId="007234BC" w:rsidR="00135DC0" w:rsidRPr="00BB1E65" w:rsidRDefault="00135DC0">
      <w:pPr>
        <w:pStyle w:val="Heading4"/>
      </w:pPr>
      <w:bookmarkStart w:id="26" w:name="_16.__Inputting"/>
      <w:bookmarkEnd w:id="26"/>
      <w:r w:rsidRPr="00BB1E65">
        <w:lastRenderedPageBreak/>
        <w:t>1</w:t>
      </w:r>
      <w:r w:rsidR="008F3A9B" w:rsidRPr="00BB1E65">
        <w:t>6</w:t>
      </w:r>
      <w:r w:rsidRPr="00BB1E65">
        <w:t>.  Inputting Examination Requests</w:t>
      </w:r>
    </w:p>
    <w:p w14:paraId="12075D15" w14:textId="77777777" w:rsidR="00135DC0" w:rsidRPr="00BB1E65" w:rsidRDefault="00DE46D0">
      <w:pPr>
        <w:pStyle w:val="BlockLine"/>
      </w:pPr>
      <w:r w:rsidRPr="00BB1E65">
        <w:fldChar w:fldCharType="begin"/>
      </w:r>
      <w:r w:rsidR="00135DC0" w:rsidRPr="00BB1E65">
        <w:instrText xml:space="preserve"> PRIVATE INFOTYPE="OTHER" </w:instrText>
      </w:r>
      <w:r w:rsidRPr="00BB1E65">
        <w:fldChar w:fldCharType="end"/>
      </w:r>
    </w:p>
    <w:tbl>
      <w:tblPr>
        <w:tblW w:w="0" w:type="auto"/>
        <w:tblInd w:w="-106" w:type="dxa"/>
        <w:tblLayout w:type="fixed"/>
        <w:tblLook w:val="0000" w:firstRow="0" w:lastRow="0" w:firstColumn="0" w:lastColumn="0" w:noHBand="0" w:noVBand="0"/>
      </w:tblPr>
      <w:tblGrid>
        <w:gridCol w:w="1728"/>
        <w:gridCol w:w="7740"/>
      </w:tblGrid>
      <w:tr w:rsidR="00135DC0" w:rsidRPr="00BB1E65" w14:paraId="12075D1F" w14:textId="77777777">
        <w:trPr>
          <w:cantSplit/>
        </w:trPr>
        <w:tc>
          <w:tcPr>
            <w:tcW w:w="1728" w:type="dxa"/>
            <w:tcBorders>
              <w:top w:val="nil"/>
              <w:left w:val="nil"/>
              <w:bottom w:val="nil"/>
              <w:right w:val="nil"/>
            </w:tcBorders>
          </w:tcPr>
          <w:p w14:paraId="12075D16" w14:textId="77777777" w:rsidR="00135DC0" w:rsidRPr="00BB1E65" w:rsidRDefault="00135DC0">
            <w:pPr>
              <w:pStyle w:val="Heading5"/>
            </w:pPr>
            <w:r w:rsidRPr="00BB1E65">
              <w:t>Introduction</w:t>
            </w:r>
          </w:p>
        </w:tc>
        <w:tc>
          <w:tcPr>
            <w:tcW w:w="7740" w:type="dxa"/>
            <w:tcBorders>
              <w:top w:val="nil"/>
              <w:left w:val="nil"/>
              <w:bottom w:val="nil"/>
              <w:right w:val="nil"/>
            </w:tcBorders>
          </w:tcPr>
          <w:p w14:paraId="12075D17" w14:textId="77777777" w:rsidR="00135DC0" w:rsidRPr="00BB1E65" w:rsidRDefault="00135DC0">
            <w:pPr>
              <w:pStyle w:val="BlockText"/>
            </w:pPr>
            <w:r w:rsidRPr="00BB1E65">
              <w:t>This topic contains information about inputting examination requests, including</w:t>
            </w:r>
          </w:p>
          <w:p w14:paraId="12075D18" w14:textId="77777777" w:rsidR="00135DC0" w:rsidRPr="00BB1E65" w:rsidRDefault="00135DC0">
            <w:pPr>
              <w:pStyle w:val="BlockText"/>
            </w:pPr>
          </w:p>
          <w:p w14:paraId="01A4EC54" w14:textId="19D6A85B" w:rsidR="00D95D23" w:rsidRPr="00BB1E65" w:rsidRDefault="00D95D23" w:rsidP="00661A60">
            <w:pPr>
              <w:pStyle w:val="ListParagraph"/>
              <w:numPr>
                <w:ilvl w:val="0"/>
                <w:numId w:val="19"/>
              </w:numPr>
              <w:ind w:left="158" w:hanging="187"/>
            </w:pPr>
            <w:r w:rsidRPr="00BB1E65">
              <w:t>steps to requesting an examination</w:t>
            </w:r>
            <w:r w:rsidR="006A273F" w:rsidRPr="00BB1E65">
              <w:t>, and</w:t>
            </w:r>
          </w:p>
          <w:p w14:paraId="12075D1E" w14:textId="01D97EDB" w:rsidR="00135DC0" w:rsidRPr="00BB1E65" w:rsidRDefault="007F1E13" w:rsidP="005C4C57">
            <w:pPr>
              <w:pStyle w:val="BulletText1"/>
            </w:pPr>
            <w:r w:rsidRPr="00BB1E65">
              <w:t>c</w:t>
            </w:r>
            <w:r w:rsidR="00D1016F" w:rsidRPr="00BB1E65">
              <w:t>ompleting a CAPRI examination request</w:t>
            </w:r>
            <w:r w:rsidR="006A273F" w:rsidRPr="00BB1E65">
              <w:t>.</w:t>
            </w:r>
          </w:p>
        </w:tc>
      </w:tr>
    </w:tbl>
    <w:p w14:paraId="12075D20" w14:textId="77777777" w:rsidR="00135DC0" w:rsidRPr="00BB1E65" w:rsidRDefault="00135DC0">
      <w:pPr>
        <w:pStyle w:val="BlockLine"/>
      </w:pPr>
    </w:p>
    <w:tbl>
      <w:tblPr>
        <w:tblW w:w="0" w:type="auto"/>
        <w:tblInd w:w="-106" w:type="dxa"/>
        <w:tblLayout w:type="fixed"/>
        <w:tblLook w:val="0000" w:firstRow="0" w:lastRow="0" w:firstColumn="0" w:lastColumn="0" w:noHBand="0" w:noVBand="0"/>
      </w:tblPr>
      <w:tblGrid>
        <w:gridCol w:w="1728"/>
        <w:gridCol w:w="7740"/>
      </w:tblGrid>
      <w:tr w:rsidR="00135DC0" w:rsidRPr="00BB1E65" w14:paraId="12075D23" w14:textId="77777777">
        <w:trPr>
          <w:cantSplit/>
        </w:trPr>
        <w:tc>
          <w:tcPr>
            <w:tcW w:w="1728" w:type="dxa"/>
            <w:tcBorders>
              <w:top w:val="nil"/>
              <w:left w:val="nil"/>
              <w:bottom w:val="nil"/>
              <w:right w:val="nil"/>
            </w:tcBorders>
          </w:tcPr>
          <w:p w14:paraId="12075D21" w14:textId="77777777" w:rsidR="00135DC0" w:rsidRPr="00BB1E65" w:rsidRDefault="00135DC0">
            <w:pPr>
              <w:pStyle w:val="Heading5"/>
            </w:pPr>
            <w:r w:rsidRPr="00BB1E65">
              <w:t>Change Date</w:t>
            </w:r>
          </w:p>
        </w:tc>
        <w:tc>
          <w:tcPr>
            <w:tcW w:w="7740" w:type="dxa"/>
            <w:tcBorders>
              <w:top w:val="nil"/>
              <w:left w:val="nil"/>
              <w:bottom w:val="nil"/>
              <w:right w:val="nil"/>
            </w:tcBorders>
          </w:tcPr>
          <w:p w14:paraId="12075D22" w14:textId="0FE4372E" w:rsidR="00135DC0" w:rsidRPr="00BB1E65" w:rsidRDefault="001B4549" w:rsidP="00D1016F">
            <w:pPr>
              <w:pStyle w:val="BlockText"/>
            </w:pPr>
            <w:r w:rsidRPr="00BB1E65">
              <w:t>October 9, 2015</w:t>
            </w:r>
          </w:p>
        </w:tc>
      </w:tr>
    </w:tbl>
    <w:p w14:paraId="6A83D14B" w14:textId="5B442A0A" w:rsidR="004D2C1A" w:rsidRPr="00BB1E65" w:rsidRDefault="004D2C1A" w:rsidP="004D2C1A">
      <w:pPr>
        <w:tabs>
          <w:tab w:val="left" w:pos="9360"/>
        </w:tabs>
        <w:ind w:left="1714"/>
      </w:pPr>
      <w:r w:rsidRPr="00BB1E65">
        <w:rPr>
          <w:u w:val="single"/>
        </w:rPr>
        <w:tab/>
      </w:r>
    </w:p>
    <w:p w14:paraId="0B457191" w14:textId="77777777" w:rsidR="004D2C1A" w:rsidRPr="00BB1E65" w:rsidRDefault="004D2C1A" w:rsidP="004561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830"/>
      </w:tblGrid>
      <w:tr w:rsidR="00EA3B33" w:rsidRPr="00BB1E65" w14:paraId="626FB2B5" w14:textId="77777777" w:rsidTr="00DC494C">
        <w:tc>
          <w:tcPr>
            <w:tcW w:w="1638" w:type="dxa"/>
            <w:shd w:val="clear" w:color="auto" w:fill="auto"/>
          </w:tcPr>
          <w:p w14:paraId="2E9C94F2" w14:textId="1ACAD98D" w:rsidR="00EA3B33" w:rsidRPr="00BB1E65" w:rsidRDefault="00D95D23" w:rsidP="00DC494C">
            <w:pPr>
              <w:pStyle w:val="Heading5"/>
            </w:pPr>
            <w:r w:rsidRPr="00BB1E65">
              <w:t xml:space="preserve">a. </w:t>
            </w:r>
            <w:r w:rsidR="00AE782F" w:rsidRPr="00BB1E65">
              <w:t xml:space="preserve"> </w:t>
            </w:r>
            <w:r w:rsidR="00EA3B33" w:rsidRPr="00BB1E65">
              <w:t>Steps</w:t>
            </w:r>
            <w:r w:rsidR="005C77B4" w:rsidRPr="00BB1E65">
              <w:t xml:space="preserve"> </w:t>
            </w:r>
            <w:r w:rsidR="00EA3B33" w:rsidRPr="00BB1E65">
              <w:t>to Requesting an Exam</w:t>
            </w:r>
          </w:p>
        </w:tc>
        <w:tc>
          <w:tcPr>
            <w:tcW w:w="7830" w:type="dxa"/>
            <w:shd w:val="clear" w:color="auto" w:fill="auto"/>
          </w:tcPr>
          <w:p w14:paraId="480AD3E4" w14:textId="1146C84C" w:rsidR="00FB1F1D" w:rsidRPr="00BB1E65" w:rsidRDefault="004E3DE6" w:rsidP="004E3DE6">
            <w:r w:rsidRPr="00BB1E65">
              <w:t>Follow the</w:t>
            </w:r>
            <w:r w:rsidR="00AE6A48" w:rsidRPr="00BB1E65">
              <w:t xml:space="preserve"> steps </w:t>
            </w:r>
            <w:r w:rsidRPr="00BB1E65">
              <w:t>below when</w:t>
            </w:r>
            <w:r w:rsidR="00AE6A48" w:rsidRPr="00BB1E65">
              <w:t xml:space="preserve"> inputting an exam request.</w:t>
            </w:r>
          </w:p>
        </w:tc>
      </w:tr>
    </w:tbl>
    <w:p w14:paraId="544FB88E" w14:textId="0222826C" w:rsidR="00EA3B33" w:rsidRPr="00BB1E65" w:rsidRDefault="00EA3B33" w:rsidP="004D2C1A"/>
    <w:tbl>
      <w:tblPr>
        <w:tblStyle w:val="TableGrid"/>
        <w:tblW w:w="7830" w:type="dxa"/>
        <w:tblInd w:w="1638" w:type="dxa"/>
        <w:tblLook w:val="04A0" w:firstRow="1" w:lastRow="0" w:firstColumn="1" w:lastColumn="0" w:noHBand="0" w:noVBand="1"/>
      </w:tblPr>
      <w:tblGrid>
        <w:gridCol w:w="720"/>
        <w:gridCol w:w="7110"/>
      </w:tblGrid>
      <w:tr w:rsidR="004D2C1A" w:rsidRPr="00BB1E65" w14:paraId="26ED7A26" w14:textId="77777777" w:rsidTr="00657639">
        <w:tc>
          <w:tcPr>
            <w:tcW w:w="720" w:type="dxa"/>
          </w:tcPr>
          <w:p w14:paraId="64CB6428" w14:textId="642CBD7F" w:rsidR="004D2C1A" w:rsidRPr="00BB1E65" w:rsidRDefault="004D2C1A" w:rsidP="0045615C">
            <w:pPr>
              <w:jc w:val="center"/>
              <w:rPr>
                <w:b/>
              </w:rPr>
            </w:pPr>
            <w:r w:rsidRPr="00BB1E65">
              <w:rPr>
                <w:b/>
              </w:rPr>
              <w:t>Step</w:t>
            </w:r>
          </w:p>
        </w:tc>
        <w:tc>
          <w:tcPr>
            <w:tcW w:w="7110" w:type="dxa"/>
          </w:tcPr>
          <w:p w14:paraId="69CE35A9" w14:textId="236E9757" w:rsidR="004D2C1A" w:rsidRPr="00BB1E65" w:rsidRDefault="004D2C1A" w:rsidP="0045615C">
            <w:pPr>
              <w:jc w:val="center"/>
              <w:rPr>
                <w:b/>
              </w:rPr>
            </w:pPr>
            <w:r w:rsidRPr="00BB1E65">
              <w:rPr>
                <w:b/>
              </w:rPr>
              <w:t>Action</w:t>
            </w:r>
          </w:p>
        </w:tc>
      </w:tr>
      <w:tr w:rsidR="004D2C1A" w:rsidRPr="00BB1E65" w14:paraId="4EC91303" w14:textId="77777777" w:rsidTr="00657639">
        <w:tc>
          <w:tcPr>
            <w:tcW w:w="720" w:type="dxa"/>
            <w:vAlign w:val="center"/>
          </w:tcPr>
          <w:p w14:paraId="7F73D0E7" w14:textId="11862FEE" w:rsidR="004D2C1A" w:rsidRPr="00BB1E65" w:rsidRDefault="005C77B4" w:rsidP="0045615C">
            <w:pPr>
              <w:jc w:val="center"/>
            </w:pPr>
            <w:r w:rsidRPr="00BB1E65">
              <w:t>1</w:t>
            </w:r>
          </w:p>
        </w:tc>
        <w:tc>
          <w:tcPr>
            <w:tcW w:w="7110" w:type="dxa"/>
          </w:tcPr>
          <w:p w14:paraId="19222A9A" w14:textId="05637E17" w:rsidR="005C77B4" w:rsidRPr="00BB1E65" w:rsidRDefault="00B92BC2" w:rsidP="003E02C0">
            <w:r w:rsidRPr="00BB1E65">
              <w:t>Prior to requesting an examination, e</w:t>
            </w:r>
            <w:r w:rsidR="00657639" w:rsidRPr="00BB1E65">
              <w:t xml:space="preserve">nsure all </w:t>
            </w:r>
            <w:r w:rsidRPr="00BB1E65">
              <w:t xml:space="preserve">required </w:t>
            </w:r>
            <w:r w:rsidR="00261968" w:rsidRPr="00BB1E65">
              <w:t xml:space="preserve">development actions </w:t>
            </w:r>
            <w:r w:rsidRPr="00BB1E65">
              <w:t>are completed</w:t>
            </w:r>
            <w:r w:rsidR="00261968" w:rsidRPr="00BB1E65">
              <w:t>.</w:t>
            </w:r>
          </w:p>
        </w:tc>
      </w:tr>
      <w:tr w:rsidR="004D2C1A" w:rsidRPr="00BB1E65" w14:paraId="69A2E4A9" w14:textId="77777777" w:rsidTr="00657639">
        <w:tc>
          <w:tcPr>
            <w:tcW w:w="720" w:type="dxa"/>
          </w:tcPr>
          <w:p w14:paraId="12EB355B" w14:textId="6ABB0327" w:rsidR="004D2C1A" w:rsidRPr="00BB1E65" w:rsidRDefault="005C77B4" w:rsidP="0045615C">
            <w:pPr>
              <w:jc w:val="center"/>
            </w:pPr>
            <w:r w:rsidRPr="00BB1E65">
              <w:t>2</w:t>
            </w:r>
          </w:p>
        </w:tc>
        <w:tc>
          <w:tcPr>
            <w:tcW w:w="7110" w:type="dxa"/>
          </w:tcPr>
          <w:p w14:paraId="646AA0AC" w14:textId="4A814D4B" w:rsidR="004D2C1A" w:rsidRPr="00BB1E65" w:rsidRDefault="005B1B58" w:rsidP="00882D0A">
            <w:r w:rsidRPr="00BB1E65">
              <w:t>Ensure</w:t>
            </w:r>
            <w:r w:rsidR="00882D0A" w:rsidRPr="00BB1E65">
              <w:t xml:space="preserve"> the</w:t>
            </w:r>
            <w:r w:rsidR="005C77B4" w:rsidRPr="00BB1E65">
              <w:t xml:space="preserve"> evidence </w:t>
            </w:r>
            <w:r w:rsidR="00882D0A" w:rsidRPr="00BB1E65">
              <w:t xml:space="preserve">which substantiates the examination request </w:t>
            </w:r>
            <w:r w:rsidR="005C77B4" w:rsidRPr="00BB1E65">
              <w:t xml:space="preserve">meets the requirements under </w:t>
            </w:r>
            <w:hyperlink r:id="rId97" w:history="1">
              <w:r w:rsidR="00B92BC2" w:rsidRPr="00BB1E65">
                <w:rPr>
                  <w:rStyle w:val="Hyperlink"/>
                </w:rPr>
                <w:t>38 CFR 3.159(c)(4)</w:t>
              </w:r>
            </w:hyperlink>
            <w:r w:rsidR="00B92BC2" w:rsidRPr="00BB1E65">
              <w:rPr>
                <w:rStyle w:val="Hyperlink"/>
                <w:color w:val="auto"/>
                <w:u w:val="none"/>
              </w:rPr>
              <w:t>.</w:t>
            </w:r>
          </w:p>
        </w:tc>
      </w:tr>
      <w:tr w:rsidR="00C96E68" w:rsidRPr="00BB1E65" w14:paraId="47FD898B" w14:textId="77777777" w:rsidTr="00657639">
        <w:tc>
          <w:tcPr>
            <w:tcW w:w="720" w:type="dxa"/>
          </w:tcPr>
          <w:p w14:paraId="5AE3E836" w14:textId="6B2A80F3" w:rsidR="00C96E68" w:rsidRPr="00BB1E65" w:rsidRDefault="00C96E68" w:rsidP="004E7157">
            <w:pPr>
              <w:jc w:val="center"/>
            </w:pPr>
            <w:r w:rsidRPr="00BB1E65">
              <w:t>3</w:t>
            </w:r>
          </w:p>
        </w:tc>
        <w:tc>
          <w:tcPr>
            <w:tcW w:w="7110" w:type="dxa"/>
          </w:tcPr>
          <w:p w14:paraId="476B0222" w14:textId="77777777" w:rsidR="00C96E68" w:rsidRPr="00BB1E65" w:rsidRDefault="00C96E68" w:rsidP="004E7157">
            <w:r w:rsidRPr="00BB1E65">
              <w:t>Identify the appropriate examination facility</w:t>
            </w:r>
            <w:r w:rsidR="00B92BC2" w:rsidRPr="00BB1E65">
              <w:t>.</w:t>
            </w:r>
          </w:p>
          <w:p w14:paraId="5D7F1BFF" w14:textId="77777777" w:rsidR="00B92BC2" w:rsidRPr="00BB1E65" w:rsidRDefault="00B92BC2" w:rsidP="004E7157"/>
          <w:p w14:paraId="74504F42" w14:textId="4125AC37" w:rsidR="00C96E68" w:rsidRPr="00BB1E65" w:rsidRDefault="00C96E68" w:rsidP="00096EF2">
            <w:r w:rsidRPr="00BB1E65">
              <w:rPr>
                <w:b/>
                <w:i/>
              </w:rPr>
              <w:t>Reference</w:t>
            </w:r>
            <w:r w:rsidRPr="00BB1E65">
              <w:t xml:space="preserve">: </w:t>
            </w:r>
            <w:r w:rsidR="00B92BC2" w:rsidRPr="00BB1E65">
              <w:t xml:space="preserve"> For more information on appropriate exam facilities, see </w:t>
            </w:r>
            <w:r w:rsidRPr="00BB1E65">
              <w:t>M21-1 Part III, Subpart iv, 3.A.</w:t>
            </w:r>
            <w:r w:rsidR="00096EF2" w:rsidRPr="00BB1E65">
              <w:t>1.b</w:t>
            </w:r>
            <w:r w:rsidR="00B92BC2" w:rsidRPr="00BB1E65">
              <w:t>.</w:t>
            </w:r>
          </w:p>
        </w:tc>
      </w:tr>
      <w:tr w:rsidR="0075786D" w:rsidRPr="00BB1E65" w14:paraId="7D17FD75" w14:textId="77777777" w:rsidTr="00657639">
        <w:tc>
          <w:tcPr>
            <w:tcW w:w="720" w:type="dxa"/>
            <w:vAlign w:val="center"/>
          </w:tcPr>
          <w:p w14:paraId="0D665CAF" w14:textId="7061F919" w:rsidR="0075786D" w:rsidRPr="00BB1E65" w:rsidRDefault="00C96E68" w:rsidP="00674204">
            <w:pPr>
              <w:jc w:val="center"/>
            </w:pPr>
            <w:r w:rsidRPr="00BB1E65">
              <w:t>4</w:t>
            </w:r>
          </w:p>
        </w:tc>
        <w:tc>
          <w:tcPr>
            <w:tcW w:w="7110" w:type="dxa"/>
          </w:tcPr>
          <w:p w14:paraId="103E9C5F" w14:textId="0A421F16" w:rsidR="0075786D" w:rsidRPr="00BB1E65" w:rsidRDefault="0075786D" w:rsidP="004D2C1A">
            <w:r w:rsidRPr="00BB1E65">
              <w:t>Identify all appropriate DBQs and/or medical opinions for all claimed contentions when an examination is warranted.</w:t>
            </w:r>
          </w:p>
          <w:p w14:paraId="6E5C002F" w14:textId="77777777" w:rsidR="00B92BC2" w:rsidRPr="00BB1E65" w:rsidRDefault="00B92BC2" w:rsidP="004D2C1A"/>
          <w:p w14:paraId="2AFE693C" w14:textId="78572400" w:rsidR="0075786D" w:rsidRPr="00BB1E65" w:rsidRDefault="002B3DF1" w:rsidP="00B92BC2">
            <w:r w:rsidRPr="00BB1E65">
              <w:rPr>
                <w:b/>
                <w:i/>
              </w:rPr>
              <w:t>Reference</w:t>
            </w:r>
            <w:r w:rsidR="0075786D" w:rsidRPr="00BB1E65">
              <w:t xml:space="preserve">: </w:t>
            </w:r>
            <w:r w:rsidR="00B92BC2" w:rsidRPr="00BB1E65">
              <w:t xml:space="preserve"> For more information on DBQs, see t</w:t>
            </w:r>
            <w:r w:rsidR="0075786D" w:rsidRPr="00BB1E65">
              <w:t xml:space="preserve">he </w:t>
            </w:r>
            <w:hyperlink r:id="rId98" w:history="1">
              <w:r w:rsidR="0075786D" w:rsidRPr="00BB1E65">
                <w:rPr>
                  <w:rStyle w:val="Hyperlink"/>
                </w:rPr>
                <w:t xml:space="preserve">Index of DBQ/Exams by Disability </w:t>
              </w:r>
              <w:r w:rsidR="00B92BC2" w:rsidRPr="00BB1E65">
                <w:rPr>
                  <w:rStyle w:val="Hyperlink"/>
                </w:rPr>
                <w:t>t</w:t>
              </w:r>
              <w:r w:rsidR="0075786D" w:rsidRPr="00BB1E65">
                <w:rPr>
                  <w:rStyle w:val="Hyperlink"/>
                </w:rPr>
                <w:t>ool</w:t>
              </w:r>
            </w:hyperlink>
            <w:r w:rsidR="00B92BC2" w:rsidRPr="00BB1E65">
              <w:rPr>
                <w:rStyle w:val="Hyperlink"/>
                <w:color w:val="auto"/>
                <w:u w:val="none"/>
              </w:rPr>
              <w:t>.</w:t>
            </w:r>
            <w:r w:rsidR="0075786D" w:rsidRPr="00BB1E65">
              <w:t xml:space="preserve"> </w:t>
            </w:r>
          </w:p>
        </w:tc>
      </w:tr>
      <w:tr w:rsidR="004D2C1A" w:rsidRPr="00BB1E65" w14:paraId="3498C790" w14:textId="77777777" w:rsidTr="00657639">
        <w:tc>
          <w:tcPr>
            <w:tcW w:w="720" w:type="dxa"/>
            <w:vAlign w:val="center"/>
          </w:tcPr>
          <w:p w14:paraId="292B231A" w14:textId="325D9556" w:rsidR="004D2C1A" w:rsidRPr="00BB1E65" w:rsidRDefault="00C96E68" w:rsidP="0045615C">
            <w:pPr>
              <w:jc w:val="center"/>
            </w:pPr>
            <w:r w:rsidRPr="00BB1E65">
              <w:t>5</w:t>
            </w:r>
          </w:p>
        </w:tc>
        <w:tc>
          <w:tcPr>
            <w:tcW w:w="7110" w:type="dxa"/>
          </w:tcPr>
          <w:p w14:paraId="73DB9137" w14:textId="4306D04F" w:rsidR="004D2C1A" w:rsidRPr="00BB1E65" w:rsidRDefault="008065E7" w:rsidP="004D2C1A">
            <w:r w:rsidRPr="00BB1E65">
              <w:t>Identify the e</w:t>
            </w:r>
            <w:r w:rsidR="005C77B4" w:rsidRPr="00BB1E65">
              <w:t xml:space="preserve">xams which require a </w:t>
            </w:r>
            <w:r w:rsidR="00D3307B" w:rsidRPr="00BB1E65">
              <w:t>claims folder</w:t>
            </w:r>
            <w:r w:rsidR="005C77B4" w:rsidRPr="00BB1E65">
              <w:t xml:space="preserve"> review by the examiner.</w:t>
            </w:r>
          </w:p>
          <w:p w14:paraId="4CB1F5E0" w14:textId="77777777" w:rsidR="00B92BC2" w:rsidRPr="00BB1E65" w:rsidRDefault="00B92BC2" w:rsidP="004D2C1A"/>
          <w:p w14:paraId="76EE7203" w14:textId="07B0A464" w:rsidR="008C2B3A" w:rsidRPr="00BB1E65" w:rsidRDefault="002B3DF1" w:rsidP="00B92BC2">
            <w:r w:rsidRPr="00BB1E65">
              <w:rPr>
                <w:b/>
                <w:i/>
              </w:rPr>
              <w:t>Reference</w:t>
            </w:r>
            <w:r w:rsidRPr="00BB1E65">
              <w:t>:</w:t>
            </w:r>
            <w:r w:rsidR="003950CE" w:rsidRPr="00BB1E65">
              <w:t xml:space="preserve"> </w:t>
            </w:r>
            <w:r w:rsidR="00B92BC2" w:rsidRPr="00BB1E65">
              <w:t xml:space="preserve"> For more information on claims folder review, see </w:t>
            </w:r>
            <w:r w:rsidR="003950CE" w:rsidRPr="00BB1E65">
              <w:t>M21-1 Part III, Subpart iv, 3.A.15.</w:t>
            </w:r>
          </w:p>
        </w:tc>
      </w:tr>
      <w:tr w:rsidR="008065E7" w:rsidRPr="00BB1E65" w14:paraId="036CF591" w14:textId="77777777" w:rsidTr="00657639">
        <w:tc>
          <w:tcPr>
            <w:tcW w:w="720" w:type="dxa"/>
            <w:vAlign w:val="center"/>
          </w:tcPr>
          <w:p w14:paraId="4531D211" w14:textId="74EF91A1" w:rsidR="008065E7" w:rsidRPr="00BB1E65" w:rsidRDefault="00C96E68" w:rsidP="00674204">
            <w:pPr>
              <w:jc w:val="center"/>
            </w:pPr>
            <w:r w:rsidRPr="00BB1E65">
              <w:t>6</w:t>
            </w:r>
          </w:p>
        </w:tc>
        <w:tc>
          <w:tcPr>
            <w:tcW w:w="7110" w:type="dxa"/>
          </w:tcPr>
          <w:p w14:paraId="2B20CB29" w14:textId="1A84A8C1" w:rsidR="003E02C0" w:rsidRPr="00BB1E65" w:rsidRDefault="00E77396" w:rsidP="00B92BC2">
            <w:r w:rsidRPr="00BB1E65">
              <w:t>If folder review is required</w:t>
            </w:r>
          </w:p>
          <w:p w14:paraId="47AA0644" w14:textId="77777777" w:rsidR="003E02C0" w:rsidRPr="00BB1E65" w:rsidRDefault="003E02C0" w:rsidP="00B92BC2"/>
          <w:p w14:paraId="72C77FCA" w14:textId="6E4AB573" w:rsidR="003E02C0" w:rsidRPr="00BB1E65" w:rsidRDefault="00E77396" w:rsidP="00661A60">
            <w:pPr>
              <w:pStyle w:val="ListParagraph"/>
              <w:numPr>
                <w:ilvl w:val="0"/>
                <w:numId w:val="75"/>
              </w:numPr>
              <w:ind w:left="158" w:hanging="187"/>
            </w:pPr>
            <w:r w:rsidRPr="00BB1E65">
              <w:t xml:space="preserve">ensure </w:t>
            </w:r>
            <w:r w:rsidR="00882D0A" w:rsidRPr="00BB1E65">
              <w:t>all perti</w:t>
            </w:r>
            <w:r w:rsidR="008065E7" w:rsidRPr="00BB1E65">
              <w:t xml:space="preserve">nent records </w:t>
            </w:r>
            <w:r w:rsidR="00806067" w:rsidRPr="00BB1E65">
              <w:t xml:space="preserve">are </w:t>
            </w:r>
            <w:r w:rsidR="008065E7" w:rsidRPr="00BB1E65">
              <w:t>uploaded into VBMS</w:t>
            </w:r>
            <w:r w:rsidR="002B3DF1" w:rsidRPr="00BB1E65">
              <w:t>, Virtual VA</w:t>
            </w:r>
            <w:r w:rsidR="008065E7" w:rsidRPr="00BB1E65">
              <w:t xml:space="preserve"> or in the paper </w:t>
            </w:r>
            <w:r w:rsidR="00D3307B" w:rsidRPr="00BB1E65">
              <w:t>claims folder</w:t>
            </w:r>
            <w:r w:rsidR="003E02C0" w:rsidRPr="00BB1E65">
              <w:t>, and</w:t>
            </w:r>
          </w:p>
          <w:p w14:paraId="1CAF21AA" w14:textId="79807425" w:rsidR="003E02C0" w:rsidRPr="00BB1E65" w:rsidRDefault="003E02C0" w:rsidP="00661A60">
            <w:pPr>
              <w:pStyle w:val="ListParagraph"/>
              <w:numPr>
                <w:ilvl w:val="0"/>
                <w:numId w:val="75"/>
              </w:numPr>
              <w:ind w:left="158" w:hanging="187"/>
            </w:pPr>
            <w:r w:rsidRPr="00BB1E65">
              <w:t xml:space="preserve">all relevant records are </w:t>
            </w:r>
          </w:p>
          <w:p w14:paraId="78194B33" w14:textId="17950D86" w:rsidR="003E02C0" w:rsidRPr="00BB1E65" w:rsidRDefault="003E02C0" w:rsidP="00661A60">
            <w:pPr>
              <w:pStyle w:val="ListParagraph"/>
              <w:numPr>
                <w:ilvl w:val="0"/>
                <w:numId w:val="76"/>
              </w:numPr>
              <w:ind w:left="346" w:hanging="187"/>
            </w:pPr>
            <w:r w:rsidRPr="00BB1E65">
              <w:t>annotated or bookmarked in the eFolder, or</w:t>
            </w:r>
          </w:p>
          <w:p w14:paraId="4C3483C7" w14:textId="047CFF4C" w:rsidR="008065E7" w:rsidRPr="00BB1E65" w:rsidRDefault="003E02C0" w:rsidP="00661A60">
            <w:pPr>
              <w:pStyle w:val="ListParagraph"/>
              <w:numPr>
                <w:ilvl w:val="0"/>
                <w:numId w:val="76"/>
              </w:numPr>
              <w:ind w:left="346" w:hanging="187"/>
            </w:pPr>
            <w:r w:rsidRPr="00BB1E65">
              <w:t xml:space="preserve">tabbed </w:t>
            </w:r>
            <w:r w:rsidR="00E77396" w:rsidRPr="00BB1E65">
              <w:t xml:space="preserve">in </w:t>
            </w:r>
            <w:r w:rsidRPr="00BB1E65">
              <w:t>the paper claims folder</w:t>
            </w:r>
            <w:r w:rsidR="00B70D89" w:rsidRPr="00BB1E65">
              <w:t>.</w:t>
            </w:r>
          </w:p>
          <w:p w14:paraId="13826A90" w14:textId="77777777" w:rsidR="003E02C0" w:rsidRPr="00BB1E65" w:rsidRDefault="003E02C0" w:rsidP="003E02C0"/>
          <w:p w14:paraId="2354B33D" w14:textId="7B2D91BF" w:rsidR="003E02C0" w:rsidRPr="00BB1E65" w:rsidRDefault="003E02C0" w:rsidP="003E02C0">
            <w:r w:rsidRPr="00BB1E65">
              <w:rPr>
                <w:b/>
                <w:i/>
              </w:rPr>
              <w:t>Reference</w:t>
            </w:r>
            <w:r w:rsidRPr="00BB1E65">
              <w:t>:  For more information on bookmarking and annotating records, see M21-1, Part III, Subpart iv, 3.A.15.e and f.</w:t>
            </w:r>
          </w:p>
        </w:tc>
      </w:tr>
      <w:tr w:rsidR="00B70D89" w:rsidRPr="00BB1E65" w14:paraId="3EAA8BF1" w14:textId="77777777" w:rsidTr="00657639">
        <w:tc>
          <w:tcPr>
            <w:tcW w:w="720" w:type="dxa"/>
          </w:tcPr>
          <w:p w14:paraId="178341E1" w14:textId="3BA52981" w:rsidR="00B70D89" w:rsidRPr="00BB1E65" w:rsidRDefault="003E02C0" w:rsidP="004D2C1A">
            <w:pPr>
              <w:jc w:val="center"/>
            </w:pPr>
            <w:r w:rsidRPr="00BB1E65">
              <w:t>7</w:t>
            </w:r>
          </w:p>
        </w:tc>
        <w:tc>
          <w:tcPr>
            <w:tcW w:w="7110" w:type="dxa"/>
          </w:tcPr>
          <w:p w14:paraId="38DFBE43" w14:textId="5D4C95EB" w:rsidR="00B70D89" w:rsidRPr="00BB1E65" w:rsidRDefault="00096EF2" w:rsidP="00CA1389">
            <w:pPr>
              <w:pStyle w:val="ListParagraph"/>
              <w:numPr>
                <w:ilvl w:val="0"/>
                <w:numId w:val="101"/>
              </w:numPr>
              <w:ind w:left="158" w:hanging="187"/>
            </w:pPr>
            <w:r w:rsidRPr="00BB1E65">
              <w:t>If requesting an exam in CAPRI</w:t>
            </w:r>
            <w:r w:rsidR="00114585" w:rsidRPr="00BB1E65">
              <w:t>,</w:t>
            </w:r>
            <w:r w:rsidRPr="00BB1E65">
              <w:t xml:space="preserve"> u</w:t>
            </w:r>
            <w:r w:rsidR="00B92BC2" w:rsidRPr="00BB1E65">
              <w:t xml:space="preserve">se </w:t>
            </w:r>
            <w:r w:rsidR="002B3DF1" w:rsidRPr="00BB1E65">
              <w:t xml:space="preserve">the ERB tool to </w:t>
            </w:r>
            <w:r w:rsidR="00B92BC2" w:rsidRPr="00BB1E65">
              <w:t xml:space="preserve">generate standardized text for </w:t>
            </w:r>
            <w:r w:rsidR="002B3DF1" w:rsidRPr="00BB1E65">
              <w:t>the exam request.</w:t>
            </w:r>
          </w:p>
          <w:p w14:paraId="34BABF6D" w14:textId="3296BCCC" w:rsidR="00A46F00" w:rsidRPr="00BB1E65" w:rsidRDefault="00096EF2" w:rsidP="00CA1389">
            <w:pPr>
              <w:pStyle w:val="ListParagraph"/>
              <w:numPr>
                <w:ilvl w:val="0"/>
                <w:numId w:val="87"/>
              </w:numPr>
              <w:ind w:left="158" w:hanging="187"/>
            </w:pPr>
            <w:r w:rsidRPr="00BB1E65">
              <w:t xml:space="preserve">If requesting an exam in CAATS, use </w:t>
            </w:r>
            <w:r w:rsidR="00A46F00" w:rsidRPr="00BB1E65">
              <w:t xml:space="preserve">either the ERB tool or </w:t>
            </w:r>
            <w:r w:rsidRPr="00BB1E65">
              <w:t xml:space="preserve">the </w:t>
            </w:r>
            <w:r w:rsidRPr="00BB1E65">
              <w:lastRenderedPageBreak/>
              <w:t>embedded templates to generate the exam request language.</w:t>
            </w:r>
          </w:p>
          <w:p w14:paraId="7B4E8A91" w14:textId="77777777" w:rsidR="00A46F00" w:rsidRPr="00BB1E65" w:rsidRDefault="00A46F00" w:rsidP="00096EF2">
            <w:pPr>
              <w:ind w:left="-29"/>
            </w:pPr>
          </w:p>
          <w:p w14:paraId="2183218B" w14:textId="5E202D57" w:rsidR="00417305" w:rsidRPr="00BB1E65" w:rsidRDefault="00C96E68" w:rsidP="003C7362">
            <w:r w:rsidRPr="00BB1E65">
              <w:rPr>
                <w:b/>
                <w:i/>
              </w:rPr>
              <w:t>Reference</w:t>
            </w:r>
            <w:r w:rsidRPr="00BB1E65">
              <w:t xml:space="preserve">: </w:t>
            </w:r>
            <w:r w:rsidR="00B92BC2" w:rsidRPr="00BB1E65">
              <w:t xml:space="preserve"> For more information on </w:t>
            </w:r>
            <w:r w:rsidR="00A46F00" w:rsidRPr="00BB1E65">
              <w:t xml:space="preserve">when use of </w:t>
            </w:r>
            <w:r w:rsidR="00B92BC2" w:rsidRPr="00BB1E65">
              <w:t>the ERB tool</w:t>
            </w:r>
            <w:r w:rsidR="00A46F00" w:rsidRPr="00BB1E65">
              <w:t xml:space="preserve"> is required</w:t>
            </w:r>
            <w:r w:rsidR="00B92BC2" w:rsidRPr="00BB1E65">
              <w:t xml:space="preserve">, see </w:t>
            </w:r>
            <w:r w:rsidRPr="00BB1E65">
              <w:t>M21-1 Part III, Subpart iv, 3.A.2.</w:t>
            </w:r>
            <w:r w:rsidR="00096EF2" w:rsidRPr="00BB1E65">
              <w:t>d</w:t>
            </w:r>
            <w:r w:rsidR="00417305" w:rsidRPr="00BB1E65">
              <w:t>.</w:t>
            </w:r>
          </w:p>
        </w:tc>
      </w:tr>
      <w:tr w:rsidR="004E70B4" w:rsidRPr="00BB1E65" w14:paraId="03FBB321" w14:textId="179E1AE0" w:rsidTr="00657639">
        <w:tc>
          <w:tcPr>
            <w:tcW w:w="720" w:type="dxa"/>
          </w:tcPr>
          <w:p w14:paraId="48A718D9" w14:textId="08FEF858" w:rsidR="004E70B4" w:rsidRPr="00BB1E65" w:rsidRDefault="003E02C0" w:rsidP="004D2C1A">
            <w:pPr>
              <w:jc w:val="center"/>
            </w:pPr>
            <w:r w:rsidRPr="00BB1E65">
              <w:lastRenderedPageBreak/>
              <w:t>8</w:t>
            </w:r>
          </w:p>
        </w:tc>
        <w:tc>
          <w:tcPr>
            <w:tcW w:w="7110" w:type="dxa"/>
          </w:tcPr>
          <w:p w14:paraId="3C8AD06A" w14:textId="4F80D621" w:rsidR="00114585" w:rsidRPr="00BB1E65" w:rsidRDefault="00114585" w:rsidP="00CA1389">
            <w:pPr>
              <w:pStyle w:val="ListParagraph"/>
              <w:numPr>
                <w:ilvl w:val="0"/>
                <w:numId w:val="102"/>
              </w:numPr>
              <w:ind w:left="158" w:hanging="187"/>
            </w:pPr>
            <w:r w:rsidRPr="00BB1E65">
              <w:t xml:space="preserve">If using the ERB tool, </w:t>
            </w:r>
          </w:p>
          <w:p w14:paraId="6C20DA40" w14:textId="13783BB3" w:rsidR="00114585" w:rsidRPr="00BB1E65" w:rsidRDefault="00114585" w:rsidP="00CA1389">
            <w:pPr>
              <w:pStyle w:val="ListParagraph"/>
              <w:numPr>
                <w:ilvl w:val="0"/>
                <w:numId w:val="104"/>
              </w:numPr>
              <w:ind w:left="346" w:hanging="187"/>
            </w:pPr>
            <w:r w:rsidRPr="00BB1E65">
              <w:t>p</w:t>
            </w:r>
            <w:r w:rsidR="004E70B4" w:rsidRPr="00BB1E65">
              <w:t>aste the ERB-generated text into the COMMENTS field in either CAPRI or CAATS</w:t>
            </w:r>
            <w:r w:rsidRPr="00BB1E65">
              <w:t>, and</w:t>
            </w:r>
          </w:p>
          <w:p w14:paraId="1CA1C42D" w14:textId="1A468E17" w:rsidR="004E70B4" w:rsidRPr="00BB1E65" w:rsidRDefault="00114585" w:rsidP="00CA1389">
            <w:pPr>
              <w:pStyle w:val="ListParagraph"/>
              <w:numPr>
                <w:ilvl w:val="0"/>
                <w:numId w:val="105"/>
              </w:numPr>
              <w:ind w:left="346" w:hanging="187"/>
            </w:pPr>
            <w:r w:rsidRPr="00BB1E65">
              <w:t>proceed to the next step</w:t>
            </w:r>
            <w:r w:rsidR="004E70B4" w:rsidRPr="00BB1E65">
              <w:t>.</w:t>
            </w:r>
          </w:p>
          <w:p w14:paraId="4D7105E3" w14:textId="1C54F517" w:rsidR="00114585" w:rsidRPr="00BB1E65" w:rsidRDefault="00114585" w:rsidP="00CA1389">
            <w:pPr>
              <w:pStyle w:val="ListParagraph"/>
              <w:numPr>
                <w:ilvl w:val="0"/>
                <w:numId w:val="103"/>
              </w:numPr>
              <w:ind w:left="158" w:hanging="187"/>
            </w:pPr>
            <w:r w:rsidRPr="00BB1E65">
              <w:t>If using CAATS to generate the exam request language, proceed to the next step.</w:t>
            </w:r>
          </w:p>
        </w:tc>
      </w:tr>
      <w:tr w:rsidR="00E77396" w:rsidRPr="00BB1E65" w14:paraId="6060A9B1" w14:textId="77777777" w:rsidTr="00657639">
        <w:tc>
          <w:tcPr>
            <w:tcW w:w="720" w:type="dxa"/>
          </w:tcPr>
          <w:p w14:paraId="682E4EEE" w14:textId="024B4628" w:rsidR="00E77396" w:rsidRPr="00BB1E65" w:rsidRDefault="00E77396" w:rsidP="004D2C1A">
            <w:pPr>
              <w:jc w:val="center"/>
            </w:pPr>
            <w:r w:rsidRPr="00BB1E65">
              <w:t>9</w:t>
            </w:r>
          </w:p>
        </w:tc>
        <w:tc>
          <w:tcPr>
            <w:tcW w:w="7110" w:type="dxa"/>
          </w:tcPr>
          <w:p w14:paraId="5396EF21" w14:textId="142446B0" w:rsidR="00E77396" w:rsidRPr="00BB1E65" w:rsidRDefault="00E77396" w:rsidP="004E70B4">
            <w:r w:rsidRPr="00BB1E65">
              <w:t xml:space="preserve">Complete all other required </w:t>
            </w:r>
            <w:r w:rsidR="005E5491" w:rsidRPr="00BB1E65">
              <w:t>entries</w:t>
            </w:r>
            <w:r w:rsidRPr="00BB1E65">
              <w:t xml:space="preserve"> in either CAPRI or CAATS.</w:t>
            </w:r>
          </w:p>
        </w:tc>
      </w:tr>
      <w:tr w:rsidR="00B70D89" w:rsidRPr="00BB1E65" w14:paraId="5BBC81F8" w14:textId="77777777" w:rsidTr="00657639">
        <w:tc>
          <w:tcPr>
            <w:tcW w:w="720" w:type="dxa"/>
          </w:tcPr>
          <w:p w14:paraId="72CB0F38" w14:textId="1CCF14FF" w:rsidR="00B70D89" w:rsidRPr="00BB1E65" w:rsidRDefault="00E77396" w:rsidP="003E3ED1">
            <w:pPr>
              <w:jc w:val="center"/>
            </w:pPr>
            <w:r w:rsidRPr="00BB1E65">
              <w:t>10</w:t>
            </w:r>
          </w:p>
        </w:tc>
        <w:tc>
          <w:tcPr>
            <w:tcW w:w="7110" w:type="dxa"/>
          </w:tcPr>
          <w:p w14:paraId="1DABDAF6" w14:textId="77777777" w:rsidR="004E70B4" w:rsidRPr="00BB1E65" w:rsidRDefault="004E70B4" w:rsidP="004E70B4">
            <w:r w:rsidRPr="00BB1E65">
              <w:t>Is there an eFolder?</w:t>
            </w:r>
          </w:p>
          <w:p w14:paraId="2BECCD6F" w14:textId="77777777" w:rsidR="004E70B4" w:rsidRPr="00BB1E65" w:rsidRDefault="004E70B4" w:rsidP="004E70B4"/>
          <w:p w14:paraId="52C98CF9" w14:textId="77777777" w:rsidR="004E70B4" w:rsidRPr="00BB1E65" w:rsidRDefault="004E70B4" w:rsidP="00661A60">
            <w:pPr>
              <w:pStyle w:val="ListParagraph"/>
              <w:numPr>
                <w:ilvl w:val="0"/>
                <w:numId w:val="63"/>
              </w:numPr>
              <w:ind w:left="158" w:hanging="187"/>
            </w:pPr>
            <w:r w:rsidRPr="00BB1E65">
              <w:t xml:space="preserve">If </w:t>
            </w:r>
            <w:r w:rsidRPr="00BB1E65">
              <w:rPr>
                <w:i/>
              </w:rPr>
              <w:t>yes</w:t>
            </w:r>
            <w:r w:rsidRPr="00BB1E65">
              <w:t xml:space="preserve">, </w:t>
            </w:r>
          </w:p>
          <w:p w14:paraId="35B735CA" w14:textId="77777777" w:rsidR="004E70B4" w:rsidRPr="00BB1E65" w:rsidRDefault="004E70B4" w:rsidP="00661A60">
            <w:pPr>
              <w:pStyle w:val="ListParagraph"/>
              <w:numPr>
                <w:ilvl w:val="0"/>
                <w:numId w:val="65"/>
              </w:numPr>
              <w:ind w:left="346" w:hanging="187"/>
            </w:pPr>
            <w:r w:rsidRPr="00BB1E65">
              <w:t>u</w:t>
            </w:r>
            <w:r w:rsidR="003950CE" w:rsidRPr="00BB1E65">
              <w:t>pload the exam request into the eFolder</w:t>
            </w:r>
            <w:r w:rsidRPr="00BB1E65">
              <w:t>,</w:t>
            </w:r>
            <w:r w:rsidR="003950CE" w:rsidRPr="00BB1E65">
              <w:t xml:space="preserve"> and </w:t>
            </w:r>
          </w:p>
          <w:p w14:paraId="0938804C" w14:textId="31B7B947" w:rsidR="004E70B4" w:rsidRPr="00BB1E65" w:rsidRDefault="003950CE" w:rsidP="00661A60">
            <w:pPr>
              <w:pStyle w:val="ListParagraph"/>
              <w:numPr>
                <w:ilvl w:val="0"/>
                <w:numId w:val="65"/>
              </w:numPr>
              <w:ind w:left="346" w:hanging="187"/>
              <w:rPr>
                <w:i/>
              </w:rPr>
            </w:pPr>
            <w:r w:rsidRPr="00BB1E65">
              <w:t xml:space="preserve">in the CATEGORY-TYPE field enter </w:t>
            </w:r>
            <w:r w:rsidRPr="00BB1E65">
              <w:rPr>
                <w:i/>
              </w:rPr>
              <w:t xml:space="preserve">Medical Records – VAX &amp; AMIE- Request </w:t>
            </w:r>
            <w:r w:rsidR="005E5491" w:rsidRPr="00BB1E65">
              <w:rPr>
                <w:i/>
              </w:rPr>
              <w:t>Worksheets: VA</w:t>
            </w:r>
            <w:r w:rsidRPr="00BB1E65">
              <w:rPr>
                <w:i/>
              </w:rPr>
              <w:t xml:space="preserve"> 21-2507a Request for Physical Examination. </w:t>
            </w:r>
          </w:p>
          <w:p w14:paraId="61251D3A" w14:textId="5DB3B8E8" w:rsidR="004E70B4" w:rsidRPr="00BB1E65" w:rsidRDefault="004E70B4" w:rsidP="00661A60">
            <w:pPr>
              <w:pStyle w:val="ListParagraph"/>
              <w:numPr>
                <w:ilvl w:val="0"/>
                <w:numId w:val="63"/>
              </w:numPr>
              <w:ind w:left="158" w:hanging="187"/>
            </w:pPr>
            <w:r w:rsidRPr="00BB1E65">
              <w:t xml:space="preserve">If </w:t>
            </w:r>
            <w:r w:rsidRPr="00BB1E65">
              <w:rPr>
                <w:i/>
              </w:rPr>
              <w:t>no</w:t>
            </w:r>
            <w:r w:rsidRPr="00BB1E65">
              <w:t>,</w:t>
            </w:r>
          </w:p>
          <w:p w14:paraId="20164582" w14:textId="4709CABE" w:rsidR="004E70B4" w:rsidRPr="00BB1E65" w:rsidRDefault="004E70B4" w:rsidP="00661A60">
            <w:pPr>
              <w:pStyle w:val="ListParagraph"/>
              <w:numPr>
                <w:ilvl w:val="0"/>
                <w:numId w:val="64"/>
              </w:numPr>
              <w:ind w:left="346" w:hanging="187"/>
            </w:pPr>
            <w:r w:rsidRPr="00BB1E65">
              <w:t xml:space="preserve">print the examination request, and </w:t>
            </w:r>
          </w:p>
          <w:p w14:paraId="7313DAC4" w14:textId="0696F462" w:rsidR="00B70D89" w:rsidRPr="00BB1E65" w:rsidRDefault="004E70B4" w:rsidP="00661A60">
            <w:pPr>
              <w:pStyle w:val="ListParagraph"/>
              <w:numPr>
                <w:ilvl w:val="0"/>
                <w:numId w:val="64"/>
              </w:numPr>
              <w:ind w:left="346" w:hanging="187"/>
            </w:pPr>
            <w:r w:rsidRPr="00BB1E65">
              <w:t xml:space="preserve">reverse file it in the center portion of the paper claims </w:t>
            </w:r>
            <w:r w:rsidR="004F230A" w:rsidRPr="00BB1E65">
              <w:t xml:space="preserve">folder </w:t>
            </w:r>
            <w:r w:rsidRPr="00BB1E65">
              <w:t>pending receipt of the completed examination report.</w:t>
            </w:r>
          </w:p>
        </w:tc>
      </w:tr>
      <w:tr w:rsidR="003950CE" w:rsidRPr="00BB1E65" w14:paraId="5DFED260" w14:textId="77777777" w:rsidTr="00657639">
        <w:tc>
          <w:tcPr>
            <w:tcW w:w="720" w:type="dxa"/>
          </w:tcPr>
          <w:p w14:paraId="3FE1A840" w14:textId="4F653169" w:rsidR="003950CE" w:rsidRPr="00BB1E65" w:rsidRDefault="00E77396" w:rsidP="00417305">
            <w:pPr>
              <w:jc w:val="center"/>
            </w:pPr>
            <w:r w:rsidRPr="00BB1E65">
              <w:t>11</w:t>
            </w:r>
          </w:p>
        </w:tc>
        <w:tc>
          <w:tcPr>
            <w:tcW w:w="7110" w:type="dxa"/>
          </w:tcPr>
          <w:p w14:paraId="1FFF83D2" w14:textId="239EBBB3" w:rsidR="003950CE" w:rsidRPr="00BB1E65" w:rsidRDefault="00E77396" w:rsidP="004E70B4">
            <w:r w:rsidRPr="00BB1E65">
              <w:t>Create</w:t>
            </w:r>
            <w:r w:rsidR="004E70B4" w:rsidRPr="00BB1E65">
              <w:t xml:space="preserve"> </w:t>
            </w:r>
            <w:r w:rsidRPr="00BB1E65">
              <w:t xml:space="preserve">a </w:t>
            </w:r>
            <w:r w:rsidR="004E70B4" w:rsidRPr="00BB1E65">
              <w:t xml:space="preserve">tracked item for </w:t>
            </w:r>
            <w:r w:rsidRPr="00BB1E65">
              <w:t>exam</w:t>
            </w:r>
            <w:r w:rsidR="004E70B4" w:rsidRPr="00BB1E65">
              <w:t xml:space="preserve"> examination request</w:t>
            </w:r>
            <w:r w:rsidRPr="00BB1E65">
              <w:t>ed</w:t>
            </w:r>
            <w:r w:rsidR="00D95D23" w:rsidRPr="00BB1E65">
              <w:t>.</w:t>
            </w:r>
          </w:p>
          <w:p w14:paraId="2870DEDD" w14:textId="77777777" w:rsidR="004E70B4" w:rsidRPr="00BB1E65" w:rsidRDefault="004E70B4" w:rsidP="004E70B4"/>
          <w:p w14:paraId="4FCC365F" w14:textId="77777777" w:rsidR="004E70B4" w:rsidRPr="00BB1E65" w:rsidRDefault="004E70B4" w:rsidP="004E70B4">
            <w:r w:rsidRPr="00BB1E65">
              <w:rPr>
                <w:b/>
                <w:i/>
              </w:rPr>
              <w:t>Reference</w:t>
            </w:r>
            <w:r w:rsidRPr="00BB1E65">
              <w:t>:  For more information on tracked items, see</w:t>
            </w:r>
          </w:p>
          <w:p w14:paraId="6086DE6B" w14:textId="42707554" w:rsidR="004E70B4" w:rsidRPr="00BB1E65" w:rsidRDefault="00BB1E65" w:rsidP="00661A60">
            <w:pPr>
              <w:pStyle w:val="ListParagraph"/>
              <w:numPr>
                <w:ilvl w:val="0"/>
                <w:numId w:val="66"/>
              </w:numPr>
              <w:ind w:left="158" w:hanging="187"/>
            </w:pPr>
            <w:hyperlink r:id="rId99" w:history="1">
              <w:r w:rsidR="004E70B4" w:rsidRPr="00BB1E65">
                <w:rPr>
                  <w:rStyle w:val="Hyperlink"/>
                  <w:i/>
                </w:rPr>
                <w:t>VBMS User Guide</w:t>
              </w:r>
            </w:hyperlink>
            <w:r w:rsidR="004E70B4" w:rsidRPr="00BB1E65">
              <w:t>, and</w:t>
            </w:r>
          </w:p>
          <w:p w14:paraId="4F006A67" w14:textId="1AC71C15" w:rsidR="004E70B4" w:rsidRPr="00BB1E65" w:rsidRDefault="00BB1E65" w:rsidP="00661A60">
            <w:pPr>
              <w:pStyle w:val="ListParagraph"/>
              <w:numPr>
                <w:ilvl w:val="0"/>
                <w:numId w:val="66"/>
              </w:numPr>
              <w:ind w:left="158" w:hanging="187"/>
            </w:pPr>
            <w:hyperlink r:id="rId100" w:history="1">
              <w:r w:rsidR="00417305" w:rsidRPr="00BB1E65">
                <w:rPr>
                  <w:rStyle w:val="Hyperlink"/>
                  <w:i/>
                </w:rPr>
                <w:t>MAP-D User Guide</w:t>
              </w:r>
            </w:hyperlink>
            <w:r w:rsidR="004E70B4" w:rsidRPr="00BB1E65">
              <w:t>.</w:t>
            </w:r>
          </w:p>
        </w:tc>
      </w:tr>
    </w:tbl>
    <w:p w14:paraId="12075D40" w14:textId="1AAACA41" w:rsidR="00135DC0" w:rsidRPr="00BB1E65" w:rsidRDefault="00135DC0">
      <w:pPr>
        <w:pStyle w:val="BlockLine"/>
      </w:pPr>
    </w:p>
    <w:tbl>
      <w:tblPr>
        <w:tblW w:w="0" w:type="auto"/>
        <w:tblInd w:w="-106" w:type="dxa"/>
        <w:tblLayout w:type="fixed"/>
        <w:tblLook w:val="0000" w:firstRow="0" w:lastRow="0" w:firstColumn="0" w:lastColumn="0" w:noHBand="0" w:noVBand="0"/>
      </w:tblPr>
      <w:tblGrid>
        <w:gridCol w:w="1728"/>
        <w:gridCol w:w="7740"/>
      </w:tblGrid>
      <w:tr w:rsidR="00135DC0" w:rsidRPr="00BB1E65" w14:paraId="12075D56" w14:textId="77777777" w:rsidTr="00DC494C">
        <w:tc>
          <w:tcPr>
            <w:tcW w:w="1728" w:type="dxa"/>
            <w:tcBorders>
              <w:top w:val="nil"/>
              <w:left w:val="nil"/>
              <w:bottom w:val="nil"/>
              <w:right w:val="nil"/>
            </w:tcBorders>
          </w:tcPr>
          <w:p w14:paraId="12075D41" w14:textId="251DEC31" w:rsidR="00135DC0" w:rsidRPr="00BB1E65" w:rsidRDefault="005C4C57">
            <w:pPr>
              <w:pStyle w:val="Heading5"/>
            </w:pPr>
            <w:r w:rsidRPr="00BB1E65">
              <w:t>b</w:t>
            </w:r>
            <w:r w:rsidR="00D1016F" w:rsidRPr="00BB1E65">
              <w:t xml:space="preserve">. </w:t>
            </w:r>
            <w:r w:rsidR="00EF315F" w:rsidRPr="00BB1E65">
              <w:t xml:space="preserve"> </w:t>
            </w:r>
            <w:r w:rsidR="00D1016F" w:rsidRPr="00BB1E65">
              <w:t>Completing a CAPRI Examination Request</w:t>
            </w:r>
          </w:p>
        </w:tc>
        <w:tc>
          <w:tcPr>
            <w:tcW w:w="7740" w:type="dxa"/>
            <w:tcBorders>
              <w:top w:val="nil"/>
              <w:left w:val="nil"/>
              <w:bottom w:val="nil"/>
              <w:right w:val="nil"/>
            </w:tcBorders>
          </w:tcPr>
          <w:p w14:paraId="0ED0DC48" w14:textId="1B938ED5" w:rsidR="00116556" w:rsidRPr="00BB1E65" w:rsidRDefault="002C43D6" w:rsidP="00D1016F">
            <w:pPr>
              <w:pStyle w:val="BlockText"/>
            </w:pPr>
            <w:r w:rsidRPr="00BB1E65">
              <w:t>After utilizing the ERB to create the exam, f</w:t>
            </w:r>
            <w:r w:rsidR="00D1016F" w:rsidRPr="00BB1E65">
              <w:t>ully complete all fields on the examination request screen</w:t>
            </w:r>
            <w:r w:rsidRPr="00BB1E65">
              <w:t xml:space="preserve"> in CAPRI</w:t>
            </w:r>
            <w:r w:rsidR="005C5241" w:rsidRPr="00BB1E65">
              <w:t>, being sure to address the following</w:t>
            </w:r>
            <w:r w:rsidR="00E77396" w:rsidRPr="00BB1E65">
              <w:t>.</w:t>
            </w:r>
            <w:r w:rsidR="00D1016F" w:rsidRPr="00BB1E65">
              <w:t xml:space="preserve"> </w:t>
            </w:r>
          </w:p>
          <w:p w14:paraId="12075D42" w14:textId="07FADFB5" w:rsidR="00D1016F" w:rsidRPr="00BB1E65" w:rsidRDefault="00D1016F" w:rsidP="00D1016F">
            <w:pPr>
              <w:pStyle w:val="BlockText"/>
            </w:pPr>
          </w:p>
          <w:p w14:paraId="12075D45" w14:textId="3E64D64E" w:rsidR="00D1016F" w:rsidRPr="00BB1E65" w:rsidRDefault="00D1016F" w:rsidP="00661A60">
            <w:pPr>
              <w:pStyle w:val="ListParagraph"/>
              <w:numPr>
                <w:ilvl w:val="0"/>
                <w:numId w:val="20"/>
              </w:numPr>
              <w:ind w:left="158" w:hanging="187"/>
            </w:pPr>
            <w:r w:rsidRPr="00BB1E65">
              <w:t xml:space="preserve">The examination location </w:t>
            </w:r>
            <w:r w:rsidR="00D82AE7" w:rsidRPr="00BB1E65">
              <w:t>selected should be the appropriate facility identified using the guidance in</w:t>
            </w:r>
            <w:r w:rsidRPr="00BB1E65">
              <w:t xml:space="preserve"> </w:t>
            </w:r>
            <w:r w:rsidR="00C96E68" w:rsidRPr="00BB1E65">
              <w:t>M21-1, Part III, Subpart iv, 3.A.2.a</w:t>
            </w:r>
            <w:r w:rsidR="00A0278E" w:rsidRPr="00BB1E65">
              <w:t>.</w:t>
            </w:r>
          </w:p>
          <w:p w14:paraId="12075D48" w14:textId="5FDB2CC8" w:rsidR="00D1016F" w:rsidRPr="00BB1E65" w:rsidRDefault="00D1016F" w:rsidP="00661A60">
            <w:pPr>
              <w:pStyle w:val="ListParagraph"/>
              <w:numPr>
                <w:ilvl w:val="0"/>
                <w:numId w:val="20"/>
              </w:numPr>
              <w:ind w:left="158" w:hanging="187"/>
            </w:pPr>
            <w:r w:rsidRPr="00BB1E65">
              <w:t xml:space="preserve">Under </w:t>
            </w:r>
            <w:r w:rsidR="00A0278E" w:rsidRPr="00BB1E65">
              <w:t>LIST OF EXAMS</w:t>
            </w:r>
            <w:r w:rsidRPr="00BB1E65">
              <w:t xml:space="preserve">, </w:t>
            </w:r>
            <w:r w:rsidR="000620EE" w:rsidRPr="00BB1E65">
              <w:t xml:space="preserve">select all appropriate DBQs. </w:t>
            </w:r>
            <w:r w:rsidR="00184146" w:rsidRPr="00BB1E65">
              <w:t xml:space="preserve"> </w:t>
            </w:r>
            <w:r w:rsidR="000620EE" w:rsidRPr="00BB1E65">
              <w:t>D</w:t>
            </w:r>
            <w:r w:rsidRPr="00BB1E65">
              <w:t xml:space="preserve">o not check </w:t>
            </w:r>
            <w:r w:rsidR="000620EE" w:rsidRPr="00BB1E65">
              <w:t>DBQs for</w:t>
            </w:r>
            <w:r w:rsidRPr="00BB1E65">
              <w:t xml:space="preserve"> specific body systems if requesting a general medical examination.</w:t>
            </w:r>
          </w:p>
          <w:p w14:paraId="06431206" w14:textId="3A840C9C" w:rsidR="00A0278E" w:rsidRPr="00BB1E65" w:rsidRDefault="00A0278E" w:rsidP="00661A60">
            <w:pPr>
              <w:pStyle w:val="ListParagraph"/>
              <w:numPr>
                <w:ilvl w:val="0"/>
                <w:numId w:val="20"/>
              </w:numPr>
              <w:ind w:left="158" w:hanging="187"/>
            </w:pPr>
            <w:r w:rsidRPr="00BB1E65">
              <w:t>Under the CLAIM TYPE field, select the relevant claim type.  Only one selection can be made.</w:t>
            </w:r>
          </w:p>
          <w:p w14:paraId="6A0F1EA8" w14:textId="2C58FE36" w:rsidR="00A0278E" w:rsidRPr="00BB1E65" w:rsidRDefault="002A3C23" w:rsidP="00661A60">
            <w:pPr>
              <w:pStyle w:val="ListParagraph"/>
              <w:numPr>
                <w:ilvl w:val="0"/>
                <w:numId w:val="67"/>
              </w:numPr>
              <w:ind w:left="158" w:hanging="187"/>
            </w:pPr>
            <w:r w:rsidRPr="00BB1E65">
              <w:t>Under</w:t>
            </w:r>
            <w:r w:rsidR="00A0278E" w:rsidRPr="00BB1E65">
              <w:t xml:space="preserve"> </w:t>
            </w:r>
            <w:r w:rsidRPr="00BB1E65">
              <w:t xml:space="preserve">the </w:t>
            </w:r>
            <w:r w:rsidR="00A0278E" w:rsidRPr="00BB1E65">
              <w:t xml:space="preserve">SPECIAL CONSIDERATIONS field </w:t>
            </w:r>
            <w:r w:rsidRPr="00BB1E65">
              <w:t>select any priority processing reason(s) that applies</w:t>
            </w:r>
          </w:p>
          <w:p w14:paraId="69133CF9" w14:textId="77777777" w:rsidR="002A3C23" w:rsidRPr="00BB1E65" w:rsidRDefault="002A3C23" w:rsidP="00661A60">
            <w:pPr>
              <w:pStyle w:val="ListParagraph"/>
              <w:numPr>
                <w:ilvl w:val="0"/>
                <w:numId w:val="68"/>
              </w:numPr>
              <w:ind w:left="346" w:hanging="187"/>
            </w:pPr>
            <w:r w:rsidRPr="00BB1E65">
              <w:t>AGE OF CLAIM</w:t>
            </w:r>
          </w:p>
          <w:p w14:paraId="40A282E3" w14:textId="77777777" w:rsidR="002A3C23" w:rsidRPr="00BB1E65" w:rsidRDefault="002A3C23" w:rsidP="00661A60">
            <w:pPr>
              <w:pStyle w:val="ListParagraph"/>
              <w:numPr>
                <w:ilvl w:val="0"/>
                <w:numId w:val="68"/>
              </w:numPr>
              <w:ind w:left="346" w:hanging="187"/>
            </w:pPr>
            <w:r w:rsidRPr="00BB1E65">
              <w:t>FDC</w:t>
            </w:r>
          </w:p>
          <w:p w14:paraId="127ABAEF" w14:textId="77777777" w:rsidR="002A3C23" w:rsidRPr="00BB1E65" w:rsidRDefault="002A3C23" w:rsidP="00661A60">
            <w:pPr>
              <w:pStyle w:val="ListParagraph"/>
              <w:numPr>
                <w:ilvl w:val="0"/>
                <w:numId w:val="68"/>
              </w:numPr>
              <w:ind w:left="346" w:hanging="187"/>
            </w:pPr>
            <w:r w:rsidRPr="00BB1E65">
              <w:t>HOMELESS</w:t>
            </w:r>
          </w:p>
          <w:p w14:paraId="7FB360DF" w14:textId="77777777" w:rsidR="002A3C23" w:rsidRPr="00BB1E65" w:rsidRDefault="002A3C23" w:rsidP="00661A60">
            <w:pPr>
              <w:pStyle w:val="ListParagraph"/>
              <w:numPr>
                <w:ilvl w:val="0"/>
                <w:numId w:val="68"/>
              </w:numPr>
              <w:ind w:left="346" w:hanging="187"/>
            </w:pPr>
            <w:r w:rsidRPr="00BB1E65">
              <w:t>NOT APPLICABLE</w:t>
            </w:r>
          </w:p>
          <w:p w14:paraId="70A28410" w14:textId="77777777" w:rsidR="002A3C23" w:rsidRPr="00BB1E65" w:rsidRDefault="002A3C23" w:rsidP="00661A60">
            <w:pPr>
              <w:pStyle w:val="ListParagraph"/>
              <w:numPr>
                <w:ilvl w:val="0"/>
                <w:numId w:val="68"/>
              </w:numPr>
              <w:ind w:left="346" w:hanging="187"/>
            </w:pPr>
            <w:r w:rsidRPr="00BB1E65">
              <w:t>POW, and/or</w:t>
            </w:r>
          </w:p>
          <w:p w14:paraId="48B3C325" w14:textId="1F52E327" w:rsidR="00A0278E" w:rsidRPr="00BB1E65" w:rsidRDefault="002A3C23" w:rsidP="00661A60">
            <w:pPr>
              <w:pStyle w:val="ListParagraph"/>
              <w:numPr>
                <w:ilvl w:val="0"/>
                <w:numId w:val="68"/>
              </w:numPr>
              <w:ind w:left="346" w:hanging="187"/>
            </w:pPr>
            <w:r w:rsidRPr="00BB1E65">
              <w:t>TERMINAL.</w:t>
            </w:r>
          </w:p>
          <w:p w14:paraId="12075D49" w14:textId="6F265CEA" w:rsidR="00D1016F" w:rsidRPr="00BB1E65" w:rsidRDefault="00D1016F" w:rsidP="00661A60">
            <w:pPr>
              <w:pStyle w:val="ListParagraph"/>
              <w:numPr>
                <w:ilvl w:val="0"/>
                <w:numId w:val="20"/>
              </w:numPr>
              <w:ind w:left="158" w:hanging="187"/>
            </w:pPr>
            <w:r w:rsidRPr="00BB1E65">
              <w:t xml:space="preserve">For </w:t>
            </w:r>
            <w:r w:rsidR="00A0278E" w:rsidRPr="00BB1E65">
              <w:t xml:space="preserve">LAST RATING EXAM DATE field </w:t>
            </w:r>
            <w:r w:rsidRPr="00BB1E65">
              <w:t xml:space="preserve">the default entry is </w:t>
            </w:r>
            <w:r w:rsidRPr="00BB1E65">
              <w:rPr>
                <w:i/>
              </w:rPr>
              <w:t>N/A</w:t>
            </w:r>
            <w:r w:rsidRPr="00BB1E65">
              <w:t xml:space="preserve">. </w:t>
            </w:r>
            <w:r w:rsidR="00BB6808" w:rsidRPr="00BB1E65">
              <w:t xml:space="preserve"> </w:t>
            </w:r>
            <w:r w:rsidRPr="00BB1E65">
              <w:t xml:space="preserve">However where there was a prior examination pertinent to the examination being </w:t>
            </w:r>
            <w:r w:rsidRPr="00BB1E65">
              <w:lastRenderedPageBreak/>
              <w:t xml:space="preserve">entered, delete </w:t>
            </w:r>
            <w:r w:rsidRPr="00BB1E65">
              <w:rPr>
                <w:i/>
              </w:rPr>
              <w:t>N/A</w:t>
            </w:r>
            <w:r w:rsidRPr="00BB1E65">
              <w:t xml:space="preserve"> and enter the date of the pertinent prior examination.</w:t>
            </w:r>
          </w:p>
          <w:p w14:paraId="12075D4A" w14:textId="151689EA" w:rsidR="00D1016F" w:rsidRPr="00BB1E65" w:rsidRDefault="00D1016F" w:rsidP="00661A60">
            <w:pPr>
              <w:pStyle w:val="ListParagraph"/>
              <w:numPr>
                <w:ilvl w:val="0"/>
                <w:numId w:val="21"/>
              </w:numPr>
              <w:ind w:left="158" w:hanging="187"/>
            </w:pPr>
            <w:r w:rsidRPr="00BB1E65">
              <w:t xml:space="preserve">In </w:t>
            </w:r>
            <w:r w:rsidR="00116556" w:rsidRPr="00BB1E65">
              <w:t>REMARKS</w:t>
            </w:r>
          </w:p>
          <w:p w14:paraId="258861FC" w14:textId="7EDE05B8" w:rsidR="000620EE" w:rsidRPr="00BB1E65" w:rsidRDefault="000620EE" w:rsidP="00661A60">
            <w:pPr>
              <w:pStyle w:val="ListParagraph"/>
              <w:numPr>
                <w:ilvl w:val="0"/>
                <w:numId w:val="23"/>
              </w:numPr>
              <w:ind w:left="346" w:hanging="187"/>
            </w:pPr>
            <w:r w:rsidRPr="00BB1E65">
              <w:t xml:space="preserve">transfer all </w:t>
            </w:r>
            <w:r w:rsidR="002A3C23" w:rsidRPr="00BB1E65">
              <w:t xml:space="preserve">text </w:t>
            </w:r>
            <w:r w:rsidRPr="00BB1E65">
              <w:t xml:space="preserve">generated </w:t>
            </w:r>
            <w:r w:rsidR="00116556" w:rsidRPr="00BB1E65">
              <w:t>by the</w:t>
            </w:r>
            <w:r w:rsidRPr="00BB1E65">
              <w:t xml:space="preserve"> ERB</w:t>
            </w:r>
            <w:r w:rsidR="00116556" w:rsidRPr="00BB1E65">
              <w:t xml:space="preserve"> tool</w:t>
            </w:r>
          </w:p>
          <w:p w14:paraId="174548B0" w14:textId="066C62B2" w:rsidR="001709C7" w:rsidRPr="00BB1E65" w:rsidRDefault="001709C7" w:rsidP="00B52FCD">
            <w:pPr>
              <w:pStyle w:val="BulletText2"/>
            </w:pPr>
            <w:r w:rsidRPr="00BB1E65">
              <w:t xml:space="preserve">do not use manual, regulation, or code citations </w:t>
            </w:r>
          </w:p>
          <w:p w14:paraId="12075D4B" w14:textId="62793B62" w:rsidR="00D1016F" w:rsidRPr="00BB1E65" w:rsidRDefault="00944C11" w:rsidP="00B52FCD">
            <w:pPr>
              <w:pStyle w:val="BulletText2"/>
            </w:pPr>
            <w:r w:rsidRPr="00BB1E65">
              <w:t>i</w:t>
            </w:r>
            <w:r w:rsidR="00D1016F" w:rsidRPr="00BB1E65">
              <w:t>f the examinee is not the Veteran indicate the examinee’s relationship to the Veteran along with the Veteran’s name and VA claim number</w:t>
            </w:r>
            <w:r w:rsidR="00EE6FAB" w:rsidRPr="00BB1E65">
              <w:t>, and</w:t>
            </w:r>
          </w:p>
          <w:p w14:paraId="2B189855" w14:textId="4975FD57" w:rsidR="00446F95" w:rsidRPr="00BB1E65" w:rsidRDefault="005C5241" w:rsidP="00C5630E">
            <w:pPr>
              <w:pStyle w:val="BulletText2"/>
            </w:pPr>
            <w:proofErr w:type="gramStart"/>
            <w:r w:rsidRPr="00BB1E65">
              <w:t>i</w:t>
            </w:r>
            <w:r w:rsidR="00D1016F" w:rsidRPr="00BB1E65">
              <w:t>f</w:t>
            </w:r>
            <w:proofErr w:type="gramEnd"/>
            <w:r w:rsidR="00D1016F" w:rsidRPr="00BB1E65">
              <w:t xml:space="preserve"> the examinee is rated incompetent, note that fact</w:t>
            </w:r>
            <w:r w:rsidR="00EE6FAB" w:rsidRPr="00BB1E65">
              <w:t>.</w:t>
            </w:r>
            <w:r w:rsidR="00D1016F" w:rsidRPr="00BB1E65">
              <w:t xml:space="preserve">  </w:t>
            </w:r>
          </w:p>
          <w:p w14:paraId="2270C65C" w14:textId="77777777" w:rsidR="00446F95" w:rsidRPr="00BB1E65" w:rsidRDefault="00446F95" w:rsidP="00446F95">
            <w:pPr>
              <w:pStyle w:val="BulletText2"/>
              <w:numPr>
                <w:ilvl w:val="0"/>
                <w:numId w:val="0"/>
              </w:numPr>
              <w:ind w:left="346"/>
            </w:pPr>
          </w:p>
          <w:p w14:paraId="12075D55" w14:textId="6B9013B7" w:rsidR="00135DC0" w:rsidRPr="00BB1E65" w:rsidRDefault="00446F95" w:rsidP="00DC494C">
            <w:pPr>
              <w:pStyle w:val="BulletText2"/>
              <w:numPr>
                <w:ilvl w:val="0"/>
                <w:numId w:val="0"/>
              </w:numPr>
            </w:pPr>
            <w:r w:rsidRPr="00BB1E65">
              <w:rPr>
                <w:b/>
                <w:bCs/>
                <w:i/>
                <w:iCs/>
              </w:rPr>
              <w:t>Reference</w:t>
            </w:r>
            <w:r w:rsidRPr="00BB1E65">
              <w:t>:  For more information on</w:t>
            </w:r>
            <w:r w:rsidR="00A0278E" w:rsidRPr="00BB1E65">
              <w:t xml:space="preserve"> </w:t>
            </w:r>
            <w:r w:rsidRPr="00BB1E65">
              <w:t xml:space="preserve">completing a CAPRI examination request, see the </w:t>
            </w:r>
            <w:hyperlink r:id="rId101" w:history="1">
              <w:r w:rsidRPr="00BB1E65">
                <w:rPr>
                  <w:rStyle w:val="Hyperlink"/>
                  <w:i/>
                </w:rPr>
                <w:t>CAPRI User’s Guide</w:t>
              </w:r>
            </w:hyperlink>
            <w:r w:rsidR="00A0278E" w:rsidRPr="00BB1E65">
              <w:rPr>
                <w:rStyle w:val="Hyperlink"/>
                <w:u w:val="none"/>
              </w:rPr>
              <w:t>.</w:t>
            </w:r>
          </w:p>
        </w:tc>
      </w:tr>
    </w:tbl>
    <w:p w14:paraId="12075E4F" w14:textId="1B2CA451" w:rsidR="00135DC0" w:rsidRPr="00A155D3" w:rsidRDefault="005F35C5" w:rsidP="00B574C8">
      <w:pPr>
        <w:pStyle w:val="BlockLine"/>
      </w:pPr>
      <w:r w:rsidRPr="00BB1E65">
        <w:lastRenderedPageBreak/>
        <w:fldChar w:fldCharType="begin">
          <w:fldData xml:space="preserve">RABvAGMAVABlAG0AcAAxAFYAYQByAFQAcgBhAGQAaQB0AGkAbwBuAGEAbAA=
</w:fldData>
        </w:fldChar>
      </w:r>
      <w:r w:rsidRPr="00BB1E65">
        <w:instrText xml:space="preserve"> ADDIN  \* MERGEFORMAT </w:instrText>
      </w:r>
      <w:r w:rsidRPr="00BB1E65">
        <w:fldChar w:fldCharType="end"/>
      </w:r>
      <w:r w:rsidRPr="00BB1E65">
        <w:fldChar w:fldCharType="begin">
          <w:fldData xml:space="preserve">RgBvAG4AdABTAGUAdABGAG8AbgB0AFMAZQB0AEYAbwBuAHQAUwBlAHQAaQBtAGkAcwB0AHkAbABl
AHMALgB4AG0AbAA=
</w:fldData>
        </w:fldChar>
      </w:r>
      <w:r w:rsidRPr="00BB1E65">
        <w:instrText xml:space="preserve"> ADDIN  \* MERGEFORMAT </w:instrText>
      </w:r>
      <w:r w:rsidRPr="00BB1E65">
        <w:fldChar w:fldCharType="end"/>
      </w:r>
      <w:r w:rsidR="006733D0" w:rsidRPr="00BB1E65">
        <w:fldChar w:fldCharType="begin">
          <w:fldData xml:space="preserve">RABvAGMAVABlAG0AcAAxAFYAYQByAFQAcgBhAGQAaQB0AGkAbwBuAGEAbAA=
</w:fldData>
        </w:fldChar>
      </w:r>
      <w:r w:rsidR="006733D0" w:rsidRPr="00BB1E65">
        <w:instrText xml:space="preserve"> ADDIN  \* MERGEFORMAT </w:instrText>
      </w:r>
      <w:r w:rsidR="006733D0" w:rsidRPr="00BB1E65">
        <w:fldChar w:fldCharType="end"/>
      </w:r>
      <w:r w:rsidR="006733D0" w:rsidRPr="00BB1E65">
        <w:fldChar w:fldCharType="begin">
          <w:fldData xml:space="preserve">RgBvAG4AdABTAGUAdABpAG0AaQBzAHQAeQBsAGUAcwAuAHgAbQBsAA==
</w:fldData>
        </w:fldChar>
      </w:r>
      <w:r w:rsidR="006733D0" w:rsidRPr="00BB1E65">
        <w:instrText xml:space="preserve"> ADDIN  \* MERGEFORMAT </w:instrText>
      </w:r>
      <w:r w:rsidR="006733D0" w:rsidRPr="00BB1E65">
        <w:fldChar w:fldCharType="end"/>
      </w:r>
      <w:r w:rsidR="001847D5" w:rsidRPr="00BB1E65">
        <w:fldChar w:fldCharType="begin">
          <w:fldData xml:space="preserve">RABvAGMAVABlAG0AcAAxAFYAYQByAFQAcgBhAGQAaQB0AGkAbwBuAGEAbAA=
</w:fldData>
        </w:fldChar>
      </w:r>
      <w:r w:rsidR="001847D5" w:rsidRPr="00BB1E65">
        <w:instrText xml:space="preserve"> ADDIN  \* MERGEFORMAT </w:instrText>
      </w:r>
      <w:r w:rsidR="001847D5" w:rsidRPr="00BB1E65">
        <w:fldChar w:fldCharType="end"/>
      </w:r>
      <w:r w:rsidR="001847D5" w:rsidRPr="00BB1E65">
        <w:fldChar w:fldCharType="begin">
          <w:fldData xml:space="preserve">RgBvAG4AdABTAGUAdABGAG8AbgB0AFMAZQB0AGkAbQBpAHMAdAB5AGwAZQBzAC4AeABtAGwA
</w:fldData>
        </w:fldChar>
      </w:r>
      <w:r w:rsidR="001847D5" w:rsidRPr="00BB1E65">
        <w:instrText xml:space="preserve"> ADDIN  \* MERGEFORMAT </w:instrText>
      </w:r>
      <w:r w:rsidR="001847D5" w:rsidRPr="00BB1E65">
        <w:fldChar w:fldCharType="end"/>
      </w:r>
      <w:r w:rsidR="00114A7E" w:rsidRPr="00BB1E65">
        <w:fldChar w:fldCharType="begin">
          <w:fldData xml:space="preserve">RABvAGMAVABlAG0AcAAxAFYAYQByAFQAcgBhAGQAaQB0AGkAbwBuAGEAbAA=
</w:fldData>
        </w:fldChar>
      </w:r>
      <w:r w:rsidR="00114A7E" w:rsidRPr="00BB1E65">
        <w:instrText xml:space="preserve"> ADDIN  \* MERGEFORMAT </w:instrText>
      </w:r>
      <w:r w:rsidR="00114A7E" w:rsidRPr="00BB1E65">
        <w:fldChar w:fldCharType="end"/>
      </w:r>
      <w:r w:rsidR="00114A7E" w:rsidRPr="00BB1E65">
        <w:fldChar w:fldCharType="begin">
          <w:fldData xml:space="preserve">RgBvAG4AdABTAGUAdABGAG8AbgB0AFMAZQB0AEYAbwBuAHQAUwBlAHQAaQBtAGkAcwB0AHkAbABl
AHMALgB4AG0AbAA=
</w:fldData>
        </w:fldChar>
      </w:r>
      <w:r w:rsidR="00114A7E" w:rsidRPr="00BB1E65">
        <w:instrText xml:space="preserve"> ADDIN  \* MERGEFORMAT </w:instrText>
      </w:r>
      <w:r w:rsidR="00114A7E" w:rsidRPr="00BB1E65">
        <w:fldChar w:fldCharType="end"/>
      </w:r>
      <w:r w:rsidR="003816DF" w:rsidRPr="00BB1E65">
        <w:fldChar w:fldCharType="begin">
          <w:fldData xml:space="preserve">RABvAGMAVABlAG0AcAAxAFYAYQByAFQAcgBhAGQAaQB0AGkAbwBuAGEAbAA=
</w:fldData>
        </w:fldChar>
      </w:r>
      <w:r w:rsidR="003816DF" w:rsidRPr="00BB1E65">
        <w:instrText xml:space="preserve"> ADDIN  \* MERGEFORMAT </w:instrText>
      </w:r>
      <w:r w:rsidR="003816DF" w:rsidRPr="00BB1E65">
        <w:fldChar w:fldCharType="end"/>
      </w:r>
      <w:r w:rsidR="003816DF" w:rsidRPr="00BB1E65">
        <w:fldChar w:fldCharType="begin">
          <w:fldData xml:space="preserve">RgBvAG4AdABTAGUAdABGAG8AbgB0AFMAZQB0AEYAbwBuAHQAUwBlAHQARgBvAG4AdABTAGUAdABp
AG0AaQBzAHQAeQBsAGUAcwAuAHgAbQBsAA==
</w:fldData>
        </w:fldChar>
      </w:r>
      <w:r w:rsidR="003816DF" w:rsidRPr="00BB1E65">
        <w:instrText xml:space="preserve"> ADDIN  \* MERGEFORMAT </w:instrText>
      </w:r>
      <w:r w:rsidR="003816DF" w:rsidRPr="00BB1E65">
        <w:fldChar w:fldCharType="end"/>
      </w:r>
      <w:bookmarkStart w:id="27" w:name="_GoBack"/>
      <w:bookmarkEnd w:id="27"/>
    </w:p>
    <w:sectPr w:rsidR="00135DC0" w:rsidRPr="00A155D3" w:rsidSect="00281CE5">
      <w:headerReference w:type="even" r:id="rId102"/>
      <w:headerReference w:type="default" r:id="rId103"/>
      <w:footerReference w:type="even" r:id="rId104"/>
      <w:footerReference w:type="default" r:id="rId105"/>
      <w:pgSz w:w="12240" w:h="15840"/>
      <w:pgMar w:top="1008" w:right="1440" w:bottom="907"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2AFC0" w14:textId="77777777" w:rsidR="003653AB" w:rsidRDefault="003653AB">
      <w:r>
        <w:separator/>
      </w:r>
    </w:p>
  </w:endnote>
  <w:endnote w:type="continuationSeparator" w:id="0">
    <w:p w14:paraId="5CD931CB" w14:textId="77777777" w:rsidR="003653AB" w:rsidRDefault="0036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5E59" w14:textId="739F5806" w:rsidR="003653AB" w:rsidRDefault="003653AB">
    <w:pPr>
      <w:pStyle w:val="Footer"/>
      <w:tabs>
        <w:tab w:val="left" w:pos="0"/>
        <w:tab w:val="right" w:pos="9274"/>
      </w:tabs>
    </w:pPr>
    <w:r>
      <w:rPr>
        <w:rStyle w:val="PageNumber"/>
        <w:b/>
        <w:bCs/>
      </w:rPr>
      <w:tab/>
    </w:r>
    <w:r>
      <w:rPr>
        <w:rStyle w:val="PageNumber"/>
        <w:b/>
        <w:bC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5E5A" w14:textId="5CE330DC" w:rsidR="003653AB" w:rsidRDefault="003653AB">
    <w:pPr>
      <w:pStyle w:val="Footer"/>
      <w:tabs>
        <w:tab w:val="left" w:pos="0"/>
        <w:tab w:val="right" w:pos="9274"/>
      </w:tabs>
    </w:pPr>
    <w:r>
      <w:rPr>
        <w:b/>
        <w:bCs/>
      </w:rPr>
      <w:tab/>
    </w:r>
    <w:r>
      <w:rPr>
        <w:b/>
        <w:b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46CFC" w14:textId="77777777" w:rsidR="003653AB" w:rsidRDefault="003653AB">
      <w:r>
        <w:separator/>
      </w:r>
    </w:p>
  </w:footnote>
  <w:footnote w:type="continuationSeparator" w:id="0">
    <w:p w14:paraId="7A027FCB" w14:textId="77777777" w:rsidR="003653AB" w:rsidRDefault="00365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5E57" w14:textId="1828D49F" w:rsidR="003653AB" w:rsidRPr="00381D0E" w:rsidRDefault="003653AB">
    <w:pPr>
      <w:pStyle w:val="Header"/>
      <w:rPr>
        <w:b/>
        <w:bCs/>
      </w:rPr>
    </w:pPr>
    <w:r>
      <w:rPr>
        <w:b/>
        <w:bCs/>
      </w:rPr>
      <w:t>M21-1, Part III, Subpart iv, Chapter 3, Section A</w:t>
    </w:r>
    <w:r>
      <w:rPr>
        <w:b/>
        <w:bCs/>
      </w:rPr>
      <w:tab/>
    </w:r>
    <w:r>
      <w:rPr>
        <w:b/>
        <w:b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5E58" w14:textId="660F071B" w:rsidR="003653AB" w:rsidRDefault="003653AB">
    <w:pPr>
      <w:pStyle w:val="Header"/>
      <w:rPr>
        <w:b/>
        <w:bCs/>
      </w:rPr>
    </w:pPr>
    <w:r>
      <w:rPr>
        <w:b/>
        <w:bCs/>
      </w:rPr>
      <w:tab/>
    </w:r>
    <w:r>
      <w:rPr>
        <w:b/>
        <w:bCs/>
      </w:rPr>
      <w:tab/>
      <w:t>M21-1, Part III, Subpart iv, Chapter 3, Section A</w:t>
    </w:r>
  </w:p>
  <w:p w14:paraId="1B14F8C8" w14:textId="77777777" w:rsidR="003653AB" w:rsidRDefault="00365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0B12269"/>
    <w:multiLevelType w:val="hybridMultilevel"/>
    <w:tmpl w:val="8444CC6A"/>
    <w:lvl w:ilvl="0" w:tplc="2F648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0423E"/>
    <w:multiLevelType w:val="hybridMultilevel"/>
    <w:tmpl w:val="156E84E0"/>
    <w:lvl w:ilvl="0" w:tplc="08D4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5566D"/>
    <w:multiLevelType w:val="hybridMultilevel"/>
    <w:tmpl w:val="C1BE458C"/>
    <w:lvl w:ilvl="0" w:tplc="06D8D9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A0852"/>
    <w:multiLevelType w:val="hybridMultilevel"/>
    <w:tmpl w:val="A85C8100"/>
    <w:lvl w:ilvl="0" w:tplc="3AFC5F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8B60ED"/>
    <w:multiLevelType w:val="hybridMultilevel"/>
    <w:tmpl w:val="4100ECF6"/>
    <w:lvl w:ilvl="0" w:tplc="06D8D9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E476AB"/>
    <w:multiLevelType w:val="hybridMultilevel"/>
    <w:tmpl w:val="91EA357E"/>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1F522A"/>
    <w:multiLevelType w:val="hybridMultilevel"/>
    <w:tmpl w:val="A84293A6"/>
    <w:lvl w:ilvl="0" w:tplc="6C4C23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B14382"/>
    <w:multiLevelType w:val="hybridMultilevel"/>
    <w:tmpl w:val="2514E86C"/>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3A4799"/>
    <w:multiLevelType w:val="hybridMultilevel"/>
    <w:tmpl w:val="10085B06"/>
    <w:lvl w:ilvl="0" w:tplc="FFE8F9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FB3540"/>
    <w:multiLevelType w:val="hybridMultilevel"/>
    <w:tmpl w:val="2BF00B72"/>
    <w:lvl w:ilvl="0" w:tplc="F4D2D3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A30DC3"/>
    <w:multiLevelType w:val="hybridMultilevel"/>
    <w:tmpl w:val="42C4B142"/>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BC2BFB"/>
    <w:multiLevelType w:val="hybridMultilevel"/>
    <w:tmpl w:val="E8C0D1EE"/>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726E33"/>
    <w:multiLevelType w:val="hybridMultilevel"/>
    <w:tmpl w:val="DD84A45A"/>
    <w:lvl w:ilvl="0" w:tplc="D3EE03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137E30"/>
    <w:multiLevelType w:val="hybridMultilevel"/>
    <w:tmpl w:val="921E3648"/>
    <w:lvl w:ilvl="0" w:tplc="AF3886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9C767F"/>
    <w:multiLevelType w:val="hybridMultilevel"/>
    <w:tmpl w:val="69A435C2"/>
    <w:lvl w:ilvl="0" w:tplc="946A31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D41681"/>
    <w:multiLevelType w:val="hybridMultilevel"/>
    <w:tmpl w:val="0B122414"/>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7B7912"/>
    <w:multiLevelType w:val="hybridMultilevel"/>
    <w:tmpl w:val="DE2020F6"/>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E11792"/>
    <w:multiLevelType w:val="hybridMultilevel"/>
    <w:tmpl w:val="F9F25E62"/>
    <w:lvl w:ilvl="0" w:tplc="9E78E5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181B79"/>
    <w:multiLevelType w:val="hybridMultilevel"/>
    <w:tmpl w:val="5978EC08"/>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497D64"/>
    <w:multiLevelType w:val="hybridMultilevel"/>
    <w:tmpl w:val="7DBACDA2"/>
    <w:lvl w:ilvl="0" w:tplc="0EFE7B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F748F4"/>
    <w:multiLevelType w:val="hybridMultilevel"/>
    <w:tmpl w:val="F1C25EB4"/>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67088F"/>
    <w:multiLevelType w:val="hybridMultilevel"/>
    <w:tmpl w:val="1D4424DA"/>
    <w:lvl w:ilvl="0" w:tplc="08D4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802498"/>
    <w:multiLevelType w:val="hybridMultilevel"/>
    <w:tmpl w:val="3DA8E542"/>
    <w:lvl w:ilvl="0" w:tplc="F2507D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C50045"/>
    <w:multiLevelType w:val="hybridMultilevel"/>
    <w:tmpl w:val="E616A180"/>
    <w:lvl w:ilvl="0" w:tplc="F4D2D3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88248C"/>
    <w:multiLevelType w:val="hybridMultilevel"/>
    <w:tmpl w:val="71CC2A4C"/>
    <w:lvl w:ilvl="0" w:tplc="3DAAFA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07549D"/>
    <w:multiLevelType w:val="hybridMultilevel"/>
    <w:tmpl w:val="83F0F2F4"/>
    <w:lvl w:ilvl="0" w:tplc="22ECFD62">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EE3C9F"/>
    <w:multiLevelType w:val="hybridMultilevel"/>
    <w:tmpl w:val="9FFC0C10"/>
    <w:lvl w:ilvl="0" w:tplc="08D4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116A80"/>
    <w:multiLevelType w:val="hybridMultilevel"/>
    <w:tmpl w:val="ED98A2E0"/>
    <w:lvl w:ilvl="0" w:tplc="A70886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BF0E17"/>
    <w:multiLevelType w:val="hybridMultilevel"/>
    <w:tmpl w:val="0DA26B54"/>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5D2C08"/>
    <w:multiLevelType w:val="hybridMultilevel"/>
    <w:tmpl w:val="F8A8DC4C"/>
    <w:lvl w:ilvl="0" w:tplc="1B7E03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2412DC"/>
    <w:multiLevelType w:val="hybridMultilevel"/>
    <w:tmpl w:val="87EABC1A"/>
    <w:lvl w:ilvl="0" w:tplc="628047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88076E"/>
    <w:multiLevelType w:val="hybridMultilevel"/>
    <w:tmpl w:val="61348568"/>
    <w:lvl w:ilvl="0" w:tplc="930E13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994735"/>
    <w:multiLevelType w:val="hybridMultilevel"/>
    <w:tmpl w:val="F7229090"/>
    <w:lvl w:ilvl="0" w:tplc="3DAAFA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CD4654"/>
    <w:multiLevelType w:val="hybridMultilevel"/>
    <w:tmpl w:val="7EA63CFC"/>
    <w:lvl w:ilvl="0" w:tplc="BD40F7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3B15DD"/>
    <w:multiLevelType w:val="hybridMultilevel"/>
    <w:tmpl w:val="CCA8BD08"/>
    <w:lvl w:ilvl="0" w:tplc="EB4074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486FC5"/>
    <w:multiLevelType w:val="hybridMultilevel"/>
    <w:tmpl w:val="4DAAC8BA"/>
    <w:lvl w:ilvl="0" w:tplc="2F6A79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D63AAB"/>
    <w:multiLevelType w:val="hybridMultilevel"/>
    <w:tmpl w:val="CC488BAA"/>
    <w:lvl w:ilvl="0" w:tplc="F96420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FA036B"/>
    <w:multiLevelType w:val="hybridMultilevel"/>
    <w:tmpl w:val="AA28452C"/>
    <w:lvl w:ilvl="0" w:tplc="1A3CC7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1FB37E9"/>
    <w:multiLevelType w:val="hybridMultilevel"/>
    <w:tmpl w:val="39C8276C"/>
    <w:lvl w:ilvl="0" w:tplc="99A288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FC7E6C"/>
    <w:multiLevelType w:val="hybridMultilevel"/>
    <w:tmpl w:val="4476C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49D3390"/>
    <w:multiLevelType w:val="hybridMultilevel"/>
    <w:tmpl w:val="8E92FEC2"/>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B1055F"/>
    <w:multiLevelType w:val="hybridMultilevel"/>
    <w:tmpl w:val="58344B7C"/>
    <w:lvl w:ilvl="0" w:tplc="F4D2D3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8C6A18"/>
    <w:multiLevelType w:val="hybridMultilevel"/>
    <w:tmpl w:val="C71E44CA"/>
    <w:lvl w:ilvl="0" w:tplc="3AFC5F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84D1B4E"/>
    <w:multiLevelType w:val="hybridMultilevel"/>
    <w:tmpl w:val="7542DDEE"/>
    <w:lvl w:ilvl="0" w:tplc="F4D2D3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8B83120"/>
    <w:multiLevelType w:val="hybridMultilevel"/>
    <w:tmpl w:val="A04E78DA"/>
    <w:lvl w:ilvl="0" w:tplc="72DAA5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E5458F3"/>
    <w:multiLevelType w:val="hybridMultilevel"/>
    <w:tmpl w:val="44280AD0"/>
    <w:lvl w:ilvl="0" w:tplc="BBA40A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F91702E"/>
    <w:multiLevelType w:val="hybridMultilevel"/>
    <w:tmpl w:val="C750E1C6"/>
    <w:lvl w:ilvl="0" w:tplc="1452D5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1330FA1"/>
    <w:multiLevelType w:val="hybridMultilevel"/>
    <w:tmpl w:val="B1409BBA"/>
    <w:lvl w:ilvl="0" w:tplc="497ED9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2352533"/>
    <w:multiLevelType w:val="hybridMultilevel"/>
    <w:tmpl w:val="8494819A"/>
    <w:lvl w:ilvl="0" w:tplc="DBEC90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3490C7F"/>
    <w:multiLevelType w:val="hybridMultilevel"/>
    <w:tmpl w:val="45FC626C"/>
    <w:lvl w:ilvl="0" w:tplc="22C4FC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3606DB9"/>
    <w:multiLevelType w:val="hybridMultilevel"/>
    <w:tmpl w:val="1EC6EB3E"/>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F4689B"/>
    <w:multiLevelType w:val="hybridMultilevel"/>
    <w:tmpl w:val="B6B0F226"/>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61672A4"/>
    <w:multiLevelType w:val="hybridMultilevel"/>
    <w:tmpl w:val="BA74A996"/>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E0337E"/>
    <w:multiLevelType w:val="hybridMultilevel"/>
    <w:tmpl w:val="B328B67E"/>
    <w:lvl w:ilvl="0" w:tplc="9A9E4954">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740142D"/>
    <w:multiLevelType w:val="hybridMultilevel"/>
    <w:tmpl w:val="7A0EC866"/>
    <w:lvl w:ilvl="0" w:tplc="2D6E39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75C639C"/>
    <w:multiLevelType w:val="hybridMultilevel"/>
    <w:tmpl w:val="60B43DF4"/>
    <w:lvl w:ilvl="0" w:tplc="1A3CC7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7D90184"/>
    <w:multiLevelType w:val="hybridMultilevel"/>
    <w:tmpl w:val="972E4FEE"/>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7FC4111"/>
    <w:multiLevelType w:val="hybridMultilevel"/>
    <w:tmpl w:val="D430B894"/>
    <w:lvl w:ilvl="0" w:tplc="D3EE0370">
      <w:start w:val="1"/>
      <w:numFmt w:val="bullet"/>
      <w:lvlRestart w:val="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8037042"/>
    <w:multiLevelType w:val="hybridMultilevel"/>
    <w:tmpl w:val="C54C7BCC"/>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84D07EF"/>
    <w:multiLevelType w:val="hybridMultilevel"/>
    <w:tmpl w:val="D6A03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88E316E"/>
    <w:multiLevelType w:val="hybridMultilevel"/>
    <w:tmpl w:val="0706DDD4"/>
    <w:lvl w:ilvl="0" w:tplc="B23412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AEB70DC"/>
    <w:multiLevelType w:val="hybridMultilevel"/>
    <w:tmpl w:val="13D4FAC8"/>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B291EAC"/>
    <w:multiLevelType w:val="hybridMultilevel"/>
    <w:tmpl w:val="D660BE86"/>
    <w:lvl w:ilvl="0" w:tplc="EB4074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C0E78E0"/>
    <w:multiLevelType w:val="hybridMultilevel"/>
    <w:tmpl w:val="0A8C22C0"/>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C7B4327"/>
    <w:multiLevelType w:val="hybridMultilevel"/>
    <w:tmpl w:val="C6C4D0C6"/>
    <w:lvl w:ilvl="0" w:tplc="D73A5E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B25178"/>
    <w:multiLevelType w:val="hybridMultilevel"/>
    <w:tmpl w:val="6CB60E16"/>
    <w:lvl w:ilvl="0" w:tplc="2E98DE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F3023B9"/>
    <w:multiLevelType w:val="hybridMultilevel"/>
    <w:tmpl w:val="007CFF86"/>
    <w:lvl w:ilvl="0" w:tplc="FDEC09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15A2E7D"/>
    <w:multiLevelType w:val="hybridMultilevel"/>
    <w:tmpl w:val="4E043D24"/>
    <w:lvl w:ilvl="0" w:tplc="B23412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1E80380"/>
    <w:multiLevelType w:val="hybridMultilevel"/>
    <w:tmpl w:val="0FE645BE"/>
    <w:lvl w:ilvl="0" w:tplc="D3EE03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29721DA"/>
    <w:multiLevelType w:val="hybridMultilevel"/>
    <w:tmpl w:val="BCC8BD94"/>
    <w:lvl w:ilvl="0" w:tplc="BD40F7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2B77C01"/>
    <w:multiLevelType w:val="hybridMultilevel"/>
    <w:tmpl w:val="1F46441E"/>
    <w:lvl w:ilvl="0" w:tplc="1CA8C9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3FD6A55"/>
    <w:multiLevelType w:val="hybridMultilevel"/>
    <w:tmpl w:val="08CA6BEE"/>
    <w:lvl w:ilvl="0" w:tplc="F35CA6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68037D9"/>
    <w:multiLevelType w:val="hybridMultilevel"/>
    <w:tmpl w:val="705E62EE"/>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7E36E5D"/>
    <w:multiLevelType w:val="hybridMultilevel"/>
    <w:tmpl w:val="5DFE4AD8"/>
    <w:lvl w:ilvl="0" w:tplc="310044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7FA5E4A"/>
    <w:multiLevelType w:val="hybridMultilevel"/>
    <w:tmpl w:val="F4528DD8"/>
    <w:lvl w:ilvl="0" w:tplc="F4D2D3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7FE63D5"/>
    <w:multiLevelType w:val="hybridMultilevel"/>
    <w:tmpl w:val="6396D4B8"/>
    <w:lvl w:ilvl="0" w:tplc="060E94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A6D5044"/>
    <w:multiLevelType w:val="hybridMultilevel"/>
    <w:tmpl w:val="1206CECE"/>
    <w:lvl w:ilvl="0" w:tplc="F55C70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1DF73E9"/>
    <w:multiLevelType w:val="hybridMultilevel"/>
    <w:tmpl w:val="03D8AD3A"/>
    <w:lvl w:ilvl="0" w:tplc="060E94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218796A"/>
    <w:multiLevelType w:val="hybridMultilevel"/>
    <w:tmpl w:val="76621434"/>
    <w:lvl w:ilvl="0" w:tplc="095672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2DB3D68"/>
    <w:multiLevelType w:val="hybridMultilevel"/>
    <w:tmpl w:val="9BC67D98"/>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1">
    <w:nsid w:val="672676D3"/>
    <w:multiLevelType w:val="hybridMultilevel"/>
    <w:tmpl w:val="9322F4BC"/>
    <w:lvl w:ilvl="0" w:tplc="626AF2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8F000CB"/>
    <w:multiLevelType w:val="hybridMultilevel"/>
    <w:tmpl w:val="1A0A3206"/>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92E49AA"/>
    <w:multiLevelType w:val="hybridMultilevel"/>
    <w:tmpl w:val="72906B94"/>
    <w:lvl w:ilvl="0" w:tplc="AF3886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98F52DC"/>
    <w:multiLevelType w:val="hybridMultilevel"/>
    <w:tmpl w:val="0D302A02"/>
    <w:lvl w:ilvl="0" w:tplc="DBD2AE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9EE20FE"/>
    <w:multiLevelType w:val="hybridMultilevel"/>
    <w:tmpl w:val="AC24977E"/>
    <w:lvl w:ilvl="0" w:tplc="384874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A6204EE"/>
    <w:multiLevelType w:val="hybridMultilevel"/>
    <w:tmpl w:val="98709546"/>
    <w:lvl w:ilvl="0" w:tplc="F96420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B95102C"/>
    <w:multiLevelType w:val="hybridMultilevel"/>
    <w:tmpl w:val="50623702"/>
    <w:lvl w:ilvl="0" w:tplc="D73A5E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C5725D6"/>
    <w:multiLevelType w:val="hybridMultilevel"/>
    <w:tmpl w:val="744CEA96"/>
    <w:lvl w:ilvl="0" w:tplc="CE9CC9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D372244"/>
    <w:multiLevelType w:val="hybridMultilevel"/>
    <w:tmpl w:val="6C14A460"/>
    <w:lvl w:ilvl="0" w:tplc="C17C45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D80134E"/>
    <w:multiLevelType w:val="hybridMultilevel"/>
    <w:tmpl w:val="9516F9AE"/>
    <w:lvl w:ilvl="0" w:tplc="08D4F6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EE632A9"/>
    <w:multiLevelType w:val="hybridMultilevel"/>
    <w:tmpl w:val="72CEAA42"/>
    <w:lvl w:ilvl="0" w:tplc="C09CADD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F055D51"/>
    <w:multiLevelType w:val="hybridMultilevel"/>
    <w:tmpl w:val="5FCC8EAC"/>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FCA6792"/>
    <w:multiLevelType w:val="hybridMultilevel"/>
    <w:tmpl w:val="36E8F06C"/>
    <w:lvl w:ilvl="0" w:tplc="06D8D9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5">
    <w:nsid w:val="71D669BD"/>
    <w:multiLevelType w:val="hybridMultilevel"/>
    <w:tmpl w:val="749E6E46"/>
    <w:lvl w:ilvl="0" w:tplc="DFC41F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29E6CD6"/>
    <w:multiLevelType w:val="hybridMultilevel"/>
    <w:tmpl w:val="539639E2"/>
    <w:lvl w:ilvl="0" w:tplc="0EFE7B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2B83BA6"/>
    <w:multiLevelType w:val="hybridMultilevel"/>
    <w:tmpl w:val="33CEC72A"/>
    <w:lvl w:ilvl="0" w:tplc="AA5051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396108C"/>
    <w:multiLevelType w:val="hybridMultilevel"/>
    <w:tmpl w:val="F4A4E238"/>
    <w:lvl w:ilvl="0" w:tplc="C09CADD6">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9">
    <w:nsid w:val="74582C84"/>
    <w:multiLevelType w:val="hybridMultilevel"/>
    <w:tmpl w:val="D968EFAE"/>
    <w:lvl w:ilvl="0" w:tplc="F35CA6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4A239C3"/>
    <w:multiLevelType w:val="hybridMultilevel"/>
    <w:tmpl w:val="3932B8D8"/>
    <w:lvl w:ilvl="0" w:tplc="F40E7F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52D7D85"/>
    <w:multiLevelType w:val="hybridMultilevel"/>
    <w:tmpl w:val="4CF47D30"/>
    <w:lvl w:ilvl="0" w:tplc="BBFE78CE">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2">
    <w:nsid w:val="75480FF6"/>
    <w:multiLevelType w:val="hybridMultilevel"/>
    <w:tmpl w:val="1056FEDA"/>
    <w:lvl w:ilvl="0" w:tplc="930E13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5A916E1"/>
    <w:multiLevelType w:val="hybridMultilevel"/>
    <w:tmpl w:val="D1ECDF00"/>
    <w:lvl w:ilvl="0" w:tplc="B2CE0F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8CC0D22"/>
    <w:multiLevelType w:val="hybridMultilevel"/>
    <w:tmpl w:val="E264AAA6"/>
    <w:lvl w:ilvl="0" w:tplc="2E0601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A34741B"/>
    <w:multiLevelType w:val="hybridMultilevel"/>
    <w:tmpl w:val="21225A92"/>
    <w:lvl w:ilvl="0" w:tplc="095672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BC160D3"/>
    <w:multiLevelType w:val="hybridMultilevel"/>
    <w:tmpl w:val="853CF266"/>
    <w:lvl w:ilvl="0" w:tplc="E1483DC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BE66B9F"/>
    <w:multiLevelType w:val="hybridMultilevel"/>
    <w:tmpl w:val="05A607D0"/>
    <w:lvl w:ilvl="0" w:tplc="2F648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D35285A"/>
    <w:multiLevelType w:val="hybridMultilevel"/>
    <w:tmpl w:val="6DCCB89C"/>
    <w:lvl w:ilvl="0" w:tplc="628047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DE57F80"/>
    <w:multiLevelType w:val="hybridMultilevel"/>
    <w:tmpl w:val="47E0ECE2"/>
    <w:lvl w:ilvl="0" w:tplc="2F648D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E3D449F"/>
    <w:multiLevelType w:val="hybridMultilevel"/>
    <w:tmpl w:val="83A01E68"/>
    <w:lvl w:ilvl="0" w:tplc="B3E624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F006EDA"/>
    <w:multiLevelType w:val="hybridMultilevel"/>
    <w:tmpl w:val="DD70AFEC"/>
    <w:lvl w:ilvl="0" w:tplc="5B6A7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0"/>
  </w:num>
  <w:num w:numId="2">
    <w:abstractNumId w:val="94"/>
  </w:num>
  <w:num w:numId="3">
    <w:abstractNumId w:val="0"/>
  </w:num>
  <w:num w:numId="4">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0"/>
  </w:num>
  <w:num w:numId="6">
    <w:abstractNumId w:val="37"/>
  </w:num>
  <w:num w:numId="7">
    <w:abstractNumId w:val="86"/>
  </w:num>
  <w:num w:numId="8">
    <w:abstractNumId w:val="46"/>
  </w:num>
  <w:num w:numId="9">
    <w:abstractNumId w:val="77"/>
  </w:num>
  <w:num w:numId="10">
    <w:abstractNumId w:val="47"/>
  </w:num>
  <w:num w:numId="11">
    <w:abstractNumId w:val="74"/>
  </w:num>
  <w:num w:numId="12">
    <w:abstractNumId w:val="97"/>
  </w:num>
  <w:num w:numId="13">
    <w:abstractNumId w:val="1"/>
  </w:num>
  <w:num w:numId="14">
    <w:abstractNumId w:val="109"/>
  </w:num>
  <w:num w:numId="15">
    <w:abstractNumId w:val="107"/>
  </w:num>
  <w:num w:numId="16">
    <w:abstractNumId w:val="72"/>
  </w:num>
  <w:num w:numId="17">
    <w:abstractNumId w:val="40"/>
  </w:num>
  <w:num w:numId="18">
    <w:abstractNumId w:val="99"/>
  </w:num>
  <w:num w:numId="19">
    <w:abstractNumId w:val="41"/>
  </w:num>
  <w:num w:numId="20">
    <w:abstractNumId w:val="51"/>
  </w:num>
  <w:num w:numId="21">
    <w:abstractNumId w:val="103"/>
  </w:num>
  <w:num w:numId="22">
    <w:abstractNumId w:val="82"/>
  </w:num>
  <w:num w:numId="23">
    <w:abstractNumId w:val="85"/>
  </w:num>
  <w:num w:numId="24">
    <w:abstractNumId w:val="49"/>
  </w:num>
  <w:num w:numId="25">
    <w:abstractNumId w:val="30"/>
  </w:num>
  <w:num w:numId="26">
    <w:abstractNumId w:val="54"/>
  </w:num>
  <w:num w:numId="27">
    <w:abstractNumId w:val="93"/>
  </w:num>
  <w:num w:numId="28">
    <w:abstractNumId w:val="3"/>
  </w:num>
  <w:num w:numId="29">
    <w:abstractNumId w:val="5"/>
  </w:num>
  <w:num w:numId="30">
    <w:abstractNumId w:val="13"/>
  </w:num>
  <w:num w:numId="31">
    <w:abstractNumId w:val="58"/>
  </w:num>
  <w:num w:numId="32">
    <w:abstractNumId w:val="69"/>
  </w:num>
  <w:num w:numId="33">
    <w:abstractNumId w:val="18"/>
  </w:num>
  <w:num w:numId="34">
    <w:abstractNumId w:val="61"/>
  </w:num>
  <w:num w:numId="35">
    <w:abstractNumId w:val="68"/>
  </w:num>
  <w:num w:numId="36">
    <w:abstractNumId w:val="81"/>
  </w:num>
  <w:num w:numId="37">
    <w:abstractNumId w:val="14"/>
  </w:num>
  <w:num w:numId="38">
    <w:abstractNumId w:val="83"/>
  </w:num>
  <w:num w:numId="39">
    <w:abstractNumId w:val="19"/>
  </w:num>
  <w:num w:numId="40">
    <w:abstractNumId w:val="17"/>
  </w:num>
  <w:num w:numId="41">
    <w:abstractNumId w:val="106"/>
  </w:num>
  <w:num w:numId="42">
    <w:abstractNumId w:val="16"/>
  </w:num>
  <w:num w:numId="43">
    <w:abstractNumId w:val="6"/>
  </w:num>
  <w:num w:numId="44">
    <w:abstractNumId w:val="53"/>
  </w:num>
  <w:num w:numId="45">
    <w:abstractNumId w:val="59"/>
  </w:num>
  <w:num w:numId="46">
    <w:abstractNumId w:val="52"/>
  </w:num>
  <w:num w:numId="47">
    <w:abstractNumId w:val="12"/>
  </w:num>
  <w:num w:numId="48">
    <w:abstractNumId w:val="92"/>
  </w:num>
  <w:num w:numId="49">
    <w:abstractNumId w:val="57"/>
  </w:num>
  <w:num w:numId="50">
    <w:abstractNumId w:val="21"/>
  </w:num>
  <w:num w:numId="51">
    <w:abstractNumId w:val="73"/>
  </w:num>
  <w:num w:numId="52">
    <w:abstractNumId w:val="111"/>
  </w:num>
  <w:num w:numId="53">
    <w:abstractNumId w:val="33"/>
  </w:num>
  <w:num w:numId="54">
    <w:abstractNumId w:val="25"/>
  </w:num>
  <w:num w:numId="55">
    <w:abstractNumId w:val="45"/>
  </w:num>
  <w:num w:numId="56">
    <w:abstractNumId w:val="9"/>
  </w:num>
  <w:num w:numId="57">
    <w:abstractNumId w:val="8"/>
  </w:num>
  <w:num w:numId="58">
    <w:abstractNumId w:val="29"/>
  </w:num>
  <w:num w:numId="59">
    <w:abstractNumId w:val="98"/>
  </w:num>
  <w:num w:numId="60">
    <w:abstractNumId w:val="91"/>
  </w:num>
  <w:num w:numId="61">
    <w:abstractNumId w:val="64"/>
  </w:num>
  <w:num w:numId="62">
    <w:abstractNumId w:val="62"/>
  </w:num>
  <w:num w:numId="63">
    <w:abstractNumId w:val="11"/>
  </w:num>
  <w:num w:numId="64">
    <w:abstractNumId w:val="63"/>
  </w:num>
  <w:num w:numId="65">
    <w:abstractNumId w:val="35"/>
  </w:num>
  <w:num w:numId="66">
    <w:abstractNumId w:val="108"/>
  </w:num>
  <w:num w:numId="67">
    <w:abstractNumId w:val="31"/>
  </w:num>
  <w:num w:numId="68">
    <w:abstractNumId w:val="95"/>
  </w:num>
  <w:num w:numId="69">
    <w:abstractNumId w:val="55"/>
  </w:num>
  <w:num w:numId="70">
    <w:abstractNumId w:val="90"/>
  </w:num>
  <w:num w:numId="71">
    <w:abstractNumId w:val="2"/>
  </w:num>
  <w:num w:numId="72">
    <w:abstractNumId w:val="22"/>
  </w:num>
  <w:num w:numId="73">
    <w:abstractNumId w:val="27"/>
  </w:num>
  <w:num w:numId="74">
    <w:abstractNumId w:val="48"/>
  </w:num>
  <w:num w:numId="75">
    <w:abstractNumId w:val="89"/>
  </w:num>
  <w:num w:numId="76">
    <w:abstractNumId w:val="104"/>
  </w:num>
  <w:num w:numId="77">
    <w:abstractNumId w:val="15"/>
  </w:num>
  <w:num w:numId="78">
    <w:abstractNumId w:val="7"/>
  </w:num>
  <w:num w:numId="79">
    <w:abstractNumId w:val="23"/>
  </w:num>
  <w:num w:numId="80">
    <w:abstractNumId w:val="38"/>
  </w:num>
  <w:num w:numId="81">
    <w:abstractNumId w:val="56"/>
  </w:num>
  <w:num w:numId="82">
    <w:abstractNumId w:val="36"/>
  </w:num>
  <w:num w:numId="83">
    <w:abstractNumId w:val="20"/>
  </w:num>
  <w:num w:numId="84">
    <w:abstractNumId w:val="96"/>
  </w:num>
  <w:num w:numId="85">
    <w:abstractNumId w:val="102"/>
  </w:num>
  <w:num w:numId="86">
    <w:abstractNumId w:val="32"/>
  </w:num>
  <w:num w:numId="87">
    <w:abstractNumId w:val="66"/>
  </w:num>
  <w:num w:numId="88">
    <w:abstractNumId w:val="76"/>
  </w:num>
  <w:num w:numId="89">
    <w:abstractNumId w:val="78"/>
  </w:num>
  <w:num w:numId="90">
    <w:abstractNumId w:val="100"/>
  </w:num>
  <w:num w:numId="91">
    <w:abstractNumId w:val="43"/>
  </w:num>
  <w:num w:numId="92">
    <w:abstractNumId w:val="4"/>
  </w:num>
  <w:num w:numId="93">
    <w:abstractNumId w:val="67"/>
  </w:num>
  <w:num w:numId="94">
    <w:abstractNumId w:val="88"/>
  </w:num>
  <w:num w:numId="95">
    <w:abstractNumId w:val="26"/>
  </w:num>
  <w:num w:numId="96">
    <w:abstractNumId w:val="79"/>
  </w:num>
  <w:num w:numId="97">
    <w:abstractNumId w:val="105"/>
  </w:num>
  <w:num w:numId="98">
    <w:abstractNumId w:val="28"/>
  </w:num>
  <w:num w:numId="99">
    <w:abstractNumId w:val="10"/>
  </w:num>
  <w:num w:numId="100">
    <w:abstractNumId w:val="42"/>
  </w:num>
  <w:num w:numId="101">
    <w:abstractNumId w:val="75"/>
  </w:num>
  <w:num w:numId="102">
    <w:abstractNumId w:val="24"/>
  </w:num>
  <w:num w:numId="103">
    <w:abstractNumId w:val="44"/>
  </w:num>
  <w:num w:numId="104">
    <w:abstractNumId w:val="87"/>
  </w:num>
  <w:num w:numId="105">
    <w:abstractNumId w:val="65"/>
  </w:num>
  <w:num w:numId="106">
    <w:abstractNumId w:val="34"/>
  </w:num>
  <w:num w:numId="107">
    <w:abstractNumId w:val="70"/>
  </w:num>
  <w:num w:numId="108">
    <w:abstractNumId w:val="84"/>
  </w:num>
  <w:num w:numId="109">
    <w:abstractNumId w:val="101"/>
  </w:num>
  <w:num w:numId="110">
    <w:abstractNumId w:val="71"/>
  </w:num>
  <w:num w:numId="111">
    <w:abstractNumId w:val="60"/>
  </w:num>
  <w:num w:numId="112">
    <w:abstractNumId w:val="39"/>
  </w:num>
  <w:num w:numId="113">
    <w:abstractNumId w:val="5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NotTrackFormatting/>
  <w:defaultTabStop w:val="720"/>
  <w:doNotHyphenateCaps/>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imistyles.xml"/>
    <w:docVar w:name="XSLPath" w:val="C:\Program Files\Information Mapping\FS Pro 4.2\StyleSheets\"/>
    <w:docVar w:name="XSLstylesheet" w:val="Basic.xsl"/>
  </w:docVars>
  <w:rsids>
    <w:rsidRoot w:val="00281CE5"/>
    <w:rsid w:val="00000891"/>
    <w:rsid w:val="00002E61"/>
    <w:rsid w:val="00004030"/>
    <w:rsid w:val="00005F3D"/>
    <w:rsid w:val="00006657"/>
    <w:rsid w:val="00006713"/>
    <w:rsid w:val="0000682D"/>
    <w:rsid w:val="0000732C"/>
    <w:rsid w:val="00012519"/>
    <w:rsid w:val="00013519"/>
    <w:rsid w:val="00016A87"/>
    <w:rsid w:val="00017E8E"/>
    <w:rsid w:val="000223E9"/>
    <w:rsid w:val="00023C10"/>
    <w:rsid w:val="0002487B"/>
    <w:rsid w:val="00026F0A"/>
    <w:rsid w:val="00030777"/>
    <w:rsid w:val="00031B2B"/>
    <w:rsid w:val="00031F3B"/>
    <w:rsid w:val="0003496E"/>
    <w:rsid w:val="0003697D"/>
    <w:rsid w:val="00036F6A"/>
    <w:rsid w:val="000377B4"/>
    <w:rsid w:val="00040270"/>
    <w:rsid w:val="00040DBC"/>
    <w:rsid w:val="000413CE"/>
    <w:rsid w:val="00041AD6"/>
    <w:rsid w:val="00042F57"/>
    <w:rsid w:val="00044015"/>
    <w:rsid w:val="0004493F"/>
    <w:rsid w:val="00046206"/>
    <w:rsid w:val="000500E1"/>
    <w:rsid w:val="0005187B"/>
    <w:rsid w:val="00053C01"/>
    <w:rsid w:val="000555C9"/>
    <w:rsid w:val="000558CB"/>
    <w:rsid w:val="000568FE"/>
    <w:rsid w:val="000575B9"/>
    <w:rsid w:val="00061F7A"/>
    <w:rsid w:val="000620EE"/>
    <w:rsid w:val="000631FE"/>
    <w:rsid w:val="000637D8"/>
    <w:rsid w:val="00063A92"/>
    <w:rsid w:val="00063D04"/>
    <w:rsid w:val="00064323"/>
    <w:rsid w:val="000709CC"/>
    <w:rsid w:val="00073285"/>
    <w:rsid w:val="00073616"/>
    <w:rsid w:val="00074300"/>
    <w:rsid w:val="000764AD"/>
    <w:rsid w:val="000801AB"/>
    <w:rsid w:val="00083BCD"/>
    <w:rsid w:val="0008461C"/>
    <w:rsid w:val="0008672D"/>
    <w:rsid w:val="000868BA"/>
    <w:rsid w:val="00086AC7"/>
    <w:rsid w:val="00087790"/>
    <w:rsid w:val="00090B75"/>
    <w:rsid w:val="00091A44"/>
    <w:rsid w:val="00091D62"/>
    <w:rsid w:val="00092354"/>
    <w:rsid w:val="000926C0"/>
    <w:rsid w:val="0009553B"/>
    <w:rsid w:val="00095A76"/>
    <w:rsid w:val="00096EF2"/>
    <w:rsid w:val="000A0DB4"/>
    <w:rsid w:val="000A2DD7"/>
    <w:rsid w:val="000A3D30"/>
    <w:rsid w:val="000B0588"/>
    <w:rsid w:val="000B0A3F"/>
    <w:rsid w:val="000B7E21"/>
    <w:rsid w:val="000C13F1"/>
    <w:rsid w:val="000C6350"/>
    <w:rsid w:val="000C6DFD"/>
    <w:rsid w:val="000D2770"/>
    <w:rsid w:val="000D2993"/>
    <w:rsid w:val="000D312A"/>
    <w:rsid w:val="000D3D1B"/>
    <w:rsid w:val="000D43B7"/>
    <w:rsid w:val="000D4906"/>
    <w:rsid w:val="000D4B7D"/>
    <w:rsid w:val="000D4EF2"/>
    <w:rsid w:val="000D5719"/>
    <w:rsid w:val="000D6097"/>
    <w:rsid w:val="000E017E"/>
    <w:rsid w:val="000E3C01"/>
    <w:rsid w:val="000E6D64"/>
    <w:rsid w:val="000E7EB1"/>
    <w:rsid w:val="000F0B8D"/>
    <w:rsid w:val="000F13F9"/>
    <w:rsid w:val="000F48CB"/>
    <w:rsid w:val="000F79D7"/>
    <w:rsid w:val="00100B90"/>
    <w:rsid w:val="001020AE"/>
    <w:rsid w:val="0010359A"/>
    <w:rsid w:val="001035FA"/>
    <w:rsid w:val="00104317"/>
    <w:rsid w:val="00110366"/>
    <w:rsid w:val="00111CE5"/>
    <w:rsid w:val="00113B5F"/>
    <w:rsid w:val="00114585"/>
    <w:rsid w:val="00114702"/>
    <w:rsid w:val="00114A7E"/>
    <w:rsid w:val="001159FB"/>
    <w:rsid w:val="00115FC7"/>
    <w:rsid w:val="00116556"/>
    <w:rsid w:val="00121758"/>
    <w:rsid w:val="001235FF"/>
    <w:rsid w:val="00125157"/>
    <w:rsid w:val="001270B1"/>
    <w:rsid w:val="00131414"/>
    <w:rsid w:val="00133CBD"/>
    <w:rsid w:val="00133EBE"/>
    <w:rsid w:val="00135DC0"/>
    <w:rsid w:val="00136B5E"/>
    <w:rsid w:val="00142F6F"/>
    <w:rsid w:val="00146376"/>
    <w:rsid w:val="00147009"/>
    <w:rsid w:val="001472E6"/>
    <w:rsid w:val="00150A6F"/>
    <w:rsid w:val="00155959"/>
    <w:rsid w:val="001565C0"/>
    <w:rsid w:val="00156D06"/>
    <w:rsid w:val="00161C2A"/>
    <w:rsid w:val="00161C63"/>
    <w:rsid w:val="0016394E"/>
    <w:rsid w:val="00163D04"/>
    <w:rsid w:val="001709C7"/>
    <w:rsid w:val="00170D99"/>
    <w:rsid w:val="00171AC4"/>
    <w:rsid w:val="001756A4"/>
    <w:rsid w:val="00176A15"/>
    <w:rsid w:val="0017701B"/>
    <w:rsid w:val="001771E5"/>
    <w:rsid w:val="00177CD9"/>
    <w:rsid w:val="00180548"/>
    <w:rsid w:val="00181E3A"/>
    <w:rsid w:val="001831DE"/>
    <w:rsid w:val="00183DBC"/>
    <w:rsid w:val="00184146"/>
    <w:rsid w:val="001847D5"/>
    <w:rsid w:val="00186034"/>
    <w:rsid w:val="001902AE"/>
    <w:rsid w:val="00191AC7"/>
    <w:rsid w:val="00192185"/>
    <w:rsid w:val="00192D03"/>
    <w:rsid w:val="001942AA"/>
    <w:rsid w:val="00196D3E"/>
    <w:rsid w:val="001A2695"/>
    <w:rsid w:val="001B1706"/>
    <w:rsid w:val="001B4549"/>
    <w:rsid w:val="001B4F56"/>
    <w:rsid w:val="001B61F3"/>
    <w:rsid w:val="001B696A"/>
    <w:rsid w:val="001C0195"/>
    <w:rsid w:val="001C3C31"/>
    <w:rsid w:val="001D5800"/>
    <w:rsid w:val="001D6346"/>
    <w:rsid w:val="001D71BA"/>
    <w:rsid w:val="001E05EB"/>
    <w:rsid w:val="001E0EF0"/>
    <w:rsid w:val="001E20C7"/>
    <w:rsid w:val="001E23A9"/>
    <w:rsid w:val="001E2B42"/>
    <w:rsid w:val="001E2BEE"/>
    <w:rsid w:val="001E7396"/>
    <w:rsid w:val="001F49C8"/>
    <w:rsid w:val="001F4AB9"/>
    <w:rsid w:val="001F5C6E"/>
    <w:rsid w:val="001F76FC"/>
    <w:rsid w:val="002000E9"/>
    <w:rsid w:val="00200E27"/>
    <w:rsid w:val="002015F1"/>
    <w:rsid w:val="0020160F"/>
    <w:rsid w:val="002019D6"/>
    <w:rsid w:val="002135EC"/>
    <w:rsid w:val="00213BE9"/>
    <w:rsid w:val="00213D5A"/>
    <w:rsid w:val="00216892"/>
    <w:rsid w:val="00224F60"/>
    <w:rsid w:val="00225008"/>
    <w:rsid w:val="002257E9"/>
    <w:rsid w:val="002262A5"/>
    <w:rsid w:val="00227BBA"/>
    <w:rsid w:val="00230C0A"/>
    <w:rsid w:val="002320D0"/>
    <w:rsid w:val="00232D1E"/>
    <w:rsid w:val="002337D3"/>
    <w:rsid w:val="00233A4D"/>
    <w:rsid w:val="00233C7A"/>
    <w:rsid w:val="002363EB"/>
    <w:rsid w:val="0024211D"/>
    <w:rsid w:val="0024293A"/>
    <w:rsid w:val="00242D35"/>
    <w:rsid w:val="00245065"/>
    <w:rsid w:val="0025442C"/>
    <w:rsid w:val="00254D40"/>
    <w:rsid w:val="00255380"/>
    <w:rsid w:val="00256D99"/>
    <w:rsid w:val="00260389"/>
    <w:rsid w:val="00261968"/>
    <w:rsid w:val="00262BD3"/>
    <w:rsid w:val="00264AA9"/>
    <w:rsid w:val="00270BF0"/>
    <w:rsid w:val="00271B37"/>
    <w:rsid w:val="00271F50"/>
    <w:rsid w:val="00272376"/>
    <w:rsid w:val="00272447"/>
    <w:rsid w:val="00276910"/>
    <w:rsid w:val="00276CBF"/>
    <w:rsid w:val="002803B6"/>
    <w:rsid w:val="00280940"/>
    <w:rsid w:val="00281334"/>
    <w:rsid w:val="00281619"/>
    <w:rsid w:val="00281CE5"/>
    <w:rsid w:val="002825BC"/>
    <w:rsid w:val="00283621"/>
    <w:rsid w:val="0028569F"/>
    <w:rsid w:val="00285E9E"/>
    <w:rsid w:val="00285F57"/>
    <w:rsid w:val="002868F4"/>
    <w:rsid w:val="002903A3"/>
    <w:rsid w:val="0029221F"/>
    <w:rsid w:val="0029246F"/>
    <w:rsid w:val="00292787"/>
    <w:rsid w:val="00294C60"/>
    <w:rsid w:val="0029740C"/>
    <w:rsid w:val="0029760A"/>
    <w:rsid w:val="00297FB3"/>
    <w:rsid w:val="002A1338"/>
    <w:rsid w:val="002A155E"/>
    <w:rsid w:val="002A3C23"/>
    <w:rsid w:val="002A7DBB"/>
    <w:rsid w:val="002A7FC7"/>
    <w:rsid w:val="002B1B68"/>
    <w:rsid w:val="002B3DF1"/>
    <w:rsid w:val="002B57E7"/>
    <w:rsid w:val="002B5F92"/>
    <w:rsid w:val="002C010B"/>
    <w:rsid w:val="002C1151"/>
    <w:rsid w:val="002C3360"/>
    <w:rsid w:val="002C3890"/>
    <w:rsid w:val="002C3981"/>
    <w:rsid w:val="002C43D6"/>
    <w:rsid w:val="002C684C"/>
    <w:rsid w:val="002D0488"/>
    <w:rsid w:val="002D250D"/>
    <w:rsid w:val="002D5E8F"/>
    <w:rsid w:val="002D7AE0"/>
    <w:rsid w:val="002E2245"/>
    <w:rsid w:val="002E3C9E"/>
    <w:rsid w:val="002E53C9"/>
    <w:rsid w:val="002E6063"/>
    <w:rsid w:val="002E6726"/>
    <w:rsid w:val="002E6736"/>
    <w:rsid w:val="002F0605"/>
    <w:rsid w:val="002F0652"/>
    <w:rsid w:val="002F5420"/>
    <w:rsid w:val="002F65D1"/>
    <w:rsid w:val="002F6ADD"/>
    <w:rsid w:val="002F789B"/>
    <w:rsid w:val="003029BC"/>
    <w:rsid w:val="00303B32"/>
    <w:rsid w:val="003044D7"/>
    <w:rsid w:val="00306DA4"/>
    <w:rsid w:val="00306DA6"/>
    <w:rsid w:val="00307252"/>
    <w:rsid w:val="00311B2F"/>
    <w:rsid w:val="00314392"/>
    <w:rsid w:val="00316AEC"/>
    <w:rsid w:val="00316C39"/>
    <w:rsid w:val="0031782A"/>
    <w:rsid w:val="00317843"/>
    <w:rsid w:val="00317FD3"/>
    <w:rsid w:val="00321163"/>
    <w:rsid w:val="0032164A"/>
    <w:rsid w:val="00321DA8"/>
    <w:rsid w:val="00324D8F"/>
    <w:rsid w:val="00325A76"/>
    <w:rsid w:val="003301AA"/>
    <w:rsid w:val="00332E94"/>
    <w:rsid w:val="003330EB"/>
    <w:rsid w:val="003332E7"/>
    <w:rsid w:val="00333E1D"/>
    <w:rsid w:val="003349CA"/>
    <w:rsid w:val="003357EE"/>
    <w:rsid w:val="003366F0"/>
    <w:rsid w:val="00340855"/>
    <w:rsid w:val="00341088"/>
    <w:rsid w:val="00341CE5"/>
    <w:rsid w:val="0034238F"/>
    <w:rsid w:val="00344B75"/>
    <w:rsid w:val="003463A7"/>
    <w:rsid w:val="003513C1"/>
    <w:rsid w:val="0035529A"/>
    <w:rsid w:val="00356598"/>
    <w:rsid w:val="00356F56"/>
    <w:rsid w:val="00357E42"/>
    <w:rsid w:val="00357FAE"/>
    <w:rsid w:val="0036028B"/>
    <w:rsid w:val="00360F9E"/>
    <w:rsid w:val="00361758"/>
    <w:rsid w:val="0036276A"/>
    <w:rsid w:val="00364BAA"/>
    <w:rsid w:val="003653AB"/>
    <w:rsid w:val="003659F4"/>
    <w:rsid w:val="00370B19"/>
    <w:rsid w:val="00370F6C"/>
    <w:rsid w:val="00372A09"/>
    <w:rsid w:val="00375904"/>
    <w:rsid w:val="00376607"/>
    <w:rsid w:val="00376B3C"/>
    <w:rsid w:val="003814ED"/>
    <w:rsid w:val="003816DF"/>
    <w:rsid w:val="00381D0E"/>
    <w:rsid w:val="0038529D"/>
    <w:rsid w:val="003852D3"/>
    <w:rsid w:val="003864BD"/>
    <w:rsid w:val="003865F8"/>
    <w:rsid w:val="003907D9"/>
    <w:rsid w:val="00393315"/>
    <w:rsid w:val="003939DB"/>
    <w:rsid w:val="00394508"/>
    <w:rsid w:val="003950CE"/>
    <w:rsid w:val="00396AFE"/>
    <w:rsid w:val="003A0D0E"/>
    <w:rsid w:val="003A2FBC"/>
    <w:rsid w:val="003A3DB7"/>
    <w:rsid w:val="003A3ED1"/>
    <w:rsid w:val="003B1FF0"/>
    <w:rsid w:val="003B3349"/>
    <w:rsid w:val="003B592C"/>
    <w:rsid w:val="003B768B"/>
    <w:rsid w:val="003C12C4"/>
    <w:rsid w:val="003C12FF"/>
    <w:rsid w:val="003C28F8"/>
    <w:rsid w:val="003C70CA"/>
    <w:rsid w:val="003C728D"/>
    <w:rsid w:val="003C7362"/>
    <w:rsid w:val="003D32BD"/>
    <w:rsid w:val="003D560A"/>
    <w:rsid w:val="003D6832"/>
    <w:rsid w:val="003E02C0"/>
    <w:rsid w:val="003E0904"/>
    <w:rsid w:val="003E3ED1"/>
    <w:rsid w:val="003E75DA"/>
    <w:rsid w:val="003E7CC5"/>
    <w:rsid w:val="003F3038"/>
    <w:rsid w:val="003F32D7"/>
    <w:rsid w:val="003F5AD8"/>
    <w:rsid w:val="003F5D70"/>
    <w:rsid w:val="003F6923"/>
    <w:rsid w:val="00401F0D"/>
    <w:rsid w:val="00406E12"/>
    <w:rsid w:val="0040738A"/>
    <w:rsid w:val="00413EE5"/>
    <w:rsid w:val="00417305"/>
    <w:rsid w:val="00420A1F"/>
    <w:rsid w:val="0042118E"/>
    <w:rsid w:val="0042150B"/>
    <w:rsid w:val="00422A2C"/>
    <w:rsid w:val="00425E88"/>
    <w:rsid w:val="004309F0"/>
    <w:rsid w:val="00430EB8"/>
    <w:rsid w:val="00431B5B"/>
    <w:rsid w:val="00432CC0"/>
    <w:rsid w:val="00433107"/>
    <w:rsid w:val="00435150"/>
    <w:rsid w:val="004459AD"/>
    <w:rsid w:val="00446F95"/>
    <w:rsid w:val="00451B86"/>
    <w:rsid w:val="00454080"/>
    <w:rsid w:val="0045615C"/>
    <w:rsid w:val="004567FF"/>
    <w:rsid w:val="004600FE"/>
    <w:rsid w:val="00461364"/>
    <w:rsid w:val="00462036"/>
    <w:rsid w:val="00463254"/>
    <w:rsid w:val="00463866"/>
    <w:rsid w:val="00464F3D"/>
    <w:rsid w:val="00465FF6"/>
    <w:rsid w:val="00466C07"/>
    <w:rsid w:val="00467325"/>
    <w:rsid w:val="00467971"/>
    <w:rsid w:val="0047062A"/>
    <w:rsid w:val="00470B4D"/>
    <w:rsid w:val="00472A8B"/>
    <w:rsid w:val="00473FF1"/>
    <w:rsid w:val="004755FF"/>
    <w:rsid w:val="00476A4E"/>
    <w:rsid w:val="00485333"/>
    <w:rsid w:val="004861DC"/>
    <w:rsid w:val="0048680F"/>
    <w:rsid w:val="00491B29"/>
    <w:rsid w:val="00491C07"/>
    <w:rsid w:val="00493816"/>
    <w:rsid w:val="00493C98"/>
    <w:rsid w:val="004960B2"/>
    <w:rsid w:val="004A443F"/>
    <w:rsid w:val="004A6D8A"/>
    <w:rsid w:val="004B0E50"/>
    <w:rsid w:val="004B3668"/>
    <w:rsid w:val="004B6436"/>
    <w:rsid w:val="004B64FF"/>
    <w:rsid w:val="004C0235"/>
    <w:rsid w:val="004C0A62"/>
    <w:rsid w:val="004C26D0"/>
    <w:rsid w:val="004C2B1A"/>
    <w:rsid w:val="004D0BB5"/>
    <w:rsid w:val="004D2C1A"/>
    <w:rsid w:val="004D599D"/>
    <w:rsid w:val="004E3A49"/>
    <w:rsid w:val="004E3DE6"/>
    <w:rsid w:val="004E4037"/>
    <w:rsid w:val="004E70B4"/>
    <w:rsid w:val="004E70BF"/>
    <w:rsid w:val="004E7157"/>
    <w:rsid w:val="004F04C4"/>
    <w:rsid w:val="004F2102"/>
    <w:rsid w:val="004F230A"/>
    <w:rsid w:val="004F28A0"/>
    <w:rsid w:val="004F4F95"/>
    <w:rsid w:val="004F6D3F"/>
    <w:rsid w:val="004F72B7"/>
    <w:rsid w:val="004F7931"/>
    <w:rsid w:val="005006B9"/>
    <w:rsid w:val="00501C18"/>
    <w:rsid w:val="00502310"/>
    <w:rsid w:val="00503B40"/>
    <w:rsid w:val="00503E7B"/>
    <w:rsid w:val="00504FBE"/>
    <w:rsid w:val="005062DF"/>
    <w:rsid w:val="00511CBD"/>
    <w:rsid w:val="00511D0D"/>
    <w:rsid w:val="00511E2D"/>
    <w:rsid w:val="00511F18"/>
    <w:rsid w:val="00513BA3"/>
    <w:rsid w:val="00514AF9"/>
    <w:rsid w:val="00515345"/>
    <w:rsid w:val="005221F7"/>
    <w:rsid w:val="00524D34"/>
    <w:rsid w:val="0052729A"/>
    <w:rsid w:val="005335A5"/>
    <w:rsid w:val="00533611"/>
    <w:rsid w:val="005336D4"/>
    <w:rsid w:val="00536225"/>
    <w:rsid w:val="00542A7A"/>
    <w:rsid w:val="00543756"/>
    <w:rsid w:val="00543C01"/>
    <w:rsid w:val="00544954"/>
    <w:rsid w:val="0054573F"/>
    <w:rsid w:val="00546639"/>
    <w:rsid w:val="0054666A"/>
    <w:rsid w:val="005472A2"/>
    <w:rsid w:val="00551549"/>
    <w:rsid w:val="00554A0B"/>
    <w:rsid w:val="0055615B"/>
    <w:rsid w:val="00560532"/>
    <w:rsid w:val="00560663"/>
    <w:rsid w:val="00561209"/>
    <w:rsid w:val="00561D8E"/>
    <w:rsid w:val="00563FDF"/>
    <w:rsid w:val="00564B38"/>
    <w:rsid w:val="0056649E"/>
    <w:rsid w:val="00566FE6"/>
    <w:rsid w:val="00567178"/>
    <w:rsid w:val="00572877"/>
    <w:rsid w:val="00572A3F"/>
    <w:rsid w:val="00572AF2"/>
    <w:rsid w:val="00576183"/>
    <w:rsid w:val="00580829"/>
    <w:rsid w:val="0058099E"/>
    <w:rsid w:val="00581CF6"/>
    <w:rsid w:val="00583569"/>
    <w:rsid w:val="00583752"/>
    <w:rsid w:val="00586B43"/>
    <w:rsid w:val="00591CB4"/>
    <w:rsid w:val="00594A87"/>
    <w:rsid w:val="0059712B"/>
    <w:rsid w:val="00597B3C"/>
    <w:rsid w:val="005A0456"/>
    <w:rsid w:val="005A160A"/>
    <w:rsid w:val="005A23CC"/>
    <w:rsid w:val="005A2594"/>
    <w:rsid w:val="005A5ADD"/>
    <w:rsid w:val="005A6195"/>
    <w:rsid w:val="005A6813"/>
    <w:rsid w:val="005B1B58"/>
    <w:rsid w:val="005B1D31"/>
    <w:rsid w:val="005B2244"/>
    <w:rsid w:val="005B3118"/>
    <w:rsid w:val="005B3357"/>
    <w:rsid w:val="005B57E6"/>
    <w:rsid w:val="005B6F15"/>
    <w:rsid w:val="005B7832"/>
    <w:rsid w:val="005C01A3"/>
    <w:rsid w:val="005C1A37"/>
    <w:rsid w:val="005C4C57"/>
    <w:rsid w:val="005C5241"/>
    <w:rsid w:val="005C77B4"/>
    <w:rsid w:val="005D3CFA"/>
    <w:rsid w:val="005D3EE8"/>
    <w:rsid w:val="005D43EC"/>
    <w:rsid w:val="005D4758"/>
    <w:rsid w:val="005D5807"/>
    <w:rsid w:val="005D701F"/>
    <w:rsid w:val="005E1CFF"/>
    <w:rsid w:val="005E5491"/>
    <w:rsid w:val="005E6C01"/>
    <w:rsid w:val="005F04E2"/>
    <w:rsid w:val="005F35C5"/>
    <w:rsid w:val="005F4B17"/>
    <w:rsid w:val="005F4B1D"/>
    <w:rsid w:val="005F526A"/>
    <w:rsid w:val="00600943"/>
    <w:rsid w:val="00602425"/>
    <w:rsid w:val="0060280D"/>
    <w:rsid w:val="006033ED"/>
    <w:rsid w:val="006042E5"/>
    <w:rsid w:val="00604AC7"/>
    <w:rsid w:val="00604B57"/>
    <w:rsid w:val="00605B12"/>
    <w:rsid w:val="0060609C"/>
    <w:rsid w:val="0060644C"/>
    <w:rsid w:val="006068AE"/>
    <w:rsid w:val="0061020D"/>
    <w:rsid w:val="00610FB9"/>
    <w:rsid w:val="006112CB"/>
    <w:rsid w:val="006117EC"/>
    <w:rsid w:val="00613EB2"/>
    <w:rsid w:val="00613EE6"/>
    <w:rsid w:val="00614FC2"/>
    <w:rsid w:val="00615602"/>
    <w:rsid w:val="00615AEF"/>
    <w:rsid w:val="00617E88"/>
    <w:rsid w:val="00620AC1"/>
    <w:rsid w:val="00621A3A"/>
    <w:rsid w:val="00621D24"/>
    <w:rsid w:val="006221C9"/>
    <w:rsid w:val="00625305"/>
    <w:rsid w:val="00625B17"/>
    <w:rsid w:val="0062777D"/>
    <w:rsid w:val="00631E67"/>
    <w:rsid w:val="00632183"/>
    <w:rsid w:val="006333D4"/>
    <w:rsid w:val="006340DD"/>
    <w:rsid w:val="00634ADE"/>
    <w:rsid w:val="00640536"/>
    <w:rsid w:val="006415BB"/>
    <w:rsid w:val="00641983"/>
    <w:rsid w:val="00642564"/>
    <w:rsid w:val="0064263C"/>
    <w:rsid w:val="006429E4"/>
    <w:rsid w:val="00642CDA"/>
    <w:rsid w:val="0064420E"/>
    <w:rsid w:val="006466F8"/>
    <w:rsid w:val="0064694D"/>
    <w:rsid w:val="00650FC1"/>
    <w:rsid w:val="0065310D"/>
    <w:rsid w:val="00656012"/>
    <w:rsid w:val="00657639"/>
    <w:rsid w:val="00657F74"/>
    <w:rsid w:val="006612F8"/>
    <w:rsid w:val="00661A60"/>
    <w:rsid w:val="006628A9"/>
    <w:rsid w:val="006654E6"/>
    <w:rsid w:val="0066650D"/>
    <w:rsid w:val="006733D0"/>
    <w:rsid w:val="00674204"/>
    <w:rsid w:val="00675099"/>
    <w:rsid w:val="00680E80"/>
    <w:rsid w:val="006814FF"/>
    <w:rsid w:val="0068481B"/>
    <w:rsid w:val="00684B0F"/>
    <w:rsid w:val="00685673"/>
    <w:rsid w:val="00686F5B"/>
    <w:rsid w:val="00687093"/>
    <w:rsid w:val="00687550"/>
    <w:rsid w:val="00692506"/>
    <w:rsid w:val="00693921"/>
    <w:rsid w:val="00696C8C"/>
    <w:rsid w:val="00696CE7"/>
    <w:rsid w:val="00697EC2"/>
    <w:rsid w:val="006A05E9"/>
    <w:rsid w:val="006A070D"/>
    <w:rsid w:val="006A1305"/>
    <w:rsid w:val="006A273F"/>
    <w:rsid w:val="006A33FC"/>
    <w:rsid w:val="006A48C1"/>
    <w:rsid w:val="006B0640"/>
    <w:rsid w:val="006B14D3"/>
    <w:rsid w:val="006B39DB"/>
    <w:rsid w:val="006B3A4B"/>
    <w:rsid w:val="006B5B0A"/>
    <w:rsid w:val="006B64DE"/>
    <w:rsid w:val="006B6749"/>
    <w:rsid w:val="006B68DE"/>
    <w:rsid w:val="006B6C13"/>
    <w:rsid w:val="006B7A68"/>
    <w:rsid w:val="006C0568"/>
    <w:rsid w:val="006C158B"/>
    <w:rsid w:val="006C3CB1"/>
    <w:rsid w:val="006C3FAA"/>
    <w:rsid w:val="006C5A39"/>
    <w:rsid w:val="006C75B4"/>
    <w:rsid w:val="006C7A8A"/>
    <w:rsid w:val="006D0466"/>
    <w:rsid w:val="006D16C7"/>
    <w:rsid w:val="006D5089"/>
    <w:rsid w:val="006D63D0"/>
    <w:rsid w:val="006D785C"/>
    <w:rsid w:val="006E03E0"/>
    <w:rsid w:val="006E0650"/>
    <w:rsid w:val="006E0CF6"/>
    <w:rsid w:val="006E3AFC"/>
    <w:rsid w:val="006E5D43"/>
    <w:rsid w:val="006E6E32"/>
    <w:rsid w:val="006E7A17"/>
    <w:rsid w:val="006F0EDD"/>
    <w:rsid w:val="006F1070"/>
    <w:rsid w:val="006F12AC"/>
    <w:rsid w:val="006F17C1"/>
    <w:rsid w:val="006F272F"/>
    <w:rsid w:val="006F3625"/>
    <w:rsid w:val="006F4499"/>
    <w:rsid w:val="00701286"/>
    <w:rsid w:val="00702B33"/>
    <w:rsid w:val="00703A51"/>
    <w:rsid w:val="00703F3C"/>
    <w:rsid w:val="00706503"/>
    <w:rsid w:val="0071131C"/>
    <w:rsid w:val="00712D50"/>
    <w:rsid w:val="00713531"/>
    <w:rsid w:val="007155FE"/>
    <w:rsid w:val="00716E2A"/>
    <w:rsid w:val="007173EC"/>
    <w:rsid w:val="007223B9"/>
    <w:rsid w:val="007240E1"/>
    <w:rsid w:val="00725530"/>
    <w:rsid w:val="00725E0A"/>
    <w:rsid w:val="0072631F"/>
    <w:rsid w:val="007312EC"/>
    <w:rsid w:val="00731C0A"/>
    <w:rsid w:val="00731C4C"/>
    <w:rsid w:val="00732714"/>
    <w:rsid w:val="007333FF"/>
    <w:rsid w:val="00735576"/>
    <w:rsid w:val="00735683"/>
    <w:rsid w:val="0073739A"/>
    <w:rsid w:val="00737753"/>
    <w:rsid w:val="00740D75"/>
    <w:rsid w:val="00740E5C"/>
    <w:rsid w:val="00741FBB"/>
    <w:rsid w:val="00742BF3"/>
    <w:rsid w:val="00742F9F"/>
    <w:rsid w:val="00747A4C"/>
    <w:rsid w:val="00752F2E"/>
    <w:rsid w:val="00752F9B"/>
    <w:rsid w:val="0075341C"/>
    <w:rsid w:val="00753763"/>
    <w:rsid w:val="00754E33"/>
    <w:rsid w:val="00755263"/>
    <w:rsid w:val="0075673B"/>
    <w:rsid w:val="0075786D"/>
    <w:rsid w:val="00757BF3"/>
    <w:rsid w:val="007607A3"/>
    <w:rsid w:val="00764501"/>
    <w:rsid w:val="007663A2"/>
    <w:rsid w:val="007665C8"/>
    <w:rsid w:val="00767B62"/>
    <w:rsid w:val="00770440"/>
    <w:rsid w:val="00771ADA"/>
    <w:rsid w:val="00772977"/>
    <w:rsid w:val="00772ACA"/>
    <w:rsid w:val="00776403"/>
    <w:rsid w:val="007776EF"/>
    <w:rsid w:val="00777F13"/>
    <w:rsid w:val="0078297D"/>
    <w:rsid w:val="0078309F"/>
    <w:rsid w:val="00784AC7"/>
    <w:rsid w:val="00785AA6"/>
    <w:rsid w:val="00786EB5"/>
    <w:rsid w:val="0079363B"/>
    <w:rsid w:val="00795689"/>
    <w:rsid w:val="007968B6"/>
    <w:rsid w:val="007971DC"/>
    <w:rsid w:val="007A34BA"/>
    <w:rsid w:val="007A401D"/>
    <w:rsid w:val="007A5643"/>
    <w:rsid w:val="007A6C6A"/>
    <w:rsid w:val="007A6D39"/>
    <w:rsid w:val="007A776E"/>
    <w:rsid w:val="007B0EC8"/>
    <w:rsid w:val="007B424F"/>
    <w:rsid w:val="007B6226"/>
    <w:rsid w:val="007B6506"/>
    <w:rsid w:val="007B71CB"/>
    <w:rsid w:val="007B74E2"/>
    <w:rsid w:val="007C0328"/>
    <w:rsid w:val="007C0372"/>
    <w:rsid w:val="007C05B8"/>
    <w:rsid w:val="007C2DC3"/>
    <w:rsid w:val="007C4ABB"/>
    <w:rsid w:val="007C5250"/>
    <w:rsid w:val="007C6462"/>
    <w:rsid w:val="007C6912"/>
    <w:rsid w:val="007C7538"/>
    <w:rsid w:val="007D015E"/>
    <w:rsid w:val="007D0EFC"/>
    <w:rsid w:val="007D34FD"/>
    <w:rsid w:val="007D71C0"/>
    <w:rsid w:val="007D760D"/>
    <w:rsid w:val="007D7704"/>
    <w:rsid w:val="007E035C"/>
    <w:rsid w:val="007E4E89"/>
    <w:rsid w:val="007E53B5"/>
    <w:rsid w:val="007F1E13"/>
    <w:rsid w:val="007F2F68"/>
    <w:rsid w:val="007F3DE2"/>
    <w:rsid w:val="007F4C25"/>
    <w:rsid w:val="007F4C69"/>
    <w:rsid w:val="008023A4"/>
    <w:rsid w:val="00802E93"/>
    <w:rsid w:val="00804FDB"/>
    <w:rsid w:val="00806067"/>
    <w:rsid w:val="00806501"/>
    <w:rsid w:val="008065E7"/>
    <w:rsid w:val="0081008C"/>
    <w:rsid w:val="00811AF6"/>
    <w:rsid w:val="00812AB0"/>
    <w:rsid w:val="00820E0A"/>
    <w:rsid w:val="00823B2A"/>
    <w:rsid w:val="0082736C"/>
    <w:rsid w:val="00827D21"/>
    <w:rsid w:val="00830FA2"/>
    <w:rsid w:val="008311A1"/>
    <w:rsid w:val="00833A6E"/>
    <w:rsid w:val="00835423"/>
    <w:rsid w:val="008378AA"/>
    <w:rsid w:val="00837F47"/>
    <w:rsid w:val="008410D7"/>
    <w:rsid w:val="00842300"/>
    <w:rsid w:val="00842924"/>
    <w:rsid w:val="0084462E"/>
    <w:rsid w:val="0085086F"/>
    <w:rsid w:val="0085094B"/>
    <w:rsid w:val="0085208B"/>
    <w:rsid w:val="00852D19"/>
    <w:rsid w:val="00853BAC"/>
    <w:rsid w:val="00856986"/>
    <w:rsid w:val="008575C0"/>
    <w:rsid w:val="00857AEC"/>
    <w:rsid w:val="00857FB9"/>
    <w:rsid w:val="00861EFB"/>
    <w:rsid w:val="00861F0A"/>
    <w:rsid w:val="008621E8"/>
    <w:rsid w:val="008629D1"/>
    <w:rsid w:val="008632E9"/>
    <w:rsid w:val="00863584"/>
    <w:rsid w:val="0086440E"/>
    <w:rsid w:val="008647D8"/>
    <w:rsid w:val="008656FF"/>
    <w:rsid w:val="00865C85"/>
    <w:rsid w:val="00866A0C"/>
    <w:rsid w:val="00867180"/>
    <w:rsid w:val="00870261"/>
    <w:rsid w:val="0087060F"/>
    <w:rsid w:val="00873A58"/>
    <w:rsid w:val="00875DD9"/>
    <w:rsid w:val="00876DD2"/>
    <w:rsid w:val="008806F9"/>
    <w:rsid w:val="00880EC9"/>
    <w:rsid w:val="00882D0A"/>
    <w:rsid w:val="008848B4"/>
    <w:rsid w:val="008862D7"/>
    <w:rsid w:val="00886BCA"/>
    <w:rsid w:val="00887FEE"/>
    <w:rsid w:val="008909A7"/>
    <w:rsid w:val="00890BDC"/>
    <w:rsid w:val="0089226C"/>
    <w:rsid w:val="00892CAC"/>
    <w:rsid w:val="00892D5C"/>
    <w:rsid w:val="00894AB4"/>
    <w:rsid w:val="00895AB4"/>
    <w:rsid w:val="00895BBE"/>
    <w:rsid w:val="008974A4"/>
    <w:rsid w:val="008A26C4"/>
    <w:rsid w:val="008A35D4"/>
    <w:rsid w:val="008A7F1A"/>
    <w:rsid w:val="008B0714"/>
    <w:rsid w:val="008B26F4"/>
    <w:rsid w:val="008B2D0B"/>
    <w:rsid w:val="008B33DD"/>
    <w:rsid w:val="008B3B78"/>
    <w:rsid w:val="008B5A38"/>
    <w:rsid w:val="008B6218"/>
    <w:rsid w:val="008B683D"/>
    <w:rsid w:val="008C2B3A"/>
    <w:rsid w:val="008C3080"/>
    <w:rsid w:val="008C30BB"/>
    <w:rsid w:val="008C344E"/>
    <w:rsid w:val="008C3E28"/>
    <w:rsid w:val="008C3E52"/>
    <w:rsid w:val="008C6BE8"/>
    <w:rsid w:val="008D4975"/>
    <w:rsid w:val="008D5202"/>
    <w:rsid w:val="008D5A3C"/>
    <w:rsid w:val="008E2014"/>
    <w:rsid w:val="008E3A2D"/>
    <w:rsid w:val="008E4A79"/>
    <w:rsid w:val="008E510A"/>
    <w:rsid w:val="008E588C"/>
    <w:rsid w:val="008E6257"/>
    <w:rsid w:val="008E745F"/>
    <w:rsid w:val="008F18B0"/>
    <w:rsid w:val="008F2326"/>
    <w:rsid w:val="008F2A3F"/>
    <w:rsid w:val="008F3A9B"/>
    <w:rsid w:val="008F3AA5"/>
    <w:rsid w:val="008F5930"/>
    <w:rsid w:val="008F627F"/>
    <w:rsid w:val="008F7021"/>
    <w:rsid w:val="008F751F"/>
    <w:rsid w:val="008F7631"/>
    <w:rsid w:val="00901B34"/>
    <w:rsid w:val="0090300C"/>
    <w:rsid w:val="009044AE"/>
    <w:rsid w:val="00905D61"/>
    <w:rsid w:val="00905DA0"/>
    <w:rsid w:val="009107E0"/>
    <w:rsid w:val="00911B58"/>
    <w:rsid w:val="00916D43"/>
    <w:rsid w:val="00917165"/>
    <w:rsid w:val="009209E6"/>
    <w:rsid w:val="00924534"/>
    <w:rsid w:val="00925A4D"/>
    <w:rsid w:val="0092707D"/>
    <w:rsid w:val="00927A9D"/>
    <w:rsid w:val="00927E55"/>
    <w:rsid w:val="00932837"/>
    <w:rsid w:val="00932B20"/>
    <w:rsid w:val="00937C1A"/>
    <w:rsid w:val="00944C11"/>
    <w:rsid w:val="0095208D"/>
    <w:rsid w:val="00952F77"/>
    <w:rsid w:val="00954504"/>
    <w:rsid w:val="00954934"/>
    <w:rsid w:val="0095544F"/>
    <w:rsid w:val="00955A08"/>
    <w:rsid w:val="009564D2"/>
    <w:rsid w:val="00963249"/>
    <w:rsid w:val="00965C10"/>
    <w:rsid w:val="00965E41"/>
    <w:rsid w:val="009714DE"/>
    <w:rsid w:val="009729F8"/>
    <w:rsid w:val="0097308F"/>
    <w:rsid w:val="009750EA"/>
    <w:rsid w:val="009752AC"/>
    <w:rsid w:val="009760AA"/>
    <w:rsid w:val="00976A15"/>
    <w:rsid w:val="00976BB1"/>
    <w:rsid w:val="009772A3"/>
    <w:rsid w:val="00977BD4"/>
    <w:rsid w:val="00982924"/>
    <w:rsid w:val="00982AA1"/>
    <w:rsid w:val="00983BAD"/>
    <w:rsid w:val="00983CE8"/>
    <w:rsid w:val="00983CF7"/>
    <w:rsid w:val="00984136"/>
    <w:rsid w:val="009841A5"/>
    <w:rsid w:val="009846F4"/>
    <w:rsid w:val="00992187"/>
    <w:rsid w:val="00994AFD"/>
    <w:rsid w:val="00994B23"/>
    <w:rsid w:val="00995AF0"/>
    <w:rsid w:val="009976EE"/>
    <w:rsid w:val="009A140A"/>
    <w:rsid w:val="009A27E8"/>
    <w:rsid w:val="009A35F6"/>
    <w:rsid w:val="009A46F3"/>
    <w:rsid w:val="009B227C"/>
    <w:rsid w:val="009B3613"/>
    <w:rsid w:val="009B491C"/>
    <w:rsid w:val="009B57F9"/>
    <w:rsid w:val="009C0BC2"/>
    <w:rsid w:val="009C1C96"/>
    <w:rsid w:val="009C204C"/>
    <w:rsid w:val="009C2D98"/>
    <w:rsid w:val="009C3B09"/>
    <w:rsid w:val="009C3F6B"/>
    <w:rsid w:val="009C4395"/>
    <w:rsid w:val="009C5AA1"/>
    <w:rsid w:val="009C6347"/>
    <w:rsid w:val="009C6B36"/>
    <w:rsid w:val="009C703E"/>
    <w:rsid w:val="009C72A7"/>
    <w:rsid w:val="009D057C"/>
    <w:rsid w:val="009D0DD0"/>
    <w:rsid w:val="009D3F89"/>
    <w:rsid w:val="009D41A7"/>
    <w:rsid w:val="009D430B"/>
    <w:rsid w:val="009D4CF5"/>
    <w:rsid w:val="009D509A"/>
    <w:rsid w:val="009D6BBC"/>
    <w:rsid w:val="009E344A"/>
    <w:rsid w:val="009E346E"/>
    <w:rsid w:val="009E3823"/>
    <w:rsid w:val="009E6689"/>
    <w:rsid w:val="009E7704"/>
    <w:rsid w:val="009F1207"/>
    <w:rsid w:val="009F2F73"/>
    <w:rsid w:val="009F422E"/>
    <w:rsid w:val="009F7660"/>
    <w:rsid w:val="00A011D2"/>
    <w:rsid w:val="00A01672"/>
    <w:rsid w:val="00A01C2F"/>
    <w:rsid w:val="00A01F5A"/>
    <w:rsid w:val="00A0278E"/>
    <w:rsid w:val="00A0311E"/>
    <w:rsid w:val="00A070BC"/>
    <w:rsid w:val="00A07C20"/>
    <w:rsid w:val="00A11B33"/>
    <w:rsid w:val="00A12BA3"/>
    <w:rsid w:val="00A13393"/>
    <w:rsid w:val="00A13E01"/>
    <w:rsid w:val="00A1446C"/>
    <w:rsid w:val="00A1519E"/>
    <w:rsid w:val="00A155D3"/>
    <w:rsid w:val="00A178FB"/>
    <w:rsid w:val="00A17A25"/>
    <w:rsid w:val="00A17B5C"/>
    <w:rsid w:val="00A2191E"/>
    <w:rsid w:val="00A231D3"/>
    <w:rsid w:val="00A2410B"/>
    <w:rsid w:val="00A24445"/>
    <w:rsid w:val="00A2513D"/>
    <w:rsid w:val="00A26E7A"/>
    <w:rsid w:val="00A2789F"/>
    <w:rsid w:val="00A310E4"/>
    <w:rsid w:val="00A33FF5"/>
    <w:rsid w:val="00A35BD2"/>
    <w:rsid w:val="00A4098D"/>
    <w:rsid w:val="00A40C93"/>
    <w:rsid w:val="00A41E17"/>
    <w:rsid w:val="00A43623"/>
    <w:rsid w:val="00A447D6"/>
    <w:rsid w:val="00A46CEF"/>
    <w:rsid w:val="00A46F00"/>
    <w:rsid w:val="00A47499"/>
    <w:rsid w:val="00A50655"/>
    <w:rsid w:val="00A51415"/>
    <w:rsid w:val="00A51819"/>
    <w:rsid w:val="00A64278"/>
    <w:rsid w:val="00A646F0"/>
    <w:rsid w:val="00A65CB2"/>
    <w:rsid w:val="00A67CA2"/>
    <w:rsid w:val="00A70850"/>
    <w:rsid w:val="00A71F4B"/>
    <w:rsid w:val="00A73A29"/>
    <w:rsid w:val="00A76055"/>
    <w:rsid w:val="00A763CD"/>
    <w:rsid w:val="00A765B6"/>
    <w:rsid w:val="00A7727D"/>
    <w:rsid w:val="00A778FD"/>
    <w:rsid w:val="00A77B5D"/>
    <w:rsid w:val="00A8043D"/>
    <w:rsid w:val="00A80E06"/>
    <w:rsid w:val="00A824F6"/>
    <w:rsid w:val="00A83D6E"/>
    <w:rsid w:val="00A851A0"/>
    <w:rsid w:val="00A85206"/>
    <w:rsid w:val="00A906D4"/>
    <w:rsid w:val="00A92760"/>
    <w:rsid w:val="00A93F51"/>
    <w:rsid w:val="00A94438"/>
    <w:rsid w:val="00A96C0F"/>
    <w:rsid w:val="00A97D0D"/>
    <w:rsid w:val="00AA01DF"/>
    <w:rsid w:val="00AA14E4"/>
    <w:rsid w:val="00AA1B52"/>
    <w:rsid w:val="00AA35F0"/>
    <w:rsid w:val="00AA6444"/>
    <w:rsid w:val="00AB1BCE"/>
    <w:rsid w:val="00AB285B"/>
    <w:rsid w:val="00AB2B06"/>
    <w:rsid w:val="00AB2EBF"/>
    <w:rsid w:val="00AB3396"/>
    <w:rsid w:val="00AB4AAA"/>
    <w:rsid w:val="00AB5270"/>
    <w:rsid w:val="00AB5FE2"/>
    <w:rsid w:val="00AB77F0"/>
    <w:rsid w:val="00AC6C95"/>
    <w:rsid w:val="00AC7CA7"/>
    <w:rsid w:val="00AD3623"/>
    <w:rsid w:val="00AD391F"/>
    <w:rsid w:val="00AD40F4"/>
    <w:rsid w:val="00AD4D17"/>
    <w:rsid w:val="00AD7411"/>
    <w:rsid w:val="00AD7973"/>
    <w:rsid w:val="00AE1919"/>
    <w:rsid w:val="00AE1CA1"/>
    <w:rsid w:val="00AE3020"/>
    <w:rsid w:val="00AE45EA"/>
    <w:rsid w:val="00AE6A48"/>
    <w:rsid w:val="00AE782F"/>
    <w:rsid w:val="00AE7E4A"/>
    <w:rsid w:val="00AF08BD"/>
    <w:rsid w:val="00AF2035"/>
    <w:rsid w:val="00AF265F"/>
    <w:rsid w:val="00AF2891"/>
    <w:rsid w:val="00AF446E"/>
    <w:rsid w:val="00AF460F"/>
    <w:rsid w:val="00AF47AF"/>
    <w:rsid w:val="00AF5A50"/>
    <w:rsid w:val="00AF6AA4"/>
    <w:rsid w:val="00AF6B0B"/>
    <w:rsid w:val="00AF74DB"/>
    <w:rsid w:val="00AF7F33"/>
    <w:rsid w:val="00B014D8"/>
    <w:rsid w:val="00B01BB8"/>
    <w:rsid w:val="00B046B3"/>
    <w:rsid w:val="00B11AA9"/>
    <w:rsid w:val="00B136B8"/>
    <w:rsid w:val="00B13C23"/>
    <w:rsid w:val="00B13D11"/>
    <w:rsid w:val="00B13E6F"/>
    <w:rsid w:val="00B22404"/>
    <w:rsid w:val="00B26C5C"/>
    <w:rsid w:val="00B27743"/>
    <w:rsid w:val="00B27CA9"/>
    <w:rsid w:val="00B30766"/>
    <w:rsid w:val="00B3140E"/>
    <w:rsid w:val="00B318E7"/>
    <w:rsid w:val="00B340D8"/>
    <w:rsid w:val="00B34C73"/>
    <w:rsid w:val="00B422E6"/>
    <w:rsid w:val="00B42971"/>
    <w:rsid w:val="00B4427F"/>
    <w:rsid w:val="00B461BB"/>
    <w:rsid w:val="00B471A0"/>
    <w:rsid w:val="00B4751A"/>
    <w:rsid w:val="00B47911"/>
    <w:rsid w:val="00B50AC5"/>
    <w:rsid w:val="00B526D8"/>
    <w:rsid w:val="00B52FCD"/>
    <w:rsid w:val="00B540BE"/>
    <w:rsid w:val="00B574C8"/>
    <w:rsid w:val="00B60495"/>
    <w:rsid w:val="00B61CAE"/>
    <w:rsid w:val="00B620D3"/>
    <w:rsid w:val="00B620F8"/>
    <w:rsid w:val="00B64350"/>
    <w:rsid w:val="00B6483F"/>
    <w:rsid w:val="00B65D02"/>
    <w:rsid w:val="00B66DD9"/>
    <w:rsid w:val="00B706D4"/>
    <w:rsid w:val="00B70D89"/>
    <w:rsid w:val="00B73769"/>
    <w:rsid w:val="00B76D15"/>
    <w:rsid w:val="00B77D62"/>
    <w:rsid w:val="00B813C2"/>
    <w:rsid w:val="00B825DC"/>
    <w:rsid w:val="00B839F3"/>
    <w:rsid w:val="00B83ED7"/>
    <w:rsid w:val="00B843BE"/>
    <w:rsid w:val="00B84AC1"/>
    <w:rsid w:val="00B91F44"/>
    <w:rsid w:val="00B9229A"/>
    <w:rsid w:val="00B9268A"/>
    <w:rsid w:val="00B926F3"/>
    <w:rsid w:val="00B92BC2"/>
    <w:rsid w:val="00B93021"/>
    <w:rsid w:val="00B940B9"/>
    <w:rsid w:val="00B95384"/>
    <w:rsid w:val="00B968D0"/>
    <w:rsid w:val="00B9690F"/>
    <w:rsid w:val="00B96F3A"/>
    <w:rsid w:val="00BA4D71"/>
    <w:rsid w:val="00BA5B2D"/>
    <w:rsid w:val="00BA5EFD"/>
    <w:rsid w:val="00BA5F16"/>
    <w:rsid w:val="00BA67DF"/>
    <w:rsid w:val="00BB06F9"/>
    <w:rsid w:val="00BB07DC"/>
    <w:rsid w:val="00BB09D4"/>
    <w:rsid w:val="00BB1E65"/>
    <w:rsid w:val="00BB435C"/>
    <w:rsid w:val="00BB46DD"/>
    <w:rsid w:val="00BB6808"/>
    <w:rsid w:val="00BB756E"/>
    <w:rsid w:val="00BC194D"/>
    <w:rsid w:val="00BC1C18"/>
    <w:rsid w:val="00BC2B41"/>
    <w:rsid w:val="00BC559A"/>
    <w:rsid w:val="00BC597C"/>
    <w:rsid w:val="00BC63D2"/>
    <w:rsid w:val="00BC71DF"/>
    <w:rsid w:val="00BC7865"/>
    <w:rsid w:val="00BC7F5B"/>
    <w:rsid w:val="00BD0A40"/>
    <w:rsid w:val="00BD1A10"/>
    <w:rsid w:val="00BD277E"/>
    <w:rsid w:val="00BE1294"/>
    <w:rsid w:val="00BE60A9"/>
    <w:rsid w:val="00BE7914"/>
    <w:rsid w:val="00BF1BB9"/>
    <w:rsid w:val="00BF252E"/>
    <w:rsid w:val="00BF2CA4"/>
    <w:rsid w:val="00BF49FD"/>
    <w:rsid w:val="00BF5419"/>
    <w:rsid w:val="00BF6D94"/>
    <w:rsid w:val="00BF75BA"/>
    <w:rsid w:val="00C00A88"/>
    <w:rsid w:val="00C04451"/>
    <w:rsid w:val="00C0704E"/>
    <w:rsid w:val="00C11731"/>
    <w:rsid w:val="00C120AD"/>
    <w:rsid w:val="00C131F9"/>
    <w:rsid w:val="00C132AD"/>
    <w:rsid w:val="00C134B0"/>
    <w:rsid w:val="00C157F0"/>
    <w:rsid w:val="00C15A97"/>
    <w:rsid w:val="00C15C19"/>
    <w:rsid w:val="00C2181B"/>
    <w:rsid w:val="00C21FA4"/>
    <w:rsid w:val="00C22C28"/>
    <w:rsid w:val="00C25EF7"/>
    <w:rsid w:val="00C31E62"/>
    <w:rsid w:val="00C3277D"/>
    <w:rsid w:val="00C357A0"/>
    <w:rsid w:val="00C409A3"/>
    <w:rsid w:val="00C41B19"/>
    <w:rsid w:val="00C4566D"/>
    <w:rsid w:val="00C46EC6"/>
    <w:rsid w:val="00C46FE0"/>
    <w:rsid w:val="00C53414"/>
    <w:rsid w:val="00C55A4E"/>
    <w:rsid w:val="00C55BD0"/>
    <w:rsid w:val="00C56153"/>
    <w:rsid w:val="00C561F2"/>
    <w:rsid w:val="00C5630E"/>
    <w:rsid w:val="00C62735"/>
    <w:rsid w:val="00C6324A"/>
    <w:rsid w:val="00C63D12"/>
    <w:rsid w:val="00C64EA2"/>
    <w:rsid w:val="00C65EFB"/>
    <w:rsid w:val="00C66462"/>
    <w:rsid w:val="00C67CCF"/>
    <w:rsid w:val="00C70D91"/>
    <w:rsid w:val="00C723EF"/>
    <w:rsid w:val="00C724FD"/>
    <w:rsid w:val="00C74DA4"/>
    <w:rsid w:val="00C8097A"/>
    <w:rsid w:val="00C81575"/>
    <w:rsid w:val="00C82C25"/>
    <w:rsid w:val="00C8303B"/>
    <w:rsid w:val="00C90689"/>
    <w:rsid w:val="00C90C96"/>
    <w:rsid w:val="00C91295"/>
    <w:rsid w:val="00C95A07"/>
    <w:rsid w:val="00C96124"/>
    <w:rsid w:val="00C96E68"/>
    <w:rsid w:val="00CA1389"/>
    <w:rsid w:val="00CA15A6"/>
    <w:rsid w:val="00CA2649"/>
    <w:rsid w:val="00CA5D3B"/>
    <w:rsid w:val="00CA5E47"/>
    <w:rsid w:val="00CA683A"/>
    <w:rsid w:val="00CA68FD"/>
    <w:rsid w:val="00CB0008"/>
    <w:rsid w:val="00CB225A"/>
    <w:rsid w:val="00CB22F7"/>
    <w:rsid w:val="00CB2872"/>
    <w:rsid w:val="00CB3432"/>
    <w:rsid w:val="00CB50B9"/>
    <w:rsid w:val="00CB52CC"/>
    <w:rsid w:val="00CB5641"/>
    <w:rsid w:val="00CB636F"/>
    <w:rsid w:val="00CC05FA"/>
    <w:rsid w:val="00CC09F6"/>
    <w:rsid w:val="00CC2F54"/>
    <w:rsid w:val="00CC7813"/>
    <w:rsid w:val="00CD05B3"/>
    <w:rsid w:val="00CD1E64"/>
    <w:rsid w:val="00CD3020"/>
    <w:rsid w:val="00CD3A4C"/>
    <w:rsid w:val="00CD5445"/>
    <w:rsid w:val="00CD6059"/>
    <w:rsid w:val="00CD7414"/>
    <w:rsid w:val="00CE0012"/>
    <w:rsid w:val="00CE13FC"/>
    <w:rsid w:val="00CE1E66"/>
    <w:rsid w:val="00CE2AC8"/>
    <w:rsid w:val="00CE303C"/>
    <w:rsid w:val="00CE3984"/>
    <w:rsid w:val="00CE5F5F"/>
    <w:rsid w:val="00CE65D7"/>
    <w:rsid w:val="00CF065F"/>
    <w:rsid w:val="00CF0B2E"/>
    <w:rsid w:val="00CF155C"/>
    <w:rsid w:val="00CF176B"/>
    <w:rsid w:val="00CF1BF4"/>
    <w:rsid w:val="00CF30FA"/>
    <w:rsid w:val="00CF4A87"/>
    <w:rsid w:val="00CF59B8"/>
    <w:rsid w:val="00CF6147"/>
    <w:rsid w:val="00CF6BA6"/>
    <w:rsid w:val="00CF700D"/>
    <w:rsid w:val="00D0200F"/>
    <w:rsid w:val="00D0412A"/>
    <w:rsid w:val="00D043A3"/>
    <w:rsid w:val="00D05880"/>
    <w:rsid w:val="00D07925"/>
    <w:rsid w:val="00D1016F"/>
    <w:rsid w:val="00D102AD"/>
    <w:rsid w:val="00D14300"/>
    <w:rsid w:val="00D14DAD"/>
    <w:rsid w:val="00D20DE8"/>
    <w:rsid w:val="00D22172"/>
    <w:rsid w:val="00D22520"/>
    <w:rsid w:val="00D2611D"/>
    <w:rsid w:val="00D2758B"/>
    <w:rsid w:val="00D30BF1"/>
    <w:rsid w:val="00D30FEA"/>
    <w:rsid w:val="00D32450"/>
    <w:rsid w:val="00D3307B"/>
    <w:rsid w:val="00D339A1"/>
    <w:rsid w:val="00D36022"/>
    <w:rsid w:val="00D37FE6"/>
    <w:rsid w:val="00D404D3"/>
    <w:rsid w:val="00D41079"/>
    <w:rsid w:val="00D4150A"/>
    <w:rsid w:val="00D42DA2"/>
    <w:rsid w:val="00D45276"/>
    <w:rsid w:val="00D4661E"/>
    <w:rsid w:val="00D47C92"/>
    <w:rsid w:val="00D50B16"/>
    <w:rsid w:val="00D51241"/>
    <w:rsid w:val="00D516B5"/>
    <w:rsid w:val="00D51A99"/>
    <w:rsid w:val="00D5212D"/>
    <w:rsid w:val="00D53A44"/>
    <w:rsid w:val="00D606DF"/>
    <w:rsid w:val="00D60F23"/>
    <w:rsid w:val="00D618B0"/>
    <w:rsid w:val="00D6259D"/>
    <w:rsid w:val="00D643EC"/>
    <w:rsid w:val="00D65177"/>
    <w:rsid w:val="00D65FA5"/>
    <w:rsid w:val="00D66B4A"/>
    <w:rsid w:val="00D67B17"/>
    <w:rsid w:val="00D70486"/>
    <w:rsid w:val="00D7108B"/>
    <w:rsid w:val="00D717FD"/>
    <w:rsid w:val="00D735BB"/>
    <w:rsid w:val="00D73EF6"/>
    <w:rsid w:val="00D745EA"/>
    <w:rsid w:val="00D76528"/>
    <w:rsid w:val="00D7755F"/>
    <w:rsid w:val="00D81C40"/>
    <w:rsid w:val="00D82592"/>
    <w:rsid w:val="00D82AE7"/>
    <w:rsid w:val="00D83B6A"/>
    <w:rsid w:val="00D83BC8"/>
    <w:rsid w:val="00D84D48"/>
    <w:rsid w:val="00D85302"/>
    <w:rsid w:val="00D876EC"/>
    <w:rsid w:val="00D87E1B"/>
    <w:rsid w:val="00D92031"/>
    <w:rsid w:val="00D930BA"/>
    <w:rsid w:val="00D93EE7"/>
    <w:rsid w:val="00D95D23"/>
    <w:rsid w:val="00DA1441"/>
    <w:rsid w:val="00DA28D4"/>
    <w:rsid w:val="00DA502E"/>
    <w:rsid w:val="00DA6E48"/>
    <w:rsid w:val="00DB103B"/>
    <w:rsid w:val="00DB1E1B"/>
    <w:rsid w:val="00DB3678"/>
    <w:rsid w:val="00DB4CBE"/>
    <w:rsid w:val="00DC494C"/>
    <w:rsid w:val="00DC5DE7"/>
    <w:rsid w:val="00DC6C05"/>
    <w:rsid w:val="00DD3385"/>
    <w:rsid w:val="00DD4E77"/>
    <w:rsid w:val="00DD5195"/>
    <w:rsid w:val="00DD69B3"/>
    <w:rsid w:val="00DD7009"/>
    <w:rsid w:val="00DE09BF"/>
    <w:rsid w:val="00DE3214"/>
    <w:rsid w:val="00DE46D0"/>
    <w:rsid w:val="00DE4FC9"/>
    <w:rsid w:val="00DE664E"/>
    <w:rsid w:val="00DE7071"/>
    <w:rsid w:val="00DF1434"/>
    <w:rsid w:val="00DF1F30"/>
    <w:rsid w:val="00DF255A"/>
    <w:rsid w:val="00DF2B83"/>
    <w:rsid w:val="00DF37AC"/>
    <w:rsid w:val="00DF3C5B"/>
    <w:rsid w:val="00DF3F52"/>
    <w:rsid w:val="00DF5472"/>
    <w:rsid w:val="00DF55C3"/>
    <w:rsid w:val="00DF762B"/>
    <w:rsid w:val="00DF7C8A"/>
    <w:rsid w:val="00E00319"/>
    <w:rsid w:val="00E0215B"/>
    <w:rsid w:val="00E032A2"/>
    <w:rsid w:val="00E03C89"/>
    <w:rsid w:val="00E04058"/>
    <w:rsid w:val="00E04785"/>
    <w:rsid w:val="00E048A3"/>
    <w:rsid w:val="00E11705"/>
    <w:rsid w:val="00E12214"/>
    <w:rsid w:val="00E12D28"/>
    <w:rsid w:val="00E13E46"/>
    <w:rsid w:val="00E14C93"/>
    <w:rsid w:val="00E15849"/>
    <w:rsid w:val="00E16D21"/>
    <w:rsid w:val="00E17245"/>
    <w:rsid w:val="00E1727F"/>
    <w:rsid w:val="00E17723"/>
    <w:rsid w:val="00E218F8"/>
    <w:rsid w:val="00E229A3"/>
    <w:rsid w:val="00E24679"/>
    <w:rsid w:val="00E25984"/>
    <w:rsid w:val="00E30584"/>
    <w:rsid w:val="00E313A6"/>
    <w:rsid w:val="00E33EB1"/>
    <w:rsid w:val="00E37320"/>
    <w:rsid w:val="00E4051D"/>
    <w:rsid w:val="00E413B7"/>
    <w:rsid w:val="00E41953"/>
    <w:rsid w:val="00E422C4"/>
    <w:rsid w:val="00E43233"/>
    <w:rsid w:val="00E47E46"/>
    <w:rsid w:val="00E5045B"/>
    <w:rsid w:val="00E50E63"/>
    <w:rsid w:val="00E50EA1"/>
    <w:rsid w:val="00E5121D"/>
    <w:rsid w:val="00E524AA"/>
    <w:rsid w:val="00E53C45"/>
    <w:rsid w:val="00E548E5"/>
    <w:rsid w:val="00E56D4E"/>
    <w:rsid w:val="00E56F0C"/>
    <w:rsid w:val="00E57802"/>
    <w:rsid w:val="00E6050A"/>
    <w:rsid w:val="00E607FD"/>
    <w:rsid w:val="00E6083A"/>
    <w:rsid w:val="00E62287"/>
    <w:rsid w:val="00E65A61"/>
    <w:rsid w:val="00E71494"/>
    <w:rsid w:val="00E71A7F"/>
    <w:rsid w:val="00E73E7A"/>
    <w:rsid w:val="00E74625"/>
    <w:rsid w:val="00E74752"/>
    <w:rsid w:val="00E75DF6"/>
    <w:rsid w:val="00E76318"/>
    <w:rsid w:val="00E7734B"/>
    <w:rsid w:val="00E77396"/>
    <w:rsid w:val="00E81947"/>
    <w:rsid w:val="00E82253"/>
    <w:rsid w:val="00E83B03"/>
    <w:rsid w:val="00E84F98"/>
    <w:rsid w:val="00E8543F"/>
    <w:rsid w:val="00E8606F"/>
    <w:rsid w:val="00E87BD0"/>
    <w:rsid w:val="00E911CB"/>
    <w:rsid w:val="00E91328"/>
    <w:rsid w:val="00E917FB"/>
    <w:rsid w:val="00E91F31"/>
    <w:rsid w:val="00E95042"/>
    <w:rsid w:val="00E95E7B"/>
    <w:rsid w:val="00E96CB3"/>
    <w:rsid w:val="00E96E5B"/>
    <w:rsid w:val="00EA0CC4"/>
    <w:rsid w:val="00EA0E8C"/>
    <w:rsid w:val="00EA194B"/>
    <w:rsid w:val="00EA3B33"/>
    <w:rsid w:val="00EA4618"/>
    <w:rsid w:val="00EA4B80"/>
    <w:rsid w:val="00EA64FC"/>
    <w:rsid w:val="00EA7350"/>
    <w:rsid w:val="00EA7D40"/>
    <w:rsid w:val="00EB020E"/>
    <w:rsid w:val="00EB260D"/>
    <w:rsid w:val="00EB3618"/>
    <w:rsid w:val="00EB388F"/>
    <w:rsid w:val="00EB63E1"/>
    <w:rsid w:val="00EC05C2"/>
    <w:rsid w:val="00EC28E6"/>
    <w:rsid w:val="00EC7E71"/>
    <w:rsid w:val="00ED27B4"/>
    <w:rsid w:val="00ED3799"/>
    <w:rsid w:val="00ED3DA8"/>
    <w:rsid w:val="00ED4390"/>
    <w:rsid w:val="00ED6FFD"/>
    <w:rsid w:val="00EE6FAB"/>
    <w:rsid w:val="00EE7413"/>
    <w:rsid w:val="00EF0C58"/>
    <w:rsid w:val="00EF1D28"/>
    <w:rsid w:val="00EF315F"/>
    <w:rsid w:val="00EF3341"/>
    <w:rsid w:val="00EF40F9"/>
    <w:rsid w:val="00EF57B1"/>
    <w:rsid w:val="00EF6DDB"/>
    <w:rsid w:val="00EF7B01"/>
    <w:rsid w:val="00EF7F04"/>
    <w:rsid w:val="00F01B2C"/>
    <w:rsid w:val="00F01B87"/>
    <w:rsid w:val="00F022EA"/>
    <w:rsid w:val="00F026D7"/>
    <w:rsid w:val="00F0489C"/>
    <w:rsid w:val="00F07595"/>
    <w:rsid w:val="00F07604"/>
    <w:rsid w:val="00F10681"/>
    <w:rsid w:val="00F116CB"/>
    <w:rsid w:val="00F177A8"/>
    <w:rsid w:val="00F17F13"/>
    <w:rsid w:val="00F22003"/>
    <w:rsid w:val="00F22AF6"/>
    <w:rsid w:val="00F22C9B"/>
    <w:rsid w:val="00F233D7"/>
    <w:rsid w:val="00F26A70"/>
    <w:rsid w:val="00F26E7A"/>
    <w:rsid w:val="00F27B99"/>
    <w:rsid w:val="00F27BB8"/>
    <w:rsid w:val="00F30DCE"/>
    <w:rsid w:val="00F32A18"/>
    <w:rsid w:val="00F33436"/>
    <w:rsid w:val="00F33903"/>
    <w:rsid w:val="00F35BDB"/>
    <w:rsid w:val="00F37E15"/>
    <w:rsid w:val="00F4167C"/>
    <w:rsid w:val="00F417A6"/>
    <w:rsid w:val="00F4358F"/>
    <w:rsid w:val="00F4428D"/>
    <w:rsid w:val="00F44996"/>
    <w:rsid w:val="00F47219"/>
    <w:rsid w:val="00F47392"/>
    <w:rsid w:val="00F502C8"/>
    <w:rsid w:val="00F50676"/>
    <w:rsid w:val="00F50DCD"/>
    <w:rsid w:val="00F54898"/>
    <w:rsid w:val="00F54CCC"/>
    <w:rsid w:val="00F54FA1"/>
    <w:rsid w:val="00F55485"/>
    <w:rsid w:val="00F563CC"/>
    <w:rsid w:val="00F56F8E"/>
    <w:rsid w:val="00F635D5"/>
    <w:rsid w:val="00F72E81"/>
    <w:rsid w:val="00F74961"/>
    <w:rsid w:val="00F76CA2"/>
    <w:rsid w:val="00F76FD7"/>
    <w:rsid w:val="00F77825"/>
    <w:rsid w:val="00F77D73"/>
    <w:rsid w:val="00F81BE6"/>
    <w:rsid w:val="00F866AA"/>
    <w:rsid w:val="00F9039D"/>
    <w:rsid w:val="00F9107D"/>
    <w:rsid w:val="00F92AA4"/>
    <w:rsid w:val="00F946B8"/>
    <w:rsid w:val="00F96AE2"/>
    <w:rsid w:val="00F97526"/>
    <w:rsid w:val="00FA1544"/>
    <w:rsid w:val="00FA19FD"/>
    <w:rsid w:val="00FA2D56"/>
    <w:rsid w:val="00FA59BB"/>
    <w:rsid w:val="00FA7AD2"/>
    <w:rsid w:val="00FA7BF5"/>
    <w:rsid w:val="00FB1164"/>
    <w:rsid w:val="00FB1F1D"/>
    <w:rsid w:val="00FB256F"/>
    <w:rsid w:val="00FB2849"/>
    <w:rsid w:val="00FB5D28"/>
    <w:rsid w:val="00FB6B6F"/>
    <w:rsid w:val="00FC14F8"/>
    <w:rsid w:val="00FC3C8E"/>
    <w:rsid w:val="00FC5B9D"/>
    <w:rsid w:val="00FC60A8"/>
    <w:rsid w:val="00FC6485"/>
    <w:rsid w:val="00FC7C7B"/>
    <w:rsid w:val="00FD02DA"/>
    <w:rsid w:val="00FD1F5F"/>
    <w:rsid w:val="00FD30B5"/>
    <w:rsid w:val="00FD32DB"/>
    <w:rsid w:val="00FD36DA"/>
    <w:rsid w:val="00FD5E41"/>
    <w:rsid w:val="00FD6D47"/>
    <w:rsid w:val="00FD73C2"/>
    <w:rsid w:val="00FD75FC"/>
    <w:rsid w:val="00FE023B"/>
    <w:rsid w:val="00FE2F43"/>
    <w:rsid w:val="00FE42EC"/>
    <w:rsid w:val="00FE5007"/>
    <w:rsid w:val="00FF11D8"/>
    <w:rsid w:val="00FF12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1207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13EB2"/>
    <w:rPr>
      <w:rFonts w:ascii="Times New Roman" w:hAnsi="Times New Roman"/>
      <w:color w:val="000000"/>
      <w:sz w:val="24"/>
      <w:szCs w:val="24"/>
    </w:rPr>
  </w:style>
  <w:style w:type="paragraph" w:styleId="Heading1">
    <w:name w:val="heading 1"/>
    <w:aliases w:val="Part Title"/>
    <w:basedOn w:val="Normal"/>
    <w:next w:val="Heading4"/>
    <w:link w:val="Heading1Char"/>
    <w:uiPriority w:val="99"/>
    <w:qFormat/>
    <w:rsid w:val="00AE45EA"/>
    <w:pPr>
      <w:spacing w:after="240"/>
      <w:jc w:val="center"/>
      <w:outlineLvl w:val="0"/>
    </w:pPr>
    <w:rPr>
      <w:rFonts w:ascii="Arial" w:hAnsi="Arial" w:cs="Arial"/>
      <w:b/>
      <w:bCs/>
      <w:sz w:val="32"/>
      <w:szCs w:val="32"/>
    </w:rPr>
  </w:style>
  <w:style w:type="paragraph" w:styleId="Heading2">
    <w:name w:val="heading 2"/>
    <w:aliases w:val="Chapter Title"/>
    <w:basedOn w:val="Normal"/>
    <w:next w:val="Heading4"/>
    <w:link w:val="Heading2Char"/>
    <w:uiPriority w:val="99"/>
    <w:qFormat/>
    <w:rsid w:val="00AE45EA"/>
    <w:pPr>
      <w:spacing w:after="240"/>
      <w:jc w:val="center"/>
      <w:outlineLvl w:val="1"/>
    </w:pPr>
    <w:rPr>
      <w:rFonts w:ascii="Arial" w:hAnsi="Arial" w:cs="Arial"/>
      <w:b/>
      <w:bCs/>
      <w:sz w:val="32"/>
      <w:szCs w:val="32"/>
    </w:rPr>
  </w:style>
  <w:style w:type="paragraph" w:styleId="Heading3">
    <w:name w:val="heading 3"/>
    <w:aliases w:val="Section,Section Title"/>
    <w:basedOn w:val="Normal"/>
    <w:next w:val="Heading4"/>
    <w:link w:val="Heading3Char"/>
    <w:uiPriority w:val="99"/>
    <w:qFormat/>
    <w:rsid w:val="00AE45EA"/>
    <w:pPr>
      <w:spacing w:after="240"/>
      <w:jc w:val="center"/>
      <w:outlineLvl w:val="2"/>
    </w:pPr>
    <w:rPr>
      <w:rFonts w:ascii="Arial" w:hAnsi="Arial" w:cs="Arial"/>
      <w:b/>
      <w:bCs/>
      <w:sz w:val="32"/>
      <w:szCs w:val="32"/>
    </w:rPr>
  </w:style>
  <w:style w:type="paragraph" w:styleId="Heading4">
    <w:name w:val="heading 4"/>
    <w:aliases w:val="Map Title"/>
    <w:basedOn w:val="Normal"/>
    <w:next w:val="Normal"/>
    <w:link w:val="Heading4Char"/>
    <w:uiPriority w:val="99"/>
    <w:qFormat/>
    <w:rsid w:val="00AE45EA"/>
    <w:pPr>
      <w:spacing w:after="240"/>
      <w:outlineLvl w:val="3"/>
    </w:pPr>
    <w:rPr>
      <w:rFonts w:ascii="Arial" w:hAnsi="Arial" w:cs="Arial"/>
      <w:b/>
      <w:bCs/>
      <w:sz w:val="32"/>
      <w:szCs w:val="32"/>
    </w:rPr>
  </w:style>
  <w:style w:type="paragraph" w:styleId="Heading5">
    <w:name w:val="heading 5"/>
    <w:aliases w:val="Block Label"/>
    <w:basedOn w:val="Normal"/>
    <w:link w:val="Heading5Char"/>
    <w:uiPriority w:val="99"/>
    <w:qFormat/>
    <w:rsid w:val="00AE45EA"/>
    <w:pPr>
      <w:outlineLvl w:val="4"/>
    </w:pPr>
    <w:rPr>
      <w:b/>
      <w:bCs/>
      <w:sz w:val="22"/>
      <w:szCs w:val="22"/>
    </w:rPr>
  </w:style>
  <w:style w:type="paragraph" w:styleId="Heading6">
    <w:name w:val="heading 6"/>
    <w:aliases w:val="Sub Label"/>
    <w:basedOn w:val="Heading5"/>
    <w:next w:val="BlockText"/>
    <w:link w:val="Heading6Char"/>
    <w:uiPriority w:val="99"/>
    <w:qFormat/>
    <w:rsid w:val="00AE45EA"/>
    <w:pPr>
      <w:spacing w:before="240" w:after="60"/>
      <w:outlineLvl w:val="5"/>
    </w:pPr>
    <w:rPr>
      <w:i/>
      <w:iCs/>
    </w:rPr>
  </w:style>
  <w:style w:type="paragraph" w:styleId="Heading7">
    <w:name w:val="heading 7"/>
    <w:basedOn w:val="Normal"/>
    <w:next w:val="Normal"/>
    <w:link w:val="Heading7Char"/>
    <w:uiPriority w:val="99"/>
    <w:qFormat/>
    <w:rsid w:val="00AE45EA"/>
    <w:pPr>
      <w:spacing w:before="240" w:after="60"/>
      <w:outlineLvl w:val="6"/>
    </w:pPr>
    <w:rPr>
      <w:rFonts w:ascii="Arial" w:hAnsi="Arial" w:cs="Arial"/>
    </w:rPr>
  </w:style>
  <w:style w:type="paragraph" w:styleId="Heading8">
    <w:name w:val="heading 8"/>
    <w:basedOn w:val="Normal"/>
    <w:next w:val="Normal"/>
    <w:link w:val="Heading8Char"/>
    <w:uiPriority w:val="99"/>
    <w:qFormat/>
    <w:rsid w:val="00AE45EA"/>
    <w:p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AE45EA"/>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AE45EA"/>
    <w:rPr>
      <w:rFonts w:ascii="Cambria" w:hAnsi="Cambria" w:cs="Cambria"/>
      <w:b/>
      <w:bCs/>
      <w:color w:val="000000"/>
      <w:kern w:val="32"/>
      <w:sz w:val="32"/>
      <w:szCs w:val="32"/>
    </w:rPr>
  </w:style>
  <w:style w:type="character" w:customStyle="1" w:styleId="Heading2Char">
    <w:name w:val="Heading 2 Char"/>
    <w:aliases w:val="Chapter Title Char"/>
    <w:basedOn w:val="DefaultParagraphFont"/>
    <w:link w:val="Heading2"/>
    <w:uiPriority w:val="99"/>
    <w:locked/>
    <w:rsid w:val="00AE45EA"/>
    <w:rPr>
      <w:rFonts w:ascii="Cambria" w:hAnsi="Cambria" w:cs="Cambria"/>
      <w:b/>
      <w:bCs/>
      <w:i/>
      <w:iCs/>
      <w:color w:val="000000"/>
      <w:sz w:val="28"/>
      <w:szCs w:val="28"/>
    </w:rPr>
  </w:style>
  <w:style w:type="character" w:customStyle="1" w:styleId="Heading3Char">
    <w:name w:val="Heading 3 Char"/>
    <w:aliases w:val="Section Char,Section Title Char"/>
    <w:basedOn w:val="DefaultParagraphFont"/>
    <w:link w:val="Heading3"/>
    <w:uiPriority w:val="99"/>
    <w:locked/>
    <w:rsid w:val="00AE45EA"/>
    <w:rPr>
      <w:rFonts w:ascii="Cambria" w:hAnsi="Cambria" w:cs="Cambria"/>
      <w:b/>
      <w:bCs/>
      <w:color w:val="000000"/>
      <w:sz w:val="26"/>
      <w:szCs w:val="26"/>
    </w:rPr>
  </w:style>
  <w:style w:type="character" w:customStyle="1" w:styleId="Heading4Char">
    <w:name w:val="Heading 4 Char"/>
    <w:aliases w:val="Map Title Char"/>
    <w:basedOn w:val="DefaultParagraphFont"/>
    <w:link w:val="Heading4"/>
    <w:uiPriority w:val="99"/>
    <w:locked/>
    <w:rsid w:val="00AE45EA"/>
    <w:rPr>
      <w:rFonts w:ascii="Calibri" w:hAnsi="Calibri" w:cs="Calibri"/>
      <w:b/>
      <w:bCs/>
      <w:color w:val="000000"/>
      <w:sz w:val="28"/>
      <w:szCs w:val="28"/>
    </w:rPr>
  </w:style>
  <w:style w:type="character" w:customStyle="1" w:styleId="Heading5Char">
    <w:name w:val="Heading 5 Char"/>
    <w:aliases w:val="Block Label Char"/>
    <w:basedOn w:val="DefaultParagraphFont"/>
    <w:link w:val="Heading5"/>
    <w:uiPriority w:val="99"/>
    <w:locked/>
    <w:rsid w:val="00AE45EA"/>
    <w:rPr>
      <w:rFonts w:ascii="Calibri" w:hAnsi="Calibri" w:cs="Calibri"/>
      <w:b/>
      <w:bCs/>
      <w:i/>
      <w:iCs/>
      <w:color w:val="000000"/>
      <w:sz w:val="26"/>
      <w:szCs w:val="26"/>
    </w:rPr>
  </w:style>
  <w:style w:type="character" w:customStyle="1" w:styleId="Heading6Char">
    <w:name w:val="Heading 6 Char"/>
    <w:aliases w:val="Sub Label Char"/>
    <w:basedOn w:val="DefaultParagraphFont"/>
    <w:link w:val="Heading6"/>
    <w:uiPriority w:val="99"/>
    <w:locked/>
    <w:rsid w:val="00AE45EA"/>
    <w:rPr>
      <w:rFonts w:ascii="Calibri" w:hAnsi="Calibri" w:cs="Calibri"/>
      <w:b/>
      <w:bCs/>
      <w:color w:val="000000"/>
    </w:rPr>
  </w:style>
  <w:style w:type="character" w:customStyle="1" w:styleId="Heading7Char">
    <w:name w:val="Heading 7 Char"/>
    <w:basedOn w:val="DefaultParagraphFont"/>
    <w:link w:val="Heading7"/>
    <w:uiPriority w:val="99"/>
    <w:locked/>
    <w:rsid w:val="00AE45EA"/>
    <w:rPr>
      <w:rFonts w:ascii="Calibri" w:hAnsi="Calibri" w:cs="Calibri"/>
      <w:color w:val="000000"/>
      <w:sz w:val="24"/>
      <w:szCs w:val="24"/>
    </w:rPr>
  </w:style>
  <w:style w:type="character" w:customStyle="1" w:styleId="Heading8Char">
    <w:name w:val="Heading 8 Char"/>
    <w:basedOn w:val="DefaultParagraphFont"/>
    <w:link w:val="Heading8"/>
    <w:uiPriority w:val="99"/>
    <w:locked/>
    <w:rsid w:val="00AE45EA"/>
    <w:rPr>
      <w:rFonts w:ascii="Calibri" w:hAnsi="Calibri" w:cs="Calibri"/>
      <w:i/>
      <w:iCs/>
      <w:color w:val="000000"/>
      <w:sz w:val="24"/>
      <w:szCs w:val="24"/>
    </w:rPr>
  </w:style>
  <w:style w:type="character" w:customStyle="1" w:styleId="Heading9Char">
    <w:name w:val="Heading 9 Char"/>
    <w:basedOn w:val="DefaultParagraphFont"/>
    <w:link w:val="Heading9"/>
    <w:uiPriority w:val="99"/>
    <w:locked/>
    <w:rsid w:val="00AE45EA"/>
    <w:rPr>
      <w:rFonts w:ascii="Cambria" w:hAnsi="Cambria" w:cs="Cambria"/>
      <w:color w:val="000000"/>
    </w:rPr>
  </w:style>
  <w:style w:type="paragraph" w:styleId="Header">
    <w:name w:val="header"/>
    <w:basedOn w:val="Normal"/>
    <w:link w:val="HeaderChar"/>
    <w:uiPriority w:val="99"/>
    <w:rsid w:val="00AE45EA"/>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AE45EA"/>
    <w:rPr>
      <w:rFonts w:ascii="Times New Roman" w:hAnsi="Times New Roman" w:cs="Times New Roman"/>
      <w:color w:val="000000"/>
      <w:sz w:val="24"/>
      <w:szCs w:val="24"/>
    </w:rPr>
  </w:style>
  <w:style w:type="paragraph" w:styleId="MacroText">
    <w:name w:val="macro"/>
    <w:link w:val="MacroTextChar"/>
    <w:uiPriority w:val="99"/>
    <w:rsid w:val="00AE45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locked/>
    <w:rsid w:val="00AE45EA"/>
    <w:rPr>
      <w:rFonts w:ascii="Courier New" w:hAnsi="Courier New" w:cs="Courier New"/>
      <w:lang w:val="en-US" w:eastAsia="en-US" w:bidi="ar-SA"/>
    </w:rPr>
  </w:style>
  <w:style w:type="paragraph" w:customStyle="1" w:styleId="BlockLine">
    <w:name w:val="Block Line"/>
    <w:basedOn w:val="Normal"/>
    <w:next w:val="Normal"/>
    <w:uiPriority w:val="99"/>
    <w:rsid w:val="00AE45EA"/>
    <w:pPr>
      <w:pBdr>
        <w:top w:val="single" w:sz="6" w:space="1" w:color="000000"/>
        <w:between w:val="single" w:sz="6" w:space="1" w:color="auto"/>
      </w:pBdr>
      <w:spacing w:before="240"/>
      <w:ind w:left="1728"/>
    </w:pPr>
  </w:style>
  <w:style w:type="paragraph" w:styleId="BlockText">
    <w:name w:val="Block Text"/>
    <w:basedOn w:val="Normal"/>
    <w:uiPriority w:val="99"/>
    <w:rsid w:val="00AE45EA"/>
  </w:style>
  <w:style w:type="paragraph" w:customStyle="1" w:styleId="BulletText1">
    <w:name w:val="Bullet Text 1"/>
    <w:basedOn w:val="Normal"/>
    <w:uiPriority w:val="99"/>
    <w:rsid w:val="00AE45EA"/>
    <w:pPr>
      <w:numPr>
        <w:numId w:val="1"/>
      </w:numPr>
    </w:pPr>
  </w:style>
  <w:style w:type="paragraph" w:customStyle="1" w:styleId="BulletText2">
    <w:name w:val="Bullet Text 2"/>
    <w:basedOn w:val="Normal"/>
    <w:uiPriority w:val="99"/>
    <w:rsid w:val="00AE45EA"/>
    <w:pPr>
      <w:numPr>
        <w:numId w:val="3"/>
      </w:numPr>
      <w:ind w:left="346"/>
    </w:pPr>
  </w:style>
  <w:style w:type="paragraph" w:customStyle="1" w:styleId="ContinuedOnNextPa">
    <w:name w:val="Continued On Next Pa"/>
    <w:basedOn w:val="Normal"/>
    <w:next w:val="Normal"/>
    <w:uiPriority w:val="99"/>
    <w:rsid w:val="00AE45EA"/>
    <w:pPr>
      <w:pBdr>
        <w:top w:val="single" w:sz="6" w:space="1" w:color="000000"/>
        <w:between w:val="single" w:sz="6" w:space="1" w:color="auto"/>
      </w:pBdr>
      <w:spacing w:before="240"/>
      <w:ind w:left="1728"/>
      <w:jc w:val="right"/>
    </w:pPr>
    <w:rPr>
      <w:i/>
      <w:iCs/>
      <w:sz w:val="20"/>
      <w:szCs w:val="20"/>
    </w:rPr>
  </w:style>
  <w:style w:type="paragraph" w:customStyle="1" w:styleId="ContinuedTableLabe">
    <w:name w:val="Continued Table Labe"/>
    <w:basedOn w:val="Normal"/>
    <w:next w:val="Normal"/>
    <w:uiPriority w:val="99"/>
    <w:rsid w:val="00AE45EA"/>
    <w:pPr>
      <w:spacing w:after="240"/>
    </w:pPr>
    <w:rPr>
      <w:b/>
      <w:bCs/>
      <w:sz w:val="22"/>
      <w:szCs w:val="22"/>
    </w:rPr>
  </w:style>
  <w:style w:type="paragraph" w:customStyle="1" w:styleId="MapTitleContinued">
    <w:name w:val="Map Title. Continued"/>
    <w:basedOn w:val="Normal"/>
    <w:next w:val="Normal"/>
    <w:uiPriority w:val="99"/>
    <w:rsid w:val="00AE45EA"/>
    <w:pPr>
      <w:spacing w:after="240"/>
    </w:pPr>
    <w:rPr>
      <w:rFonts w:ascii="Arial" w:hAnsi="Arial" w:cs="Arial"/>
      <w:b/>
      <w:bCs/>
      <w:sz w:val="32"/>
      <w:szCs w:val="32"/>
    </w:rPr>
  </w:style>
  <w:style w:type="paragraph" w:customStyle="1" w:styleId="MemoLine">
    <w:name w:val="Memo Line"/>
    <w:basedOn w:val="BlockLine"/>
    <w:next w:val="Normal"/>
    <w:uiPriority w:val="99"/>
    <w:rsid w:val="00AE45EA"/>
    <w:pPr>
      <w:ind w:left="0"/>
    </w:pPr>
  </w:style>
  <w:style w:type="paragraph" w:styleId="Footer">
    <w:name w:val="footer"/>
    <w:basedOn w:val="Normal"/>
    <w:link w:val="FooterChar"/>
    <w:uiPriority w:val="99"/>
    <w:rsid w:val="00AE45EA"/>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AE45EA"/>
    <w:rPr>
      <w:rFonts w:ascii="Times New Roman" w:hAnsi="Times New Roman" w:cs="Times New Roman"/>
      <w:color w:val="000000"/>
      <w:sz w:val="24"/>
      <w:szCs w:val="24"/>
    </w:rPr>
  </w:style>
  <w:style w:type="character" w:styleId="PageNumber">
    <w:name w:val="page number"/>
    <w:basedOn w:val="DefaultParagraphFont"/>
    <w:uiPriority w:val="99"/>
    <w:rsid w:val="00AE45EA"/>
    <w:rPr>
      <w:rFonts w:ascii="Times New Roman" w:hAnsi="Times New Roman" w:cs="Times New Roman"/>
    </w:rPr>
  </w:style>
  <w:style w:type="paragraph" w:customStyle="1" w:styleId="TableText">
    <w:name w:val="Table Text"/>
    <w:basedOn w:val="Normal"/>
    <w:uiPriority w:val="99"/>
    <w:rsid w:val="00AE45EA"/>
  </w:style>
  <w:style w:type="paragraph" w:customStyle="1" w:styleId="NoteText">
    <w:name w:val="Note Text"/>
    <w:basedOn w:val="Normal"/>
    <w:uiPriority w:val="99"/>
    <w:rsid w:val="00AE45EA"/>
  </w:style>
  <w:style w:type="paragraph" w:customStyle="1" w:styleId="TableHeaderText">
    <w:name w:val="Table Header Text"/>
    <w:basedOn w:val="Normal"/>
    <w:uiPriority w:val="99"/>
    <w:rsid w:val="00AE45EA"/>
    <w:pPr>
      <w:jc w:val="center"/>
    </w:pPr>
    <w:rPr>
      <w:b/>
      <w:bCs/>
    </w:rPr>
  </w:style>
  <w:style w:type="paragraph" w:customStyle="1" w:styleId="EmbeddedText">
    <w:name w:val="Embedded Text"/>
    <w:basedOn w:val="Normal"/>
    <w:uiPriority w:val="99"/>
    <w:rsid w:val="00AE45EA"/>
  </w:style>
  <w:style w:type="paragraph" w:styleId="TOC1">
    <w:name w:val="toc 1"/>
    <w:basedOn w:val="Normal"/>
    <w:next w:val="Normal"/>
    <w:autoRedefine/>
    <w:uiPriority w:val="99"/>
    <w:rsid w:val="00AE45EA"/>
    <w:pPr>
      <w:ind w:left="57"/>
    </w:pPr>
  </w:style>
  <w:style w:type="paragraph" w:styleId="TOC2">
    <w:name w:val="toc 2"/>
    <w:basedOn w:val="Normal"/>
    <w:next w:val="Normal"/>
    <w:autoRedefine/>
    <w:uiPriority w:val="99"/>
    <w:rsid w:val="00AE45EA"/>
    <w:pPr>
      <w:ind w:left="240"/>
    </w:pPr>
  </w:style>
  <w:style w:type="paragraph" w:styleId="TOC3">
    <w:name w:val="toc 3"/>
    <w:basedOn w:val="Normal"/>
    <w:next w:val="Normal"/>
    <w:autoRedefine/>
    <w:uiPriority w:val="99"/>
    <w:rsid w:val="00AE45EA"/>
    <w:pPr>
      <w:ind w:left="480"/>
    </w:pPr>
  </w:style>
  <w:style w:type="paragraph" w:styleId="TOC4">
    <w:name w:val="toc 4"/>
    <w:basedOn w:val="Normal"/>
    <w:next w:val="Normal"/>
    <w:autoRedefine/>
    <w:uiPriority w:val="99"/>
    <w:rsid w:val="00AE45EA"/>
    <w:pPr>
      <w:ind w:left="720"/>
    </w:pPr>
  </w:style>
  <w:style w:type="paragraph" w:styleId="TOC5">
    <w:name w:val="toc 5"/>
    <w:basedOn w:val="Normal"/>
    <w:next w:val="Normal"/>
    <w:autoRedefine/>
    <w:uiPriority w:val="99"/>
    <w:rsid w:val="00AE45EA"/>
    <w:pPr>
      <w:ind w:left="960"/>
    </w:pPr>
  </w:style>
  <w:style w:type="paragraph" w:styleId="TOC6">
    <w:name w:val="toc 6"/>
    <w:basedOn w:val="Normal"/>
    <w:next w:val="Normal"/>
    <w:autoRedefine/>
    <w:uiPriority w:val="99"/>
    <w:rsid w:val="00AE45EA"/>
    <w:pPr>
      <w:ind w:left="1200"/>
    </w:pPr>
  </w:style>
  <w:style w:type="paragraph" w:styleId="TOC7">
    <w:name w:val="toc 7"/>
    <w:basedOn w:val="Normal"/>
    <w:next w:val="Normal"/>
    <w:autoRedefine/>
    <w:uiPriority w:val="99"/>
    <w:rsid w:val="00AE45EA"/>
    <w:pPr>
      <w:ind w:left="1440"/>
    </w:pPr>
  </w:style>
  <w:style w:type="paragraph" w:styleId="TOC8">
    <w:name w:val="toc 8"/>
    <w:basedOn w:val="Normal"/>
    <w:next w:val="Normal"/>
    <w:autoRedefine/>
    <w:uiPriority w:val="99"/>
    <w:rsid w:val="00AE45EA"/>
    <w:pPr>
      <w:ind w:left="1680"/>
    </w:pPr>
  </w:style>
  <w:style w:type="paragraph" w:styleId="TOC9">
    <w:name w:val="toc 9"/>
    <w:basedOn w:val="Normal"/>
    <w:next w:val="Normal"/>
    <w:autoRedefine/>
    <w:uiPriority w:val="99"/>
    <w:rsid w:val="00AE45EA"/>
    <w:pPr>
      <w:ind w:left="1920"/>
    </w:pPr>
  </w:style>
  <w:style w:type="character" w:styleId="Hyperlink">
    <w:name w:val="Hyperlink"/>
    <w:basedOn w:val="DefaultParagraphFont"/>
    <w:uiPriority w:val="99"/>
    <w:rsid w:val="00AE45EA"/>
    <w:rPr>
      <w:rFonts w:ascii="Times New Roman" w:hAnsi="Times New Roman" w:cs="Times New Roman"/>
      <w:color w:val="0000FF"/>
      <w:u w:val="single"/>
    </w:rPr>
  </w:style>
  <w:style w:type="character" w:styleId="FollowedHyperlink">
    <w:name w:val="FollowedHyperlink"/>
    <w:basedOn w:val="DefaultParagraphFont"/>
    <w:uiPriority w:val="99"/>
    <w:rsid w:val="00AE45EA"/>
    <w:rPr>
      <w:rFonts w:ascii="Times New Roman" w:hAnsi="Times New Roman" w:cs="Times New Roman"/>
      <w:color w:val="800080"/>
      <w:u w:val="single"/>
    </w:rPr>
  </w:style>
  <w:style w:type="paragraph" w:styleId="Caption">
    <w:name w:val="caption"/>
    <w:basedOn w:val="Normal"/>
    <w:next w:val="Normal"/>
    <w:uiPriority w:val="99"/>
    <w:qFormat/>
    <w:rsid w:val="00AE45EA"/>
    <w:pPr>
      <w:spacing w:before="120" w:after="120"/>
    </w:pPr>
    <w:rPr>
      <w:b/>
      <w:bCs/>
    </w:rPr>
  </w:style>
  <w:style w:type="character" w:customStyle="1" w:styleId="Continued">
    <w:name w:val="Continued"/>
    <w:basedOn w:val="DefaultParagraphFont"/>
    <w:uiPriority w:val="99"/>
    <w:rsid w:val="00AE45EA"/>
    <w:rPr>
      <w:rFonts w:ascii="Arial" w:hAnsi="Arial" w:cs="Arial"/>
      <w:sz w:val="24"/>
      <w:szCs w:val="24"/>
    </w:rPr>
  </w:style>
  <w:style w:type="paragraph" w:customStyle="1" w:styleId="ContinuedBlockLabel">
    <w:name w:val="Continued Block Label"/>
    <w:basedOn w:val="Normal"/>
    <w:next w:val="Normal"/>
    <w:uiPriority w:val="99"/>
    <w:rsid w:val="00AE45EA"/>
    <w:pPr>
      <w:spacing w:after="240"/>
    </w:pPr>
    <w:rPr>
      <w:b/>
      <w:bCs/>
      <w:sz w:val="22"/>
      <w:szCs w:val="22"/>
    </w:rPr>
  </w:style>
  <w:style w:type="character" w:customStyle="1" w:styleId="Jump">
    <w:name w:val="Jump"/>
    <w:basedOn w:val="DefaultParagraphFont"/>
    <w:uiPriority w:val="99"/>
    <w:rsid w:val="00AE45EA"/>
    <w:rPr>
      <w:rFonts w:ascii="Times New Roman" w:hAnsi="Times New Roman" w:cs="Times New Roman"/>
      <w:color w:val="FF0000"/>
    </w:rPr>
  </w:style>
  <w:style w:type="paragraph" w:customStyle="1" w:styleId="PublicationTitle">
    <w:name w:val="Publication Title"/>
    <w:basedOn w:val="Normal"/>
    <w:next w:val="Heading4"/>
    <w:uiPriority w:val="99"/>
    <w:rsid w:val="00AE45EA"/>
    <w:pPr>
      <w:spacing w:after="240"/>
      <w:jc w:val="center"/>
    </w:pPr>
    <w:rPr>
      <w:rFonts w:ascii="Arial" w:hAnsi="Arial" w:cs="Arial"/>
      <w:b/>
      <w:bCs/>
      <w:sz w:val="32"/>
      <w:szCs w:val="32"/>
    </w:rPr>
  </w:style>
  <w:style w:type="paragraph" w:customStyle="1" w:styleId="TOCTitle">
    <w:name w:val="TOC Title"/>
    <w:basedOn w:val="Normal"/>
    <w:uiPriority w:val="99"/>
    <w:rsid w:val="00AE45EA"/>
    <w:pPr>
      <w:widowControl w:val="0"/>
    </w:pPr>
    <w:rPr>
      <w:rFonts w:ascii="Arial" w:hAnsi="Arial" w:cs="Arial"/>
      <w:b/>
      <w:bCs/>
      <w:sz w:val="32"/>
      <w:szCs w:val="32"/>
    </w:rPr>
  </w:style>
  <w:style w:type="paragraph" w:customStyle="1" w:styleId="TOCItem">
    <w:name w:val="TOCItem"/>
    <w:basedOn w:val="Normal"/>
    <w:uiPriority w:val="99"/>
    <w:rsid w:val="00AE45EA"/>
    <w:pPr>
      <w:tabs>
        <w:tab w:val="left" w:leader="dot" w:pos="7061"/>
        <w:tab w:val="right" w:pos="7524"/>
      </w:tabs>
      <w:spacing w:before="60" w:after="60"/>
      <w:ind w:right="465"/>
    </w:pPr>
  </w:style>
  <w:style w:type="paragraph" w:customStyle="1" w:styleId="TOCStem">
    <w:name w:val="TOCStem"/>
    <w:basedOn w:val="Normal"/>
    <w:uiPriority w:val="99"/>
    <w:rsid w:val="00AE45EA"/>
  </w:style>
  <w:style w:type="paragraph" w:styleId="Title">
    <w:name w:val="Title"/>
    <w:basedOn w:val="Normal"/>
    <w:link w:val="TitleChar"/>
    <w:uiPriority w:val="99"/>
    <w:qFormat/>
    <w:rsid w:val="00AE45EA"/>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uiPriority w:val="99"/>
    <w:locked/>
    <w:rsid w:val="00AE45EA"/>
    <w:rPr>
      <w:rFonts w:ascii="Cambria" w:hAnsi="Cambria" w:cs="Cambria"/>
      <w:b/>
      <w:bCs/>
      <w:color w:val="000000"/>
      <w:kern w:val="28"/>
      <w:sz w:val="32"/>
      <w:szCs w:val="32"/>
    </w:rPr>
  </w:style>
  <w:style w:type="paragraph" w:styleId="BodyText">
    <w:name w:val="Body Text"/>
    <w:basedOn w:val="Normal"/>
    <w:link w:val="BodyTextChar"/>
    <w:uiPriority w:val="99"/>
    <w:rsid w:val="00AE45EA"/>
    <w:pPr>
      <w:numPr>
        <w:ilvl w:val="12"/>
      </w:numPr>
    </w:pPr>
    <w:rPr>
      <w:sz w:val="20"/>
      <w:szCs w:val="20"/>
    </w:rPr>
  </w:style>
  <w:style w:type="character" w:customStyle="1" w:styleId="BodyTextChar">
    <w:name w:val="Body Text Char"/>
    <w:basedOn w:val="DefaultParagraphFont"/>
    <w:link w:val="BodyText"/>
    <w:uiPriority w:val="99"/>
    <w:locked/>
    <w:rsid w:val="00AE45EA"/>
    <w:rPr>
      <w:rFonts w:ascii="Times New Roman" w:hAnsi="Times New Roman" w:cs="Times New Roman"/>
      <w:color w:val="000000"/>
      <w:sz w:val="24"/>
      <w:szCs w:val="24"/>
    </w:rPr>
  </w:style>
  <w:style w:type="paragraph" w:styleId="NormalWeb">
    <w:name w:val="Normal (Web)"/>
    <w:basedOn w:val="Normal"/>
    <w:uiPriority w:val="99"/>
    <w:rsid w:val="00AE45EA"/>
    <w:pPr>
      <w:spacing w:before="100" w:beforeAutospacing="1" w:after="100" w:afterAutospacing="1"/>
    </w:pPr>
  </w:style>
  <w:style w:type="paragraph" w:customStyle="1" w:styleId="BulletText3">
    <w:name w:val="Bullet Text 3"/>
    <w:basedOn w:val="Normal"/>
    <w:uiPriority w:val="99"/>
    <w:rsid w:val="00AE45EA"/>
    <w:pPr>
      <w:numPr>
        <w:numId w:val="2"/>
      </w:numPr>
      <w:ind w:left="518"/>
    </w:pPr>
  </w:style>
  <w:style w:type="character" w:styleId="HTMLAcronym">
    <w:name w:val="HTML Acronym"/>
    <w:basedOn w:val="DefaultParagraphFont"/>
    <w:uiPriority w:val="99"/>
    <w:rsid w:val="00AE45EA"/>
    <w:rPr>
      <w:rFonts w:ascii="Times New Roman" w:hAnsi="Times New Roman" w:cs="Times New Roman"/>
    </w:rPr>
  </w:style>
  <w:style w:type="paragraph" w:customStyle="1" w:styleId="IMTOC">
    <w:name w:val="IMTOC"/>
    <w:uiPriority w:val="99"/>
    <w:rsid w:val="00AE45EA"/>
    <w:rPr>
      <w:rFonts w:ascii="Times New Roman" w:hAnsi="Times New Roman"/>
      <w:sz w:val="24"/>
      <w:szCs w:val="24"/>
    </w:rPr>
  </w:style>
  <w:style w:type="paragraph" w:styleId="BalloonText">
    <w:name w:val="Balloon Text"/>
    <w:basedOn w:val="Normal"/>
    <w:link w:val="BalloonTextChar"/>
    <w:uiPriority w:val="99"/>
    <w:rsid w:val="00AE45EA"/>
    <w:rPr>
      <w:rFonts w:ascii="Tahoma" w:hAnsi="Tahoma" w:cs="Tahoma"/>
      <w:sz w:val="16"/>
      <w:szCs w:val="16"/>
    </w:rPr>
  </w:style>
  <w:style w:type="character" w:customStyle="1" w:styleId="BalloonTextChar">
    <w:name w:val="Balloon Text Char"/>
    <w:basedOn w:val="DefaultParagraphFont"/>
    <w:link w:val="BalloonText"/>
    <w:uiPriority w:val="99"/>
    <w:locked/>
    <w:rsid w:val="00AE45EA"/>
    <w:rPr>
      <w:rFonts w:ascii="Times New Roman" w:hAnsi="Times New Roman" w:cs="Times New Roman"/>
      <w:color w:val="000000"/>
      <w:sz w:val="2"/>
      <w:szCs w:val="2"/>
    </w:rPr>
  </w:style>
  <w:style w:type="character" w:styleId="CommentReference">
    <w:name w:val="annotation reference"/>
    <w:basedOn w:val="DefaultParagraphFont"/>
    <w:uiPriority w:val="99"/>
    <w:rsid w:val="00AE45EA"/>
    <w:rPr>
      <w:rFonts w:ascii="Times New Roman" w:hAnsi="Times New Roman" w:cs="Times New Roman"/>
      <w:sz w:val="16"/>
      <w:szCs w:val="16"/>
    </w:rPr>
  </w:style>
  <w:style w:type="paragraph" w:styleId="CommentText">
    <w:name w:val="annotation text"/>
    <w:basedOn w:val="Normal"/>
    <w:link w:val="CommentTextChar"/>
    <w:uiPriority w:val="99"/>
    <w:rsid w:val="00AE45EA"/>
    <w:rPr>
      <w:sz w:val="20"/>
      <w:szCs w:val="20"/>
    </w:rPr>
  </w:style>
  <w:style w:type="character" w:customStyle="1" w:styleId="CommentTextChar">
    <w:name w:val="Comment Text Char"/>
    <w:basedOn w:val="DefaultParagraphFont"/>
    <w:link w:val="CommentText"/>
    <w:uiPriority w:val="99"/>
    <w:locked/>
    <w:rsid w:val="00AE45EA"/>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rsid w:val="00AE45EA"/>
    <w:rPr>
      <w:b/>
      <w:bCs/>
    </w:rPr>
  </w:style>
  <w:style w:type="character" w:customStyle="1" w:styleId="CommentSubjectChar">
    <w:name w:val="Comment Subject Char"/>
    <w:basedOn w:val="CommentTextChar"/>
    <w:link w:val="CommentSubject"/>
    <w:uiPriority w:val="99"/>
    <w:locked/>
    <w:rsid w:val="00AE45EA"/>
    <w:rPr>
      <w:rFonts w:ascii="Times New Roman" w:hAnsi="Times New Roman" w:cs="Times New Roman"/>
      <w:b/>
      <w:bCs/>
      <w:color w:val="000000"/>
      <w:sz w:val="20"/>
      <w:szCs w:val="20"/>
    </w:rPr>
  </w:style>
  <w:style w:type="paragraph" w:styleId="ListParagraph">
    <w:name w:val="List Paragraph"/>
    <w:basedOn w:val="Normal"/>
    <w:uiPriority w:val="34"/>
    <w:qFormat/>
    <w:rsid w:val="00AE45EA"/>
    <w:pPr>
      <w:ind w:left="720"/>
    </w:pPr>
  </w:style>
  <w:style w:type="paragraph" w:styleId="BodyText3">
    <w:name w:val="Body Text 3"/>
    <w:basedOn w:val="Normal"/>
    <w:link w:val="BodyText3Char"/>
    <w:uiPriority w:val="99"/>
    <w:rsid w:val="00AE45EA"/>
    <w:pPr>
      <w:spacing w:after="120"/>
    </w:pPr>
    <w:rPr>
      <w:sz w:val="16"/>
      <w:szCs w:val="16"/>
    </w:rPr>
  </w:style>
  <w:style w:type="character" w:customStyle="1" w:styleId="BodyText3Char">
    <w:name w:val="Body Text 3 Char"/>
    <w:basedOn w:val="DefaultParagraphFont"/>
    <w:link w:val="BodyText3"/>
    <w:uiPriority w:val="99"/>
    <w:locked/>
    <w:rsid w:val="00AE45EA"/>
    <w:rPr>
      <w:rFonts w:ascii="Times New Roman" w:hAnsi="Times New Roman" w:cs="Times New Roman"/>
      <w:color w:val="000000"/>
      <w:sz w:val="16"/>
      <w:szCs w:val="16"/>
    </w:rPr>
  </w:style>
  <w:style w:type="table" w:styleId="TableGrid">
    <w:name w:val="Table Grid"/>
    <w:basedOn w:val="TableNormal"/>
    <w:uiPriority w:val="59"/>
    <w:locked/>
    <w:rsid w:val="00421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9DB"/>
    <w:rPr>
      <w:rFonts w:ascii="Times New Roman" w:hAnsi="Times New Roman"/>
      <w:color w:val="000000"/>
      <w:sz w:val="24"/>
      <w:szCs w:val="24"/>
    </w:rPr>
  </w:style>
  <w:style w:type="paragraph" w:styleId="NoSpacing">
    <w:name w:val="No Spacing"/>
    <w:uiPriority w:val="1"/>
    <w:qFormat/>
    <w:rsid w:val="00613EB2"/>
    <w:rPr>
      <w:rFonts w:eastAsia="Calibri"/>
    </w:rPr>
  </w:style>
  <w:style w:type="character" w:styleId="BookTitle">
    <w:name w:val="Book Title"/>
    <w:basedOn w:val="DefaultParagraphFont"/>
    <w:uiPriority w:val="33"/>
    <w:qFormat/>
    <w:rsid w:val="00E218F8"/>
    <w:rPr>
      <w:b/>
      <w:bCs/>
      <w:smallCaps/>
      <w:spacing w:val="5"/>
    </w:rPr>
  </w:style>
  <w:style w:type="paragraph" w:customStyle="1" w:styleId="Default">
    <w:name w:val="Default"/>
    <w:basedOn w:val="Normal"/>
    <w:uiPriority w:val="99"/>
    <w:rsid w:val="00EC7E71"/>
    <w:pPr>
      <w:autoSpaceDE w:val="0"/>
      <w:autoSpaceDN w:val="0"/>
    </w:pPr>
    <w:rPr>
      <w:rFonts w:eastAsiaTheme="minorHAnsi"/>
    </w:rPr>
  </w:style>
  <w:style w:type="character" w:styleId="Emphasis">
    <w:name w:val="Emphasis"/>
    <w:basedOn w:val="DefaultParagraphFont"/>
    <w:uiPriority w:val="20"/>
    <w:qFormat/>
    <w:locked/>
    <w:rsid w:val="00D717FD"/>
    <w:rPr>
      <w:i/>
      <w:iCs/>
    </w:rPr>
  </w:style>
  <w:style w:type="character" w:styleId="Strong">
    <w:name w:val="Strong"/>
    <w:basedOn w:val="DefaultParagraphFont"/>
    <w:uiPriority w:val="22"/>
    <w:qFormat/>
    <w:locked/>
    <w:rsid w:val="00983C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13EB2"/>
    <w:rPr>
      <w:rFonts w:ascii="Times New Roman" w:hAnsi="Times New Roman"/>
      <w:color w:val="000000"/>
      <w:sz w:val="24"/>
      <w:szCs w:val="24"/>
    </w:rPr>
  </w:style>
  <w:style w:type="paragraph" w:styleId="Heading1">
    <w:name w:val="heading 1"/>
    <w:aliases w:val="Part Title"/>
    <w:basedOn w:val="Normal"/>
    <w:next w:val="Heading4"/>
    <w:link w:val="Heading1Char"/>
    <w:uiPriority w:val="99"/>
    <w:qFormat/>
    <w:rsid w:val="00AE45EA"/>
    <w:pPr>
      <w:spacing w:after="240"/>
      <w:jc w:val="center"/>
      <w:outlineLvl w:val="0"/>
    </w:pPr>
    <w:rPr>
      <w:rFonts w:ascii="Arial" w:hAnsi="Arial" w:cs="Arial"/>
      <w:b/>
      <w:bCs/>
      <w:sz w:val="32"/>
      <w:szCs w:val="32"/>
    </w:rPr>
  </w:style>
  <w:style w:type="paragraph" w:styleId="Heading2">
    <w:name w:val="heading 2"/>
    <w:aliases w:val="Chapter Title"/>
    <w:basedOn w:val="Normal"/>
    <w:next w:val="Heading4"/>
    <w:link w:val="Heading2Char"/>
    <w:uiPriority w:val="99"/>
    <w:qFormat/>
    <w:rsid w:val="00AE45EA"/>
    <w:pPr>
      <w:spacing w:after="240"/>
      <w:jc w:val="center"/>
      <w:outlineLvl w:val="1"/>
    </w:pPr>
    <w:rPr>
      <w:rFonts w:ascii="Arial" w:hAnsi="Arial" w:cs="Arial"/>
      <w:b/>
      <w:bCs/>
      <w:sz w:val="32"/>
      <w:szCs w:val="32"/>
    </w:rPr>
  </w:style>
  <w:style w:type="paragraph" w:styleId="Heading3">
    <w:name w:val="heading 3"/>
    <w:aliases w:val="Section,Section Title"/>
    <w:basedOn w:val="Normal"/>
    <w:next w:val="Heading4"/>
    <w:link w:val="Heading3Char"/>
    <w:uiPriority w:val="99"/>
    <w:qFormat/>
    <w:rsid w:val="00AE45EA"/>
    <w:pPr>
      <w:spacing w:after="240"/>
      <w:jc w:val="center"/>
      <w:outlineLvl w:val="2"/>
    </w:pPr>
    <w:rPr>
      <w:rFonts w:ascii="Arial" w:hAnsi="Arial" w:cs="Arial"/>
      <w:b/>
      <w:bCs/>
      <w:sz w:val="32"/>
      <w:szCs w:val="32"/>
    </w:rPr>
  </w:style>
  <w:style w:type="paragraph" w:styleId="Heading4">
    <w:name w:val="heading 4"/>
    <w:aliases w:val="Map Title"/>
    <w:basedOn w:val="Normal"/>
    <w:next w:val="Normal"/>
    <w:link w:val="Heading4Char"/>
    <w:uiPriority w:val="99"/>
    <w:qFormat/>
    <w:rsid w:val="00AE45EA"/>
    <w:pPr>
      <w:spacing w:after="240"/>
      <w:outlineLvl w:val="3"/>
    </w:pPr>
    <w:rPr>
      <w:rFonts w:ascii="Arial" w:hAnsi="Arial" w:cs="Arial"/>
      <w:b/>
      <w:bCs/>
      <w:sz w:val="32"/>
      <w:szCs w:val="32"/>
    </w:rPr>
  </w:style>
  <w:style w:type="paragraph" w:styleId="Heading5">
    <w:name w:val="heading 5"/>
    <w:aliases w:val="Block Label"/>
    <w:basedOn w:val="Normal"/>
    <w:link w:val="Heading5Char"/>
    <w:uiPriority w:val="99"/>
    <w:qFormat/>
    <w:rsid w:val="00AE45EA"/>
    <w:pPr>
      <w:outlineLvl w:val="4"/>
    </w:pPr>
    <w:rPr>
      <w:b/>
      <w:bCs/>
      <w:sz w:val="22"/>
      <w:szCs w:val="22"/>
    </w:rPr>
  </w:style>
  <w:style w:type="paragraph" w:styleId="Heading6">
    <w:name w:val="heading 6"/>
    <w:aliases w:val="Sub Label"/>
    <w:basedOn w:val="Heading5"/>
    <w:next w:val="BlockText"/>
    <w:link w:val="Heading6Char"/>
    <w:uiPriority w:val="99"/>
    <w:qFormat/>
    <w:rsid w:val="00AE45EA"/>
    <w:pPr>
      <w:spacing w:before="240" w:after="60"/>
      <w:outlineLvl w:val="5"/>
    </w:pPr>
    <w:rPr>
      <w:i/>
      <w:iCs/>
    </w:rPr>
  </w:style>
  <w:style w:type="paragraph" w:styleId="Heading7">
    <w:name w:val="heading 7"/>
    <w:basedOn w:val="Normal"/>
    <w:next w:val="Normal"/>
    <w:link w:val="Heading7Char"/>
    <w:uiPriority w:val="99"/>
    <w:qFormat/>
    <w:rsid w:val="00AE45EA"/>
    <w:pPr>
      <w:spacing w:before="240" w:after="60"/>
      <w:outlineLvl w:val="6"/>
    </w:pPr>
    <w:rPr>
      <w:rFonts w:ascii="Arial" w:hAnsi="Arial" w:cs="Arial"/>
    </w:rPr>
  </w:style>
  <w:style w:type="paragraph" w:styleId="Heading8">
    <w:name w:val="heading 8"/>
    <w:basedOn w:val="Normal"/>
    <w:next w:val="Normal"/>
    <w:link w:val="Heading8Char"/>
    <w:uiPriority w:val="99"/>
    <w:qFormat/>
    <w:rsid w:val="00AE45EA"/>
    <w:p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AE45EA"/>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AE45EA"/>
    <w:rPr>
      <w:rFonts w:ascii="Cambria" w:hAnsi="Cambria" w:cs="Cambria"/>
      <w:b/>
      <w:bCs/>
      <w:color w:val="000000"/>
      <w:kern w:val="32"/>
      <w:sz w:val="32"/>
      <w:szCs w:val="32"/>
    </w:rPr>
  </w:style>
  <w:style w:type="character" w:customStyle="1" w:styleId="Heading2Char">
    <w:name w:val="Heading 2 Char"/>
    <w:aliases w:val="Chapter Title Char"/>
    <w:basedOn w:val="DefaultParagraphFont"/>
    <w:link w:val="Heading2"/>
    <w:uiPriority w:val="99"/>
    <w:locked/>
    <w:rsid w:val="00AE45EA"/>
    <w:rPr>
      <w:rFonts w:ascii="Cambria" w:hAnsi="Cambria" w:cs="Cambria"/>
      <w:b/>
      <w:bCs/>
      <w:i/>
      <w:iCs/>
      <w:color w:val="000000"/>
      <w:sz w:val="28"/>
      <w:szCs w:val="28"/>
    </w:rPr>
  </w:style>
  <w:style w:type="character" w:customStyle="1" w:styleId="Heading3Char">
    <w:name w:val="Heading 3 Char"/>
    <w:aliases w:val="Section Char,Section Title Char"/>
    <w:basedOn w:val="DefaultParagraphFont"/>
    <w:link w:val="Heading3"/>
    <w:uiPriority w:val="99"/>
    <w:locked/>
    <w:rsid w:val="00AE45EA"/>
    <w:rPr>
      <w:rFonts w:ascii="Cambria" w:hAnsi="Cambria" w:cs="Cambria"/>
      <w:b/>
      <w:bCs/>
      <w:color w:val="000000"/>
      <w:sz w:val="26"/>
      <w:szCs w:val="26"/>
    </w:rPr>
  </w:style>
  <w:style w:type="character" w:customStyle="1" w:styleId="Heading4Char">
    <w:name w:val="Heading 4 Char"/>
    <w:aliases w:val="Map Title Char"/>
    <w:basedOn w:val="DefaultParagraphFont"/>
    <w:link w:val="Heading4"/>
    <w:uiPriority w:val="99"/>
    <w:locked/>
    <w:rsid w:val="00AE45EA"/>
    <w:rPr>
      <w:rFonts w:ascii="Calibri" w:hAnsi="Calibri" w:cs="Calibri"/>
      <w:b/>
      <w:bCs/>
      <w:color w:val="000000"/>
      <w:sz w:val="28"/>
      <w:szCs w:val="28"/>
    </w:rPr>
  </w:style>
  <w:style w:type="character" w:customStyle="1" w:styleId="Heading5Char">
    <w:name w:val="Heading 5 Char"/>
    <w:aliases w:val="Block Label Char"/>
    <w:basedOn w:val="DefaultParagraphFont"/>
    <w:link w:val="Heading5"/>
    <w:uiPriority w:val="99"/>
    <w:locked/>
    <w:rsid w:val="00AE45EA"/>
    <w:rPr>
      <w:rFonts w:ascii="Calibri" w:hAnsi="Calibri" w:cs="Calibri"/>
      <w:b/>
      <w:bCs/>
      <w:i/>
      <w:iCs/>
      <w:color w:val="000000"/>
      <w:sz w:val="26"/>
      <w:szCs w:val="26"/>
    </w:rPr>
  </w:style>
  <w:style w:type="character" w:customStyle="1" w:styleId="Heading6Char">
    <w:name w:val="Heading 6 Char"/>
    <w:aliases w:val="Sub Label Char"/>
    <w:basedOn w:val="DefaultParagraphFont"/>
    <w:link w:val="Heading6"/>
    <w:uiPriority w:val="99"/>
    <w:locked/>
    <w:rsid w:val="00AE45EA"/>
    <w:rPr>
      <w:rFonts w:ascii="Calibri" w:hAnsi="Calibri" w:cs="Calibri"/>
      <w:b/>
      <w:bCs/>
      <w:color w:val="000000"/>
    </w:rPr>
  </w:style>
  <w:style w:type="character" w:customStyle="1" w:styleId="Heading7Char">
    <w:name w:val="Heading 7 Char"/>
    <w:basedOn w:val="DefaultParagraphFont"/>
    <w:link w:val="Heading7"/>
    <w:uiPriority w:val="99"/>
    <w:locked/>
    <w:rsid w:val="00AE45EA"/>
    <w:rPr>
      <w:rFonts w:ascii="Calibri" w:hAnsi="Calibri" w:cs="Calibri"/>
      <w:color w:val="000000"/>
      <w:sz w:val="24"/>
      <w:szCs w:val="24"/>
    </w:rPr>
  </w:style>
  <w:style w:type="character" w:customStyle="1" w:styleId="Heading8Char">
    <w:name w:val="Heading 8 Char"/>
    <w:basedOn w:val="DefaultParagraphFont"/>
    <w:link w:val="Heading8"/>
    <w:uiPriority w:val="99"/>
    <w:locked/>
    <w:rsid w:val="00AE45EA"/>
    <w:rPr>
      <w:rFonts w:ascii="Calibri" w:hAnsi="Calibri" w:cs="Calibri"/>
      <w:i/>
      <w:iCs/>
      <w:color w:val="000000"/>
      <w:sz w:val="24"/>
      <w:szCs w:val="24"/>
    </w:rPr>
  </w:style>
  <w:style w:type="character" w:customStyle="1" w:styleId="Heading9Char">
    <w:name w:val="Heading 9 Char"/>
    <w:basedOn w:val="DefaultParagraphFont"/>
    <w:link w:val="Heading9"/>
    <w:uiPriority w:val="99"/>
    <w:locked/>
    <w:rsid w:val="00AE45EA"/>
    <w:rPr>
      <w:rFonts w:ascii="Cambria" w:hAnsi="Cambria" w:cs="Cambria"/>
      <w:color w:val="000000"/>
    </w:rPr>
  </w:style>
  <w:style w:type="paragraph" w:styleId="Header">
    <w:name w:val="header"/>
    <w:basedOn w:val="Normal"/>
    <w:link w:val="HeaderChar"/>
    <w:uiPriority w:val="99"/>
    <w:rsid w:val="00AE45EA"/>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AE45EA"/>
    <w:rPr>
      <w:rFonts w:ascii="Times New Roman" w:hAnsi="Times New Roman" w:cs="Times New Roman"/>
      <w:color w:val="000000"/>
      <w:sz w:val="24"/>
      <w:szCs w:val="24"/>
    </w:rPr>
  </w:style>
  <w:style w:type="paragraph" w:styleId="MacroText">
    <w:name w:val="macro"/>
    <w:link w:val="MacroTextChar"/>
    <w:uiPriority w:val="99"/>
    <w:rsid w:val="00AE45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locked/>
    <w:rsid w:val="00AE45EA"/>
    <w:rPr>
      <w:rFonts w:ascii="Courier New" w:hAnsi="Courier New" w:cs="Courier New"/>
      <w:lang w:val="en-US" w:eastAsia="en-US" w:bidi="ar-SA"/>
    </w:rPr>
  </w:style>
  <w:style w:type="paragraph" w:customStyle="1" w:styleId="BlockLine">
    <w:name w:val="Block Line"/>
    <w:basedOn w:val="Normal"/>
    <w:next w:val="Normal"/>
    <w:uiPriority w:val="99"/>
    <w:rsid w:val="00AE45EA"/>
    <w:pPr>
      <w:pBdr>
        <w:top w:val="single" w:sz="6" w:space="1" w:color="000000"/>
        <w:between w:val="single" w:sz="6" w:space="1" w:color="auto"/>
      </w:pBdr>
      <w:spacing w:before="240"/>
      <w:ind w:left="1728"/>
    </w:pPr>
  </w:style>
  <w:style w:type="paragraph" w:styleId="BlockText">
    <w:name w:val="Block Text"/>
    <w:basedOn w:val="Normal"/>
    <w:uiPriority w:val="99"/>
    <w:rsid w:val="00AE45EA"/>
  </w:style>
  <w:style w:type="paragraph" w:customStyle="1" w:styleId="BulletText1">
    <w:name w:val="Bullet Text 1"/>
    <w:basedOn w:val="Normal"/>
    <w:uiPriority w:val="99"/>
    <w:rsid w:val="00AE45EA"/>
    <w:pPr>
      <w:numPr>
        <w:numId w:val="1"/>
      </w:numPr>
    </w:pPr>
  </w:style>
  <w:style w:type="paragraph" w:customStyle="1" w:styleId="BulletText2">
    <w:name w:val="Bullet Text 2"/>
    <w:basedOn w:val="Normal"/>
    <w:uiPriority w:val="99"/>
    <w:rsid w:val="00AE45EA"/>
    <w:pPr>
      <w:numPr>
        <w:numId w:val="3"/>
      </w:numPr>
      <w:ind w:left="346"/>
    </w:pPr>
  </w:style>
  <w:style w:type="paragraph" w:customStyle="1" w:styleId="ContinuedOnNextPa">
    <w:name w:val="Continued On Next Pa"/>
    <w:basedOn w:val="Normal"/>
    <w:next w:val="Normal"/>
    <w:uiPriority w:val="99"/>
    <w:rsid w:val="00AE45EA"/>
    <w:pPr>
      <w:pBdr>
        <w:top w:val="single" w:sz="6" w:space="1" w:color="000000"/>
        <w:between w:val="single" w:sz="6" w:space="1" w:color="auto"/>
      </w:pBdr>
      <w:spacing w:before="240"/>
      <w:ind w:left="1728"/>
      <w:jc w:val="right"/>
    </w:pPr>
    <w:rPr>
      <w:i/>
      <w:iCs/>
      <w:sz w:val="20"/>
      <w:szCs w:val="20"/>
    </w:rPr>
  </w:style>
  <w:style w:type="paragraph" w:customStyle="1" w:styleId="ContinuedTableLabe">
    <w:name w:val="Continued Table Labe"/>
    <w:basedOn w:val="Normal"/>
    <w:next w:val="Normal"/>
    <w:uiPriority w:val="99"/>
    <w:rsid w:val="00AE45EA"/>
    <w:pPr>
      <w:spacing w:after="240"/>
    </w:pPr>
    <w:rPr>
      <w:b/>
      <w:bCs/>
      <w:sz w:val="22"/>
      <w:szCs w:val="22"/>
    </w:rPr>
  </w:style>
  <w:style w:type="paragraph" w:customStyle="1" w:styleId="MapTitleContinued">
    <w:name w:val="Map Title. Continued"/>
    <w:basedOn w:val="Normal"/>
    <w:next w:val="Normal"/>
    <w:uiPriority w:val="99"/>
    <w:rsid w:val="00AE45EA"/>
    <w:pPr>
      <w:spacing w:after="240"/>
    </w:pPr>
    <w:rPr>
      <w:rFonts w:ascii="Arial" w:hAnsi="Arial" w:cs="Arial"/>
      <w:b/>
      <w:bCs/>
      <w:sz w:val="32"/>
      <w:szCs w:val="32"/>
    </w:rPr>
  </w:style>
  <w:style w:type="paragraph" w:customStyle="1" w:styleId="MemoLine">
    <w:name w:val="Memo Line"/>
    <w:basedOn w:val="BlockLine"/>
    <w:next w:val="Normal"/>
    <w:uiPriority w:val="99"/>
    <w:rsid w:val="00AE45EA"/>
    <w:pPr>
      <w:ind w:left="0"/>
    </w:pPr>
  </w:style>
  <w:style w:type="paragraph" w:styleId="Footer">
    <w:name w:val="footer"/>
    <w:basedOn w:val="Normal"/>
    <w:link w:val="FooterChar"/>
    <w:uiPriority w:val="99"/>
    <w:rsid w:val="00AE45EA"/>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AE45EA"/>
    <w:rPr>
      <w:rFonts w:ascii="Times New Roman" w:hAnsi="Times New Roman" w:cs="Times New Roman"/>
      <w:color w:val="000000"/>
      <w:sz w:val="24"/>
      <w:szCs w:val="24"/>
    </w:rPr>
  </w:style>
  <w:style w:type="character" w:styleId="PageNumber">
    <w:name w:val="page number"/>
    <w:basedOn w:val="DefaultParagraphFont"/>
    <w:uiPriority w:val="99"/>
    <w:rsid w:val="00AE45EA"/>
    <w:rPr>
      <w:rFonts w:ascii="Times New Roman" w:hAnsi="Times New Roman" w:cs="Times New Roman"/>
    </w:rPr>
  </w:style>
  <w:style w:type="paragraph" w:customStyle="1" w:styleId="TableText">
    <w:name w:val="Table Text"/>
    <w:basedOn w:val="Normal"/>
    <w:uiPriority w:val="99"/>
    <w:rsid w:val="00AE45EA"/>
  </w:style>
  <w:style w:type="paragraph" w:customStyle="1" w:styleId="NoteText">
    <w:name w:val="Note Text"/>
    <w:basedOn w:val="Normal"/>
    <w:uiPriority w:val="99"/>
    <w:rsid w:val="00AE45EA"/>
  </w:style>
  <w:style w:type="paragraph" w:customStyle="1" w:styleId="TableHeaderText">
    <w:name w:val="Table Header Text"/>
    <w:basedOn w:val="Normal"/>
    <w:uiPriority w:val="99"/>
    <w:rsid w:val="00AE45EA"/>
    <w:pPr>
      <w:jc w:val="center"/>
    </w:pPr>
    <w:rPr>
      <w:b/>
      <w:bCs/>
    </w:rPr>
  </w:style>
  <w:style w:type="paragraph" w:customStyle="1" w:styleId="EmbeddedText">
    <w:name w:val="Embedded Text"/>
    <w:basedOn w:val="Normal"/>
    <w:uiPriority w:val="99"/>
    <w:rsid w:val="00AE45EA"/>
  </w:style>
  <w:style w:type="paragraph" w:styleId="TOC1">
    <w:name w:val="toc 1"/>
    <w:basedOn w:val="Normal"/>
    <w:next w:val="Normal"/>
    <w:autoRedefine/>
    <w:uiPriority w:val="99"/>
    <w:rsid w:val="00AE45EA"/>
    <w:pPr>
      <w:ind w:left="57"/>
    </w:pPr>
  </w:style>
  <w:style w:type="paragraph" w:styleId="TOC2">
    <w:name w:val="toc 2"/>
    <w:basedOn w:val="Normal"/>
    <w:next w:val="Normal"/>
    <w:autoRedefine/>
    <w:uiPriority w:val="99"/>
    <w:rsid w:val="00AE45EA"/>
    <w:pPr>
      <w:ind w:left="240"/>
    </w:pPr>
  </w:style>
  <w:style w:type="paragraph" w:styleId="TOC3">
    <w:name w:val="toc 3"/>
    <w:basedOn w:val="Normal"/>
    <w:next w:val="Normal"/>
    <w:autoRedefine/>
    <w:uiPriority w:val="99"/>
    <w:rsid w:val="00AE45EA"/>
    <w:pPr>
      <w:ind w:left="480"/>
    </w:pPr>
  </w:style>
  <w:style w:type="paragraph" w:styleId="TOC4">
    <w:name w:val="toc 4"/>
    <w:basedOn w:val="Normal"/>
    <w:next w:val="Normal"/>
    <w:autoRedefine/>
    <w:uiPriority w:val="99"/>
    <w:rsid w:val="00AE45EA"/>
    <w:pPr>
      <w:ind w:left="720"/>
    </w:pPr>
  </w:style>
  <w:style w:type="paragraph" w:styleId="TOC5">
    <w:name w:val="toc 5"/>
    <w:basedOn w:val="Normal"/>
    <w:next w:val="Normal"/>
    <w:autoRedefine/>
    <w:uiPriority w:val="99"/>
    <w:rsid w:val="00AE45EA"/>
    <w:pPr>
      <w:ind w:left="960"/>
    </w:pPr>
  </w:style>
  <w:style w:type="paragraph" w:styleId="TOC6">
    <w:name w:val="toc 6"/>
    <w:basedOn w:val="Normal"/>
    <w:next w:val="Normal"/>
    <w:autoRedefine/>
    <w:uiPriority w:val="99"/>
    <w:rsid w:val="00AE45EA"/>
    <w:pPr>
      <w:ind w:left="1200"/>
    </w:pPr>
  </w:style>
  <w:style w:type="paragraph" w:styleId="TOC7">
    <w:name w:val="toc 7"/>
    <w:basedOn w:val="Normal"/>
    <w:next w:val="Normal"/>
    <w:autoRedefine/>
    <w:uiPriority w:val="99"/>
    <w:rsid w:val="00AE45EA"/>
    <w:pPr>
      <w:ind w:left="1440"/>
    </w:pPr>
  </w:style>
  <w:style w:type="paragraph" w:styleId="TOC8">
    <w:name w:val="toc 8"/>
    <w:basedOn w:val="Normal"/>
    <w:next w:val="Normal"/>
    <w:autoRedefine/>
    <w:uiPriority w:val="99"/>
    <w:rsid w:val="00AE45EA"/>
    <w:pPr>
      <w:ind w:left="1680"/>
    </w:pPr>
  </w:style>
  <w:style w:type="paragraph" w:styleId="TOC9">
    <w:name w:val="toc 9"/>
    <w:basedOn w:val="Normal"/>
    <w:next w:val="Normal"/>
    <w:autoRedefine/>
    <w:uiPriority w:val="99"/>
    <w:rsid w:val="00AE45EA"/>
    <w:pPr>
      <w:ind w:left="1920"/>
    </w:pPr>
  </w:style>
  <w:style w:type="character" w:styleId="Hyperlink">
    <w:name w:val="Hyperlink"/>
    <w:basedOn w:val="DefaultParagraphFont"/>
    <w:uiPriority w:val="99"/>
    <w:rsid w:val="00AE45EA"/>
    <w:rPr>
      <w:rFonts w:ascii="Times New Roman" w:hAnsi="Times New Roman" w:cs="Times New Roman"/>
      <w:color w:val="0000FF"/>
      <w:u w:val="single"/>
    </w:rPr>
  </w:style>
  <w:style w:type="character" w:styleId="FollowedHyperlink">
    <w:name w:val="FollowedHyperlink"/>
    <w:basedOn w:val="DefaultParagraphFont"/>
    <w:uiPriority w:val="99"/>
    <w:rsid w:val="00AE45EA"/>
    <w:rPr>
      <w:rFonts w:ascii="Times New Roman" w:hAnsi="Times New Roman" w:cs="Times New Roman"/>
      <w:color w:val="800080"/>
      <w:u w:val="single"/>
    </w:rPr>
  </w:style>
  <w:style w:type="paragraph" w:styleId="Caption">
    <w:name w:val="caption"/>
    <w:basedOn w:val="Normal"/>
    <w:next w:val="Normal"/>
    <w:uiPriority w:val="99"/>
    <w:qFormat/>
    <w:rsid w:val="00AE45EA"/>
    <w:pPr>
      <w:spacing w:before="120" w:after="120"/>
    </w:pPr>
    <w:rPr>
      <w:b/>
      <w:bCs/>
    </w:rPr>
  </w:style>
  <w:style w:type="character" w:customStyle="1" w:styleId="Continued">
    <w:name w:val="Continued"/>
    <w:basedOn w:val="DefaultParagraphFont"/>
    <w:uiPriority w:val="99"/>
    <w:rsid w:val="00AE45EA"/>
    <w:rPr>
      <w:rFonts w:ascii="Arial" w:hAnsi="Arial" w:cs="Arial"/>
      <w:sz w:val="24"/>
      <w:szCs w:val="24"/>
    </w:rPr>
  </w:style>
  <w:style w:type="paragraph" w:customStyle="1" w:styleId="ContinuedBlockLabel">
    <w:name w:val="Continued Block Label"/>
    <w:basedOn w:val="Normal"/>
    <w:next w:val="Normal"/>
    <w:uiPriority w:val="99"/>
    <w:rsid w:val="00AE45EA"/>
    <w:pPr>
      <w:spacing w:after="240"/>
    </w:pPr>
    <w:rPr>
      <w:b/>
      <w:bCs/>
      <w:sz w:val="22"/>
      <w:szCs w:val="22"/>
    </w:rPr>
  </w:style>
  <w:style w:type="character" w:customStyle="1" w:styleId="Jump">
    <w:name w:val="Jump"/>
    <w:basedOn w:val="DefaultParagraphFont"/>
    <w:uiPriority w:val="99"/>
    <w:rsid w:val="00AE45EA"/>
    <w:rPr>
      <w:rFonts w:ascii="Times New Roman" w:hAnsi="Times New Roman" w:cs="Times New Roman"/>
      <w:color w:val="FF0000"/>
    </w:rPr>
  </w:style>
  <w:style w:type="paragraph" w:customStyle="1" w:styleId="PublicationTitle">
    <w:name w:val="Publication Title"/>
    <w:basedOn w:val="Normal"/>
    <w:next w:val="Heading4"/>
    <w:uiPriority w:val="99"/>
    <w:rsid w:val="00AE45EA"/>
    <w:pPr>
      <w:spacing w:after="240"/>
      <w:jc w:val="center"/>
    </w:pPr>
    <w:rPr>
      <w:rFonts w:ascii="Arial" w:hAnsi="Arial" w:cs="Arial"/>
      <w:b/>
      <w:bCs/>
      <w:sz w:val="32"/>
      <w:szCs w:val="32"/>
    </w:rPr>
  </w:style>
  <w:style w:type="paragraph" w:customStyle="1" w:styleId="TOCTitle">
    <w:name w:val="TOC Title"/>
    <w:basedOn w:val="Normal"/>
    <w:uiPriority w:val="99"/>
    <w:rsid w:val="00AE45EA"/>
    <w:pPr>
      <w:widowControl w:val="0"/>
    </w:pPr>
    <w:rPr>
      <w:rFonts w:ascii="Arial" w:hAnsi="Arial" w:cs="Arial"/>
      <w:b/>
      <w:bCs/>
      <w:sz w:val="32"/>
      <w:szCs w:val="32"/>
    </w:rPr>
  </w:style>
  <w:style w:type="paragraph" w:customStyle="1" w:styleId="TOCItem">
    <w:name w:val="TOCItem"/>
    <w:basedOn w:val="Normal"/>
    <w:uiPriority w:val="99"/>
    <w:rsid w:val="00AE45EA"/>
    <w:pPr>
      <w:tabs>
        <w:tab w:val="left" w:leader="dot" w:pos="7061"/>
        <w:tab w:val="right" w:pos="7524"/>
      </w:tabs>
      <w:spacing w:before="60" w:after="60"/>
      <w:ind w:right="465"/>
    </w:pPr>
  </w:style>
  <w:style w:type="paragraph" w:customStyle="1" w:styleId="TOCStem">
    <w:name w:val="TOCStem"/>
    <w:basedOn w:val="Normal"/>
    <w:uiPriority w:val="99"/>
    <w:rsid w:val="00AE45EA"/>
  </w:style>
  <w:style w:type="paragraph" w:styleId="Title">
    <w:name w:val="Title"/>
    <w:basedOn w:val="Normal"/>
    <w:link w:val="TitleChar"/>
    <w:uiPriority w:val="99"/>
    <w:qFormat/>
    <w:rsid w:val="00AE45EA"/>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uiPriority w:val="99"/>
    <w:locked/>
    <w:rsid w:val="00AE45EA"/>
    <w:rPr>
      <w:rFonts w:ascii="Cambria" w:hAnsi="Cambria" w:cs="Cambria"/>
      <w:b/>
      <w:bCs/>
      <w:color w:val="000000"/>
      <w:kern w:val="28"/>
      <w:sz w:val="32"/>
      <w:szCs w:val="32"/>
    </w:rPr>
  </w:style>
  <w:style w:type="paragraph" w:styleId="BodyText">
    <w:name w:val="Body Text"/>
    <w:basedOn w:val="Normal"/>
    <w:link w:val="BodyTextChar"/>
    <w:uiPriority w:val="99"/>
    <w:rsid w:val="00AE45EA"/>
    <w:pPr>
      <w:numPr>
        <w:ilvl w:val="12"/>
      </w:numPr>
    </w:pPr>
    <w:rPr>
      <w:sz w:val="20"/>
      <w:szCs w:val="20"/>
    </w:rPr>
  </w:style>
  <w:style w:type="character" w:customStyle="1" w:styleId="BodyTextChar">
    <w:name w:val="Body Text Char"/>
    <w:basedOn w:val="DefaultParagraphFont"/>
    <w:link w:val="BodyText"/>
    <w:uiPriority w:val="99"/>
    <w:locked/>
    <w:rsid w:val="00AE45EA"/>
    <w:rPr>
      <w:rFonts w:ascii="Times New Roman" w:hAnsi="Times New Roman" w:cs="Times New Roman"/>
      <w:color w:val="000000"/>
      <w:sz w:val="24"/>
      <w:szCs w:val="24"/>
    </w:rPr>
  </w:style>
  <w:style w:type="paragraph" w:styleId="NormalWeb">
    <w:name w:val="Normal (Web)"/>
    <w:basedOn w:val="Normal"/>
    <w:uiPriority w:val="99"/>
    <w:rsid w:val="00AE45EA"/>
    <w:pPr>
      <w:spacing w:before="100" w:beforeAutospacing="1" w:after="100" w:afterAutospacing="1"/>
    </w:pPr>
  </w:style>
  <w:style w:type="paragraph" w:customStyle="1" w:styleId="BulletText3">
    <w:name w:val="Bullet Text 3"/>
    <w:basedOn w:val="Normal"/>
    <w:uiPriority w:val="99"/>
    <w:rsid w:val="00AE45EA"/>
    <w:pPr>
      <w:numPr>
        <w:numId w:val="2"/>
      </w:numPr>
      <w:ind w:left="518"/>
    </w:pPr>
  </w:style>
  <w:style w:type="character" w:styleId="HTMLAcronym">
    <w:name w:val="HTML Acronym"/>
    <w:basedOn w:val="DefaultParagraphFont"/>
    <w:uiPriority w:val="99"/>
    <w:rsid w:val="00AE45EA"/>
    <w:rPr>
      <w:rFonts w:ascii="Times New Roman" w:hAnsi="Times New Roman" w:cs="Times New Roman"/>
    </w:rPr>
  </w:style>
  <w:style w:type="paragraph" w:customStyle="1" w:styleId="IMTOC">
    <w:name w:val="IMTOC"/>
    <w:uiPriority w:val="99"/>
    <w:rsid w:val="00AE45EA"/>
    <w:rPr>
      <w:rFonts w:ascii="Times New Roman" w:hAnsi="Times New Roman"/>
      <w:sz w:val="24"/>
      <w:szCs w:val="24"/>
    </w:rPr>
  </w:style>
  <w:style w:type="paragraph" w:styleId="BalloonText">
    <w:name w:val="Balloon Text"/>
    <w:basedOn w:val="Normal"/>
    <w:link w:val="BalloonTextChar"/>
    <w:uiPriority w:val="99"/>
    <w:rsid w:val="00AE45EA"/>
    <w:rPr>
      <w:rFonts w:ascii="Tahoma" w:hAnsi="Tahoma" w:cs="Tahoma"/>
      <w:sz w:val="16"/>
      <w:szCs w:val="16"/>
    </w:rPr>
  </w:style>
  <w:style w:type="character" w:customStyle="1" w:styleId="BalloonTextChar">
    <w:name w:val="Balloon Text Char"/>
    <w:basedOn w:val="DefaultParagraphFont"/>
    <w:link w:val="BalloonText"/>
    <w:uiPriority w:val="99"/>
    <w:locked/>
    <w:rsid w:val="00AE45EA"/>
    <w:rPr>
      <w:rFonts w:ascii="Times New Roman" w:hAnsi="Times New Roman" w:cs="Times New Roman"/>
      <w:color w:val="000000"/>
      <w:sz w:val="2"/>
      <w:szCs w:val="2"/>
    </w:rPr>
  </w:style>
  <w:style w:type="character" w:styleId="CommentReference">
    <w:name w:val="annotation reference"/>
    <w:basedOn w:val="DefaultParagraphFont"/>
    <w:uiPriority w:val="99"/>
    <w:rsid w:val="00AE45EA"/>
    <w:rPr>
      <w:rFonts w:ascii="Times New Roman" w:hAnsi="Times New Roman" w:cs="Times New Roman"/>
      <w:sz w:val="16"/>
      <w:szCs w:val="16"/>
    </w:rPr>
  </w:style>
  <w:style w:type="paragraph" w:styleId="CommentText">
    <w:name w:val="annotation text"/>
    <w:basedOn w:val="Normal"/>
    <w:link w:val="CommentTextChar"/>
    <w:uiPriority w:val="99"/>
    <w:rsid w:val="00AE45EA"/>
    <w:rPr>
      <w:sz w:val="20"/>
      <w:szCs w:val="20"/>
    </w:rPr>
  </w:style>
  <w:style w:type="character" w:customStyle="1" w:styleId="CommentTextChar">
    <w:name w:val="Comment Text Char"/>
    <w:basedOn w:val="DefaultParagraphFont"/>
    <w:link w:val="CommentText"/>
    <w:uiPriority w:val="99"/>
    <w:locked/>
    <w:rsid w:val="00AE45EA"/>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rsid w:val="00AE45EA"/>
    <w:rPr>
      <w:b/>
      <w:bCs/>
    </w:rPr>
  </w:style>
  <w:style w:type="character" w:customStyle="1" w:styleId="CommentSubjectChar">
    <w:name w:val="Comment Subject Char"/>
    <w:basedOn w:val="CommentTextChar"/>
    <w:link w:val="CommentSubject"/>
    <w:uiPriority w:val="99"/>
    <w:locked/>
    <w:rsid w:val="00AE45EA"/>
    <w:rPr>
      <w:rFonts w:ascii="Times New Roman" w:hAnsi="Times New Roman" w:cs="Times New Roman"/>
      <w:b/>
      <w:bCs/>
      <w:color w:val="000000"/>
      <w:sz w:val="20"/>
      <w:szCs w:val="20"/>
    </w:rPr>
  </w:style>
  <w:style w:type="paragraph" w:styleId="ListParagraph">
    <w:name w:val="List Paragraph"/>
    <w:basedOn w:val="Normal"/>
    <w:uiPriority w:val="34"/>
    <w:qFormat/>
    <w:rsid w:val="00AE45EA"/>
    <w:pPr>
      <w:ind w:left="720"/>
    </w:pPr>
  </w:style>
  <w:style w:type="paragraph" w:styleId="BodyText3">
    <w:name w:val="Body Text 3"/>
    <w:basedOn w:val="Normal"/>
    <w:link w:val="BodyText3Char"/>
    <w:uiPriority w:val="99"/>
    <w:rsid w:val="00AE45EA"/>
    <w:pPr>
      <w:spacing w:after="120"/>
    </w:pPr>
    <w:rPr>
      <w:sz w:val="16"/>
      <w:szCs w:val="16"/>
    </w:rPr>
  </w:style>
  <w:style w:type="character" w:customStyle="1" w:styleId="BodyText3Char">
    <w:name w:val="Body Text 3 Char"/>
    <w:basedOn w:val="DefaultParagraphFont"/>
    <w:link w:val="BodyText3"/>
    <w:uiPriority w:val="99"/>
    <w:locked/>
    <w:rsid w:val="00AE45EA"/>
    <w:rPr>
      <w:rFonts w:ascii="Times New Roman" w:hAnsi="Times New Roman" w:cs="Times New Roman"/>
      <w:color w:val="000000"/>
      <w:sz w:val="16"/>
      <w:szCs w:val="16"/>
    </w:rPr>
  </w:style>
  <w:style w:type="table" w:styleId="TableGrid">
    <w:name w:val="Table Grid"/>
    <w:basedOn w:val="TableNormal"/>
    <w:uiPriority w:val="59"/>
    <w:locked/>
    <w:rsid w:val="00421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9DB"/>
    <w:rPr>
      <w:rFonts w:ascii="Times New Roman" w:hAnsi="Times New Roman"/>
      <w:color w:val="000000"/>
      <w:sz w:val="24"/>
      <w:szCs w:val="24"/>
    </w:rPr>
  </w:style>
  <w:style w:type="paragraph" w:styleId="NoSpacing">
    <w:name w:val="No Spacing"/>
    <w:uiPriority w:val="1"/>
    <w:qFormat/>
    <w:rsid w:val="00613EB2"/>
    <w:rPr>
      <w:rFonts w:eastAsia="Calibri"/>
    </w:rPr>
  </w:style>
  <w:style w:type="character" w:styleId="BookTitle">
    <w:name w:val="Book Title"/>
    <w:basedOn w:val="DefaultParagraphFont"/>
    <w:uiPriority w:val="33"/>
    <w:qFormat/>
    <w:rsid w:val="00E218F8"/>
    <w:rPr>
      <w:b/>
      <w:bCs/>
      <w:smallCaps/>
      <w:spacing w:val="5"/>
    </w:rPr>
  </w:style>
  <w:style w:type="paragraph" w:customStyle="1" w:styleId="Default">
    <w:name w:val="Default"/>
    <w:basedOn w:val="Normal"/>
    <w:uiPriority w:val="99"/>
    <w:rsid w:val="00EC7E71"/>
    <w:pPr>
      <w:autoSpaceDE w:val="0"/>
      <w:autoSpaceDN w:val="0"/>
    </w:pPr>
    <w:rPr>
      <w:rFonts w:eastAsiaTheme="minorHAnsi"/>
    </w:rPr>
  </w:style>
  <w:style w:type="character" w:styleId="Emphasis">
    <w:name w:val="Emphasis"/>
    <w:basedOn w:val="DefaultParagraphFont"/>
    <w:uiPriority w:val="20"/>
    <w:qFormat/>
    <w:locked/>
    <w:rsid w:val="00D717FD"/>
    <w:rPr>
      <w:i/>
      <w:iCs/>
    </w:rPr>
  </w:style>
  <w:style w:type="character" w:styleId="Strong">
    <w:name w:val="Strong"/>
    <w:basedOn w:val="DefaultParagraphFont"/>
    <w:uiPriority w:val="22"/>
    <w:qFormat/>
    <w:locked/>
    <w:rsid w:val="00983C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0910">
      <w:bodyDiv w:val="1"/>
      <w:marLeft w:val="0"/>
      <w:marRight w:val="0"/>
      <w:marTop w:val="0"/>
      <w:marBottom w:val="0"/>
      <w:divBdr>
        <w:top w:val="none" w:sz="0" w:space="0" w:color="auto"/>
        <w:left w:val="none" w:sz="0" w:space="0" w:color="auto"/>
        <w:bottom w:val="none" w:sz="0" w:space="0" w:color="auto"/>
        <w:right w:val="none" w:sz="0" w:space="0" w:color="auto"/>
      </w:divBdr>
      <w:divsChild>
        <w:div w:id="101195255">
          <w:marLeft w:val="0"/>
          <w:marRight w:val="0"/>
          <w:marTop w:val="0"/>
          <w:marBottom w:val="0"/>
          <w:divBdr>
            <w:top w:val="none" w:sz="0" w:space="0" w:color="auto"/>
            <w:left w:val="none" w:sz="0" w:space="0" w:color="auto"/>
            <w:bottom w:val="none" w:sz="0" w:space="0" w:color="auto"/>
            <w:right w:val="none" w:sz="0" w:space="0" w:color="auto"/>
          </w:divBdr>
        </w:div>
      </w:divsChild>
    </w:div>
    <w:div w:id="764612821">
      <w:bodyDiv w:val="1"/>
      <w:marLeft w:val="0"/>
      <w:marRight w:val="0"/>
      <w:marTop w:val="0"/>
      <w:marBottom w:val="0"/>
      <w:divBdr>
        <w:top w:val="none" w:sz="0" w:space="0" w:color="auto"/>
        <w:left w:val="none" w:sz="0" w:space="0" w:color="auto"/>
        <w:bottom w:val="none" w:sz="0" w:space="0" w:color="auto"/>
        <w:right w:val="none" w:sz="0" w:space="0" w:color="auto"/>
      </w:divBdr>
      <w:divsChild>
        <w:div w:id="1120732852">
          <w:marLeft w:val="0"/>
          <w:marRight w:val="0"/>
          <w:marTop w:val="0"/>
          <w:marBottom w:val="0"/>
          <w:divBdr>
            <w:top w:val="none" w:sz="0" w:space="0" w:color="auto"/>
            <w:left w:val="none" w:sz="0" w:space="0" w:color="auto"/>
            <w:bottom w:val="none" w:sz="0" w:space="0" w:color="auto"/>
            <w:right w:val="none" w:sz="0" w:space="0" w:color="auto"/>
          </w:divBdr>
        </w:div>
      </w:divsChild>
    </w:div>
    <w:div w:id="1467313762">
      <w:bodyDiv w:val="1"/>
      <w:marLeft w:val="0"/>
      <w:marRight w:val="0"/>
      <w:marTop w:val="0"/>
      <w:marBottom w:val="0"/>
      <w:divBdr>
        <w:top w:val="none" w:sz="0" w:space="0" w:color="auto"/>
        <w:left w:val="none" w:sz="0" w:space="0" w:color="auto"/>
        <w:bottom w:val="none" w:sz="0" w:space="0" w:color="auto"/>
        <w:right w:val="none" w:sz="0" w:space="0" w:color="auto"/>
      </w:divBdr>
      <w:divsChild>
        <w:div w:id="1449471128">
          <w:marLeft w:val="0"/>
          <w:marRight w:val="0"/>
          <w:marTop w:val="0"/>
          <w:marBottom w:val="0"/>
          <w:divBdr>
            <w:top w:val="none" w:sz="0" w:space="0" w:color="auto"/>
            <w:left w:val="none" w:sz="0" w:space="0" w:color="auto"/>
            <w:bottom w:val="none" w:sz="0" w:space="0" w:color="auto"/>
            <w:right w:val="none" w:sz="0" w:space="0" w:color="auto"/>
          </w:divBdr>
          <w:divsChild>
            <w:div w:id="1953979250">
              <w:marLeft w:val="0"/>
              <w:marRight w:val="0"/>
              <w:marTop w:val="0"/>
              <w:marBottom w:val="0"/>
              <w:divBdr>
                <w:top w:val="none" w:sz="0" w:space="0" w:color="auto"/>
                <w:left w:val="none" w:sz="0" w:space="0" w:color="auto"/>
                <w:bottom w:val="none" w:sz="0" w:space="0" w:color="auto"/>
                <w:right w:val="none" w:sz="0" w:space="0" w:color="auto"/>
              </w:divBdr>
              <w:divsChild>
                <w:div w:id="1457211306">
                  <w:marLeft w:val="0"/>
                  <w:marRight w:val="0"/>
                  <w:marTop w:val="0"/>
                  <w:marBottom w:val="0"/>
                  <w:divBdr>
                    <w:top w:val="none" w:sz="0" w:space="0" w:color="auto"/>
                    <w:left w:val="none" w:sz="0" w:space="0" w:color="auto"/>
                    <w:bottom w:val="none" w:sz="0" w:space="0" w:color="auto"/>
                    <w:right w:val="none" w:sz="0" w:space="0" w:color="auto"/>
                  </w:divBdr>
                  <w:divsChild>
                    <w:div w:id="1759711108">
                      <w:marLeft w:val="0"/>
                      <w:marRight w:val="0"/>
                      <w:marTop w:val="0"/>
                      <w:marBottom w:val="0"/>
                      <w:divBdr>
                        <w:top w:val="none" w:sz="0" w:space="0" w:color="auto"/>
                        <w:left w:val="none" w:sz="0" w:space="0" w:color="auto"/>
                        <w:bottom w:val="none" w:sz="0" w:space="0" w:color="auto"/>
                        <w:right w:val="none" w:sz="0" w:space="0" w:color="auto"/>
                      </w:divBdr>
                      <w:divsChild>
                        <w:div w:id="1292900129">
                          <w:marLeft w:val="0"/>
                          <w:marRight w:val="0"/>
                          <w:marTop w:val="0"/>
                          <w:marBottom w:val="0"/>
                          <w:divBdr>
                            <w:top w:val="none" w:sz="0" w:space="0" w:color="auto"/>
                            <w:left w:val="none" w:sz="0" w:space="0" w:color="auto"/>
                            <w:bottom w:val="none" w:sz="0" w:space="0" w:color="auto"/>
                            <w:right w:val="none" w:sz="0" w:space="0" w:color="auto"/>
                          </w:divBdr>
                          <w:divsChild>
                            <w:div w:id="1480804019">
                              <w:marLeft w:val="0"/>
                              <w:marRight w:val="0"/>
                              <w:marTop w:val="0"/>
                              <w:marBottom w:val="0"/>
                              <w:divBdr>
                                <w:top w:val="none" w:sz="0" w:space="0" w:color="auto"/>
                                <w:left w:val="none" w:sz="0" w:space="0" w:color="auto"/>
                                <w:bottom w:val="none" w:sz="0" w:space="0" w:color="auto"/>
                                <w:right w:val="none" w:sz="0" w:space="0" w:color="auto"/>
                              </w:divBdr>
                              <w:divsChild>
                                <w:div w:id="2974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432226">
      <w:bodyDiv w:val="1"/>
      <w:marLeft w:val="0"/>
      <w:marRight w:val="0"/>
      <w:marTop w:val="0"/>
      <w:marBottom w:val="0"/>
      <w:divBdr>
        <w:top w:val="none" w:sz="0" w:space="0" w:color="auto"/>
        <w:left w:val="none" w:sz="0" w:space="0" w:color="auto"/>
        <w:bottom w:val="none" w:sz="0" w:space="0" w:color="auto"/>
        <w:right w:val="none" w:sz="0" w:space="0" w:color="auto"/>
      </w:divBdr>
    </w:div>
    <w:div w:id="1658192253">
      <w:bodyDiv w:val="1"/>
      <w:marLeft w:val="0"/>
      <w:marRight w:val="0"/>
      <w:marTop w:val="0"/>
      <w:marBottom w:val="0"/>
      <w:divBdr>
        <w:top w:val="none" w:sz="0" w:space="0" w:color="auto"/>
        <w:left w:val="none" w:sz="0" w:space="0" w:color="auto"/>
        <w:bottom w:val="none" w:sz="0" w:space="0" w:color="auto"/>
        <w:right w:val="none" w:sz="0" w:space="0" w:color="auto"/>
      </w:divBdr>
      <w:divsChild>
        <w:div w:id="2042054250">
          <w:marLeft w:val="0"/>
          <w:marRight w:val="0"/>
          <w:marTop w:val="0"/>
          <w:marBottom w:val="0"/>
          <w:divBdr>
            <w:top w:val="none" w:sz="0" w:space="0" w:color="auto"/>
            <w:left w:val="none" w:sz="0" w:space="0" w:color="auto"/>
            <w:bottom w:val="none" w:sz="0" w:space="0" w:color="auto"/>
            <w:right w:val="none" w:sz="0" w:space="0" w:color="auto"/>
          </w:divBdr>
        </w:div>
      </w:divsChild>
    </w:div>
    <w:div w:id="1722316832">
      <w:bodyDiv w:val="1"/>
      <w:marLeft w:val="0"/>
      <w:marRight w:val="0"/>
      <w:marTop w:val="0"/>
      <w:marBottom w:val="0"/>
      <w:divBdr>
        <w:top w:val="none" w:sz="0" w:space="0" w:color="auto"/>
        <w:left w:val="none" w:sz="0" w:space="0" w:color="auto"/>
        <w:bottom w:val="none" w:sz="0" w:space="0" w:color="auto"/>
        <w:right w:val="none" w:sz="0" w:space="0" w:color="auto"/>
      </w:divBdr>
    </w:div>
    <w:div w:id="18194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vaww.demo.va.gov/files/CP_POC.xlsx" TargetMode="External"/><Relationship Id="rId21" Type="http://schemas.openxmlformats.org/officeDocument/2006/relationships/hyperlink" Target="http://vbacodmoint1.vba.va.gov/bl/21/sitevisit/erb/ERB.asp" TargetMode="External"/><Relationship Id="rId42" Type="http://schemas.openxmlformats.org/officeDocument/2006/relationships/hyperlink" Target="http://vbacodmoint1.vba.va.gov/bl/21/sitevisit/erb/ERB.asp" TargetMode="External"/><Relationship Id="rId47" Type="http://schemas.openxmlformats.org/officeDocument/2006/relationships/hyperlink" Target="http://vbacodmoint1.vba.va.gov/bl/21/DEMO/ZIP/default.asp" TargetMode="External"/><Relationship Id="rId63" Type="http://schemas.openxmlformats.org/officeDocument/2006/relationships/hyperlink" Target="http://vaww.demo.va.gov/files/DMACPDisabilityExaminationsProcedureGuide9-30-15.pdf" TargetMode="External"/><Relationship Id="rId68" Type="http://schemas.openxmlformats.org/officeDocument/2006/relationships/hyperlink" Target="http://www.ecfr.gov/cgi-bin/retrieveECFR?gp=1&amp;SID=4f37eddd401a23753883deb8ce72d226&amp;ty=HTML&amp;h=L&amp;r=SECTION&amp;n=se38.1.3_1328" TargetMode="External"/><Relationship Id="rId84" Type="http://schemas.openxmlformats.org/officeDocument/2006/relationships/hyperlink" Target="http://www.ecfr.gov/cgi-bin/retrieveECFR?gp=1&amp;SID=4f37eddd401a23753883deb8ce72d226&amp;ty=HTML&amp;h=L&amp;r=SECTION&amp;n=se38.1.3_1317" TargetMode="External"/><Relationship Id="rId89" Type="http://schemas.openxmlformats.org/officeDocument/2006/relationships/image" Target="cid:image004.png@01D0C620.1C2D7A60" TargetMode="External"/><Relationship Id="rId7" Type="http://schemas.openxmlformats.org/officeDocument/2006/relationships/styles" Target="styles.xml"/><Relationship Id="rId71" Type="http://schemas.openxmlformats.org/officeDocument/2006/relationships/hyperlink" Target="http://www.ecfr.gov/cgi-bin/retrieveECFR?gp=1&amp;SID=2c4db4128ba52d5220b44b1b0ed6f81c&amp;ty=HTML&amp;h=L&amp;r=SECTION&amp;n=se38.1.3_1352" TargetMode="External"/><Relationship Id="rId92"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hyperlink" Target="http://vbacodmoint1.vba.va.gov/bl/21/DEMO/ZIP/default.asp" TargetMode="External"/><Relationship Id="rId29" Type="http://schemas.openxmlformats.org/officeDocument/2006/relationships/hyperlink" Target="http://www.va.gov/vaforms/" TargetMode="External"/><Relationship Id="rId107" Type="http://schemas.openxmlformats.org/officeDocument/2006/relationships/theme" Target="theme/theme1.xml"/><Relationship Id="rId11" Type="http://schemas.openxmlformats.org/officeDocument/2006/relationships/footnotes" Target="footnotes.xml"/><Relationship Id="rId24" Type="http://schemas.openxmlformats.org/officeDocument/2006/relationships/hyperlink" Target="http://vbacodmoint1.vba.va.gov/bl/21/sitevisit/docs/exam_builder_info.docx" TargetMode="External"/><Relationship Id="rId32" Type="http://schemas.openxmlformats.org/officeDocument/2006/relationships/hyperlink" Target="http://www.ecfr.gov/cgi-bin/text-idx?SID=2e952a0a8daaaa6e93437d24d25e676b&amp;mc=true&amp;node=se38.1.4_12&amp;rgn=div8" TargetMode="External"/><Relationship Id="rId37" Type="http://schemas.openxmlformats.org/officeDocument/2006/relationships/hyperlink" Target="http://www.ecfr.gov/cgi-bin/retrieveECFR?gp=1&amp;SID=4f37eddd401a23753883deb8ce72d226&amp;ty=HTML&amp;h=L&amp;r=SECTION&amp;n=se38.1.3_1317" TargetMode="External"/><Relationship Id="rId40" Type="http://schemas.openxmlformats.org/officeDocument/2006/relationships/hyperlink" Target="http://www.law.cornell.edu/uscode/text/38/1151" TargetMode="External"/><Relationship Id="rId45" Type="http://schemas.openxmlformats.org/officeDocument/2006/relationships/hyperlink" Target="http://vbaw.vba.va.gov/VBMS/docs/VBMS_Release_9_0_UserGuide.pdf" TargetMode="External"/><Relationship Id="rId53" Type="http://schemas.openxmlformats.org/officeDocument/2006/relationships/hyperlink" Target="http://vbaw.vba.va.gov/bl/20/cfo/MLAC/docs/Volume%203%20Benefits%20contract%20Exam%20v5.zip" TargetMode="External"/><Relationship Id="rId58" Type="http://schemas.openxmlformats.org/officeDocument/2006/relationships/hyperlink" Target="http://vbacodmoint1.vba.va.gov/bl/21/sitevisit/docs/ExamRequestBuilder.docm" TargetMode="External"/><Relationship Id="rId66" Type="http://schemas.openxmlformats.org/officeDocument/2006/relationships/hyperlink" Target="http://www.ecfr.gov/cgi-bin/retrieveECFR?gp=1&amp;SID=4f37eddd401a23753883deb8ce72d226&amp;ty=HTML&amp;h=L&amp;r=SECTION&amp;n=se38.1.3_1328" TargetMode="External"/><Relationship Id="rId74" Type="http://schemas.openxmlformats.org/officeDocument/2006/relationships/hyperlink" Target="http://vbaw.vba.va.gov/bl/21/advisory/CAVC/1991dec/Wood3.doc" TargetMode="External"/><Relationship Id="rId79" Type="http://schemas.openxmlformats.org/officeDocument/2006/relationships/hyperlink" Target="http://vbacodmoint1.vba.va.gov/bl/21/DBQ/docs/InternalDBQs/ZZZ%20-%20Former%20Prisoner%20of%20War%20(POW)%20Protocol%20DBQ%209-20-11.doc" TargetMode="External"/><Relationship Id="rId87" Type="http://schemas.openxmlformats.org/officeDocument/2006/relationships/image" Target="media/image1.png"/><Relationship Id="rId102" Type="http://schemas.openxmlformats.org/officeDocument/2006/relationships/header" Target="header1.xml"/><Relationship Id="rId5" Type="http://schemas.openxmlformats.org/officeDocument/2006/relationships/customXml" Target="../customXml/item4.xml"/><Relationship Id="rId61" Type="http://schemas.openxmlformats.org/officeDocument/2006/relationships/hyperlink" Target="http://www.law.cornell.edu/uscode/text/38/1151" TargetMode="External"/><Relationship Id="rId82" Type="http://schemas.openxmlformats.org/officeDocument/2006/relationships/hyperlink" Target="http://www.va.gov/ogc/docs/1995/Prc20-95.doc" TargetMode="External"/><Relationship Id="rId90" Type="http://schemas.openxmlformats.org/officeDocument/2006/relationships/image" Target="media/image3.png"/><Relationship Id="rId95" Type="http://schemas.openxmlformats.org/officeDocument/2006/relationships/image" Target="cid:image001.png@01D0C620.A0C51CB0" TargetMode="External"/><Relationship Id="rId19" Type="http://schemas.openxmlformats.org/officeDocument/2006/relationships/hyperlink" Target="http://vbaw.vba.va.gov/bl/21/DEMO/docs/ERRA_IE_Accelerator.docx" TargetMode="External"/><Relationship Id="rId14" Type="http://schemas.openxmlformats.org/officeDocument/2006/relationships/hyperlink" Target="http://www.ecfr.gov/cgi-bin/retrieveECFR?gp=1&amp;SID=2a02f5622dad7602982e869ef5115dd0&amp;ty=HTML&amp;h=L&amp;r=SECTION&amp;n=se38.1.3_1159" TargetMode="External"/><Relationship Id="rId22" Type="http://schemas.openxmlformats.org/officeDocument/2006/relationships/hyperlink" Target="http://vbacodmoint1.vba.va.gov/bl/21/sitevisit/erb/ERB.asp" TargetMode="External"/><Relationship Id="rId27" Type="http://schemas.openxmlformats.org/officeDocument/2006/relationships/hyperlink" Target="https://vaww.caats.va.gov/login.aspx?ReturnUrl=%2f" TargetMode="External"/><Relationship Id="rId30" Type="http://schemas.openxmlformats.org/officeDocument/2006/relationships/hyperlink" Target="http://vbacodmoint1.vba.va.gov/bl/21/DBQ/default.asp" TargetMode="External"/><Relationship Id="rId35" Type="http://schemas.openxmlformats.org/officeDocument/2006/relationships/hyperlink" Target="http://www.ecfr.gov/cgi-bin/retrieveECFR?gp=1&amp;SID=4f37eddd401a23753883deb8ce72d226&amp;ty=HTML&amp;h=L&amp;r=SECTION&amp;n=se38.1.3_1317" TargetMode="External"/><Relationship Id="rId43" Type="http://schemas.openxmlformats.org/officeDocument/2006/relationships/hyperlink" Target="http://vbacodmoint1.vba.va.gov/bl/21/sitevisit/docs/exam_builder_info.docx" TargetMode="External"/><Relationship Id="rId48" Type="http://schemas.openxmlformats.org/officeDocument/2006/relationships/hyperlink" Target="http://vbacodmoint1.vba.va.gov/bl/21/sitevisit/erb/ERB.asp" TargetMode="External"/><Relationship Id="rId56" Type="http://schemas.openxmlformats.org/officeDocument/2006/relationships/hyperlink" Target="http://vbaw.vba.va.gov/bl/21/Advisory/CAVCDAD.htm" TargetMode="External"/><Relationship Id="rId64" Type="http://schemas.openxmlformats.org/officeDocument/2006/relationships/hyperlink" Target="http://vbacodmoint1.vba.va.gov/bl/21/DBQ/docs/InternalDBQs/AUDIO%20-%20Hearing%20Loss%20and%20Tinnitus%20DBQ%20-%206-9-11.doc" TargetMode="External"/><Relationship Id="rId69" Type="http://schemas.openxmlformats.org/officeDocument/2006/relationships/hyperlink" Target="http://www.ecfr.gov/cgi-bin/retrieveECFR?gp=1&amp;SID=4f37eddd401a23753883deb8ce72d226&amp;ty=HTML&amp;h=L&amp;r=SECTION&amp;n=se38.1.3_1328" TargetMode="External"/><Relationship Id="rId77" Type="http://schemas.openxmlformats.org/officeDocument/2006/relationships/hyperlink" Target="http://www.va.gov/vhapublications/ViewPublication.asp?pub_ID=2999" TargetMode="External"/><Relationship Id="rId100" Type="http://schemas.openxmlformats.org/officeDocument/2006/relationships/hyperlink" Target="http://vbaw.vba.va.gov/VetsNet/Claims_Docs/webhelp/Claim_Development1.htm" TargetMode="External"/><Relationship Id="rId105" Type="http://schemas.openxmlformats.org/officeDocument/2006/relationships/footer" Target="footer2.xml"/><Relationship Id="rId8" Type="http://schemas.microsoft.com/office/2007/relationships/stylesWithEffects" Target="stylesWithEffects.xml"/><Relationship Id="rId51" Type="http://schemas.openxmlformats.org/officeDocument/2006/relationships/hyperlink" Target="http://vbaw.vba.va.gov/VetsNet/Claims_Docs/webhelp/Claim_Development1.htm" TargetMode="External"/><Relationship Id="rId72" Type="http://schemas.openxmlformats.org/officeDocument/2006/relationships/hyperlink" Target="http://www.law.cornell.edu/uscode/text/38/5313" TargetMode="External"/><Relationship Id="rId80" Type="http://schemas.openxmlformats.org/officeDocument/2006/relationships/hyperlink" Target="http://vaww.demo.va.gov/files/DMADisabilityExaminationsProcedureGuide12-18-14.pdf" TargetMode="External"/><Relationship Id="rId85" Type="http://schemas.openxmlformats.org/officeDocument/2006/relationships/hyperlink" Target="http://vbacodmoint1.vba.va.gov/bl/21/sitevisit/docs/ExamRequestBuilder.docm" TargetMode="External"/><Relationship Id="rId93" Type="http://schemas.openxmlformats.org/officeDocument/2006/relationships/image" Target="media/image5.png"/><Relationship Id="rId98" Type="http://schemas.openxmlformats.org/officeDocument/2006/relationships/hyperlink" Target="http://vbacodmoint1.vba.va.gov/bl/21/DBQ/DBQByDisab.as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vbacodmoint1.vba.va.gov/bl/21/ZIP/default.asp" TargetMode="External"/><Relationship Id="rId25" Type="http://schemas.openxmlformats.org/officeDocument/2006/relationships/hyperlink" Target="http://vbaw.vba.va.gov/bl/21/DEMO/capri.htm" TargetMode="External"/><Relationship Id="rId33" Type="http://schemas.openxmlformats.org/officeDocument/2006/relationships/hyperlink" Target="http://www.va.gov/vdl/application.asp?appid=133" TargetMode="External"/><Relationship Id="rId38" Type="http://schemas.openxmlformats.org/officeDocument/2006/relationships/hyperlink" Target="http://vbacodmoint1.vba.va.gov/bl/21/DBQ/default.asp" TargetMode="External"/><Relationship Id="rId46" Type="http://schemas.openxmlformats.org/officeDocument/2006/relationships/hyperlink" Target="http://vbaw.vba.va.gov/VetsNet/Claims_Docs/webhelp/Claim_Development1.htm" TargetMode="External"/><Relationship Id="rId59" Type="http://schemas.openxmlformats.org/officeDocument/2006/relationships/hyperlink" Target="http://www.law.cornell.edu/uscode/text/38/1151" TargetMode="External"/><Relationship Id="rId67" Type="http://schemas.openxmlformats.org/officeDocument/2006/relationships/hyperlink" Target="http://www.ecfr.gov/cgi-bin/retrieveECFR?gp=1&amp;SID=4f37eddd401a23753883deb8ce72d226&amp;ty=HTML&amp;h=L&amp;r=SECTION&amp;n=se38.1.3_1328" TargetMode="External"/><Relationship Id="rId103" Type="http://schemas.openxmlformats.org/officeDocument/2006/relationships/header" Target="header2.xml"/><Relationship Id="rId20" Type="http://schemas.openxmlformats.org/officeDocument/2006/relationships/hyperlink" Target="http://vbacodmoint1.vba.va.gov/bl/21/DBQ/DBQByDisab.asp" TargetMode="External"/><Relationship Id="rId41" Type="http://schemas.openxmlformats.org/officeDocument/2006/relationships/hyperlink" Target="http://www.ecfr.gov/cgi-bin/retrieveECFR?gp=1&amp;SID=4f37eddd401a23753883deb8ce72d226&amp;ty=HTML&amp;h=L&amp;r=SECTION&amp;n=se38.1.3_1328" TargetMode="External"/><Relationship Id="rId54" Type="http://schemas.openxmlformats.org/officeDocument/2006/relationships/hyperlink" Target="http://vbacodmoint1.vba.va.gov/bl/21/sitevisit/erb/ERB.asp" TargetMode="External"/><Relationship Id="rId62" Type="http://schemas.openxmlformats.org/officeDocument/2006/relationships/hyperlink" Target="http://www.law.cornell.edu/uscode/text/38/1151" TargetMode="External"/><Relationship Id="rId70" Type="http://schemas.openxmlformats.org/officeDocument/2006/relationships/hyperlink" Target="http://www.ecfr.gov/cgi-bin/retrieveECFR?gp=1&amp;SID=2c4db4128ba52d5220b44b1b0ed6f81c&amp;ty=HTML&amp;h=L&amp;r=SECTION&amp;n=se38.1.3_1351" TargetMode="External"/><Relationship Id="rId75" Type="http://schemas.openxmlformats.org/officeDocument/2006/relationships/hyperlink" Target="http://vaww.demo.va.gov/files/FactSheets/2012/factsheetincarceratedvetsexam_revised.pdf" TargetMode="External"/><Relationship Id="rId83" Type="http://schemas.openxmlformats.org/officeDocument/2006/relationships/hyperlink" Target="http://www.ecfr.gov/cgi-bin/retrieveECFR?gp=1&amp;SID=4f37eddd401a23753883deb8ce72d226&amp;ty=HTML&amp;h=L&amp;r=SECTION&amp;n=se38.1.3_1317" TargetMode="External"/><Relationship Id="rId88" Type="http://schemas.openxmlformats.org/officeDocument/2006/relationships/image" Target="media/image2.png"/><Relationship Id="rId91" Type="http://schemas.openxmlformats.org/officeDocument/2006/relationships/image" Target="cid:image005.png@01D0C620.1C2D7A60" TargetMode="External"/><Relationship Id="rId96" Type="http://schemas.openxmlformats.org/officeDocument/2006/relationships/image" Target="media/image7.png"/><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vbacodmoint1.vba.va.gov/bl/21/DBQ/default.asp" TargetMode="External"/><Relationship Id="rId23" Type="http://schemas.openxmlformats.org/officeDocument/2006/relationships/hyperlink" Target="mailto:VAVBAWAS/CO/CAPRI%20%3ccapri.vbaco@va.gov%3e" TargetMode="External"/><Relationship Id="rId28" Type="http://schemas.openxmlformats.org/officeDocument/2006/relationships/hyperlink" Target="http://vbaw.vba.va.gov/bl/20/cfo/MLAC/docs/Volume%203%20Benefits%20contract%20Exam%20v5.zip" TargetMode="External"/><Relationship Id="rId36" Type="http://schemas.openxmlformats.org/officeDocument/2006/relationships/hyperlink" Target="http://www.ecfr.gov/cgi-bin/retrieveECFR?gp=1&amp;SID=4f37eddd401a23753883deb8ce72d226&amp;h=L&amp;mc=true&amp;r=SECTION&amp;n=se38.1.3_1155" TargetMode="External"/><Relationship Id="rId49" Type="http://schemas.openxmlformats.org/officeDocument/2006/relationships/hyperlink" Target="http://vbacodmoint1.vba.va.gov/bl/21/sitevisit/docs/exam_builder_info.docx" TargetMode="External"/><Relationship Id="rId57" Type="http://schemas.openxmlformats.org/officeDocument/2006/relationships/hyperlink" Target="http://www.law.cornell.edu/uscode/text/38/1151" TargetMode="External"/><Relationship Id="rId106"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www.ecfr.gov/cgi-bin/retrieveECFR?gp=1&amp;SID=2a02f5622dad7602982e869ef5115dd0&amp;ty=HTML&amp;h=L&amp;r=SECTION&amp;n=se38.1.3_1326" TargetMode="External"/><Relationship Id="rId44" Type="http://schemas.openxmlformats.org/officeDocument/2006/relationships/hyperlink" Target="http://vbaw.vba.va.gov/bl/20/cfo/MLAC/docs/Volume%203%20Benefits%20contract%20Exam%20v5.zip" TargetMode="External"/><Relationship Id="rId52" Type="http://schemas.openxmlformats.org/officeDocument/2006/relationships/hyperlink" Target="http://www.va.gov/vdl/application.asp?appid=133" TargetMode="External"/><Relationship Id="rId60" Type="http://schemas.openxmlformats.org/officeDocument/2006/relationships/hyperlink" Target="http://www.law.cornell.edu/uscode/text/38/1151" TargetMode="External"/><Relationship Id="rId65" Type="http://schemas.openxmlformats.org/officeDocument/2006/relationships/hyperlink" Target="http://www.ecfr.gov/cgi-bin/retrieveECFR?gp=1&amp;SID=4f37eddd401a23753883deb8ce72d226&amp;ty=HTML&amp;h=L&amp;r=SECTION&amp;n=se38.1.3_1328" TargetMode="External"/><Relationship Id="rId73" Type="http://schemas.openxmlformats.org/officeDocument/2006/relationships/hyperlink" Target="http://vbaw.vba.va.gov/bl/21/Advisory/CAVCDAD.htm" TargetMode="External"/><Relationship Id="rId78" Type="http://schemas.openxmlformats.org/officeDocument/2006/relationships/hyperlink" Target="http://www.ecfr.gov/cgi-bin/text-idx?SID=77be6f0ef1bb613989da71ec9f4ee09c&amp;node=se38.1.3_1326&amp;rgn=div8" TargetMode="External"/><Relationship Id="rId81" Type="http://schemas.openxmlformats.org/officeDocument/2006/relationships/hyperlink" Target="http://vaww.demo.va.gov/files/FactSheets/2015/FactSheetDMA-15-005.pdf" TargetMode="External"/><Relationship Id="rId86" Type="http://schemas.openxmlformats.org/officeDocument/2006/relationships/hyperlink" Target="http://vbacodmoint1.vba.va.gov/bl/21/sitevisit/docs/exam_builder_info.docx" TargetMode="External"/><Relationship Id="rId94" Type="http://schemas.openxmlformats.org/officeDocument/2006/relationships/image" Target="media/image6.png"/><Relationship Id="rId99" Type="http://schemas.openxmlformats.org/officeDocument/2006/relationships/hyperlink" Target="http://vbaw.vba.va.gov/VBMS/docs/VBMS_Release_9_0_UserGuide.pdf" TargetMode="External"/><Relationship Id="rId101" Type="http://schemas.openxmlformats.org/officeDocument/2006/relationships/hyperlink" Target="http://www.va.gov/vdl/documents/Financial_Admin/CAPRI/dvba_27_p187_um.pdf" TargetMode="Externa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www.ecfr.gov/cgi-bin/retrieveECFR?gp=1&amp;SID=2a02f5622dad7602982e869ef5115dd0&amp;ty=HTML&amp;h=L&amp;r=SECTION&amp;n=se38.1.3_1326" TargetMode="External"/><Relationship Id="rId18" Type="http://schemas.openxmlformats.org/officeDocument/2006/relationships/hyperlink" Target="http://vbacodmoint1.vba.va.gov/bl/21/ZIP/default.asp" TargetMode="External"/><Relationship Id="rId39" Type="http://schemas.openxmlformats.org/officeDocument/2006/relationships/hyperlink" Target="http://www.ecfr.gov/cgi-bin/retrieveECFR?gp=1&amp;SID=4f37eddd401a23753883deb8ce72d226&amp;ty=HTML&amp;h=L&amp;r=SECTION&amp;n=se38.1.4_1125" TargetMode="External"/><Relationship Id="rId34" Type="http://schemas.openxmlformats.org/officeDocument/2006/relationships/hyperlink" Target="http://vbaw.vba.va.gov/bl/21/Advisory/CAVCDAD.htm" TargetMode="External"/><Relationship Id="rId50" Type="http://schemas.openxmlformats.org/officeDocument/2006/relationships/hyperlink" Target="http://vbaw.vba.va.gov/VBMS/docs/VBMS_Release_9_0_UserGuide.pdf" TargetMode="External"/><Relationship Id="rId55" Type="http://schemas.openxmlformats.org/officeDocument/2006/relationships/hyperlink" Target="http://vbacodmoint1.vba.va.gov/bl/21/sitevisit/docs/exam_builder_info.docx" TargetMode="External"/><Relationship Id="rId76" Type="http://schemas.openxmlformats.org/officeDocument/2006/relationships/hyperlink" Target="http://vaww.demo.va.gov/files/CP_POC.xlsx" TargetMode="External"/><Relationship Id="rId97" Type="http://schemas.openxmlformats.org/officeDocument/2006/relationships/hyperlink" Target="http://www.ecfr.gov/cgi-bin/text-idx?SID=837c0234766a0682c855e9394a54e0b6&amp;mc=true&amp;node=se38.1.3_1159&amp;rgn=div8" TargetMode="External"/><Relationship Id="rId10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5FF0A-9B8D-4354-BC58-42BEE181740A}">
  <ds:schemaRefs>
    <ds:schemaRef ds:uri="http://schemas.microsoft.com/sharepoint/v3/contenttype/forms"/>
  </ds:schemaRefs>
</ds:datastoreItem>
</file>

<file path=customXml/itemProps2.xml><?xml version="1.0" encoding="utf-8"?>
<ds:datastoreItem xmlns:ds="http://schemas.openxmlformats.org/officeDocument/2006/customXml" ds:itemID="{F87D31D3-1535-434D-A3FF-D31D4C03E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D956B-A539-4882-87DC-9F2AA43096A0}">
  <ds:schemaRefs>
    <ds:schemaRef ds:uri="http://purl.org/dc/dcmitype/"/>
    <ds:schemaRef ds:uri="http://purl.org/dc/terms/"/>
    <ds:schemaRef ds:uri="b438dcf7-3998-4283-b7fc-0ec6fa8e430f"/>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B4197C2-4026-4AD5-A3C9-98F88D8B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137</TotalTime>
  <Pages>46</Pages>
  <Words>10368</Words>
  <Characters>67921</Characters>
  <Application>Microsoft Office Word</Application>
  <DocSecurity>0</DocSecurity>
  <Lines>566</Lines>
  <Paragraphs>156</Paragraphs>
  <ScaleCrop>false</ScaleCrop>
  <HeadingPairs>
    <vt:vector size="2" baseType="variant">
      <vt:variant>
        <vt:lpstr>Title</vt:lpstr>
      </vt:variant>
      <vt:variant>
        <vt:i4>1</vt:i4>
      </vt:variant>
    </vt:vector>
  </HeadingPairs>
  <TitlesOfParts>
    <vt:vector size="1" baseType="lpstr">
      <vt:lpstr>Section A. Examination Requests (U.S. Department of Veterans Affairs)</vt:lpstr>
    </vt:vector>
  </TitlesOfParts>
  <Company>VA</Company>
  <LinksUpToDate>false</LinksUpToDate>
  <CharactersWithSpaces>78133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Examination Requests (U.S. Department of Veterans Affairs)</dc:title>
  <dc:subject>Examination Requests</dc:subject>
  <dc:creator>Department of Veterans Affairs</dc:creator>
  <cp:keywords>examination, dbq, questionnaire, requests, social survey, opinions, specialist, inputting, psychiatric, mental, CAPRI, VERIS</cp:keywords>
  <dc:description>Policies and procedures relating to examinations, social surveys and opinions including special types of examinations and surveys</dc:description>
  <cp:lastModifiedBy>CAPLMAZA</cp:lastModifiedBy>
  <cp:revision>8</cp:revision>
  <cp:lastPrinted>2016-01-13T17:52:00Z</cp:lastPrinted>
  <dcterms:created xsi:type="dcterms:W3CDTF">2016-01-21T14:57:00Z</dcterms:created>
  <dcterms:modified xsi:type="dcterms:W3CDTF">2016-02-03T19:48:00Z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20140825</vt:lpwstr>
  </property>
  <property fmtid="{D5CDD505-2E9C-101B-9397-08002B2CF9AE}" pid="3" name="DateReviewed">
    <vt:lpwstr>20140825</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ies>
</file>