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80FD6" w14:textId="20294F54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D21090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proofErr w:type="gramStart"/>
      <w:r w:rsidR="00945950">
        <w:rPr>
          <w:rFonts w:ascii="Times New Roman" w:hAnsi="Times New Roman"/>
          <w:sz w:val="20"/>
        </w:rPr>
        <w:t>i</w:t>
      </w:r>
      <w:r w:rsidR="008C6C25">
        <w:rPr>
          <w:rFonts w:ascii="Times New Roman" w:hAnsi="Times New Roman"/>
          <w:sz w:val="20"/>
        </w:rPr>
        <w:t>v</w:t>
      </w:r>
      <w:proofErr w:type="gramEnd"/>
    </w:p>
    <w:p w14:paraId="21D4712A" w14:textId="5BBA966A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D21090">
        <w:rPr>
          <w:b/>
          <w:bCs/>
          <w:sz w:val="20"/>
        </w:rPr>
        <w:tab/>
      </w:r>
      <w:r w:rsidR="00D21090">
        <w:rPr>
          <w:b/>
          <w:bCs/>
          <w:sz w:val="20"/>
        </w:rPr>
        <w:tab/>
        <w:t xml:space="preserve"> </w:t>
      </w:r>
      <w:r>
        <w:rPr>
          <w:b/>
          <w:bCs/>
          <w:sz w:val="20"/>
        </w:rPr>
        <w:tab/>
      </w:r>
      <w:r w:rsidR="00D21090">
        <w:rPr>
          <w:b/>
          <w:bCs/>
          <w:sz w:val="20"/>
        </w:rPr>
        <w:t xml:space="preserve">      July 23, 2015</w:t>
      </w:r>
      <w:r>
        <w:rPr>
          <w:b/>
          <w:bCs/>
          <w:sz w:val="20"/>
        </w:rPr>
        <w:tab/>
      </w:r>
    </w:p>
    <w:p w14:paraId="6E062BCD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7DCB459D" w14:textId="77777777" w:rsidR="00504F80" w:rsidRDefault="00504F80" w:rsidP="00504F80">
      <w:pPr>
        <w:rPr>
          <w:b/>
          <w:bCs/>
          <w:sz w:val="20"/>
        </w:rPr>
      </w:pPr>
    </w:p>
    <w:p w14:paraId="7A3A98D5" w14:textId="77777777" w:rsidR="00504F80" w:rsidRDefault="00504F80" w:rsidP="00504F80">
      <w:pPr>
        <w:pStyle w:val="Heading4"/>
      </w:pPr>
      <w:r>
        <w:t xml:space="preserve">Transmittal Sheet </w:t>
      </w:r>
    </w:p>
    <w:p w14:paraId="35062CE0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7F7C0309" w14:textId="77777777" w:rsidTr="00C24D50">
        <w:tc>
          <w:tcPr>
            <w:tcW w:w="1728" w:type="dxa"/>
          </w:tcPr>
          <w:p w14:paraId="48F44CD7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F34A82C" w14:textId="48578B22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</w:t>
            </w:r>
            <w:r w:rsidR="00DE358B">
              <w:t>v</w:t>
            </w:r>
            <w:r>
              <w:t>, “</w:t>
            </w:r>
            <w:r w:rsidR="00DE358B">
              <w:t>General Rating Process</w:t>
            </w:r>
            <w:r w:rsidR="0047087F">
              <w:t>.</w:t>
            </w:r>
            <w:r>
              <w:t>”</w:t>
            </w:r>
          </w:p>
          <w:p w14:paraId="0224988C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2CCC7536" w14:textId="77777777" w:rsidR="005F0AE5" w:rsidRDefault="005F0AE5" w:rsidP="005F0AE5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3AB95922" w14:textId="77777777" w:rsidR="005F0AE5" w:rsidRDefault="005F0AE5" w:rsidP="005F0AE5">
            <w:pPr>
              <w:pStyle w:val="BulletText1"/>
            </w:pPr>
            <w:r>
              <w:t>The term “regional office” (RO) also includes pension management center (PMC), where appropriate.</w:t>
            </w:r>
          </w:p>
          <w:p w14:paraId="7042FCB1" w14:textId="77777777" w:rsidR="005F0AE5" w:rsidRDefault="005F0AE5" w:rsidP="005F0AE5">
            <w:pPr>
              <w:pStyle w:val="BulletText1"/>
            </w:pPr>
            <w:r>
              <w:t>Unless otherwise noted, the term “claims folder” refers to the official, numbered, Department of Veterans Affairs (VA) repository – whether paper or electronic – for all documentation relating to claims that a Veteran and/or his/her survivors file with VA.</w:t>
            </w:r>
          </w:p>
          <w:p w14:paraId="54E4FB6D" w14:textId="77777777" w:rsidR="005F0AE5" w:rsidRDefault="005F0AE5" w:rsidP="005F0AE5">
            <w:pPr>
              <w:pStyle w:val="BulletText1"/>
            </w:pPr>
            <w:r>
              <w:t xml:space="preserve">Minor editorial changes have also been made to </w:t>
            </w:r>
          </w:p>
          <w:p w14:paraId="6F8E5871" w14:textId="77777777" w:rsidR="005F0AE5" w:rsidRDefault="005F0AE5" w:rsidP="005F0AE5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42E3CAB5" w14:textId="77777777" w:rsidR="005F0AE5" w:rsidRDefault="005F0AE5" w:rsidP="005F0AE5">
            <w:pPr>
              <w:pStyle w:val="BulletText2"/>
              <w:tabs>
                <w:tab w:val="num" w:pos="547"/>
              </w:tabs>
            </w:pPr>
            <w:r>
              <w:t>update the term “veteran” to “Veteran”</w:t>
            </w:r>
          </w:p>
          <w:p w14:paraId="6F4B2A9D" w14:textId="77777777" w:rsidR="005F0AE5" w:rsidRDefault="005F0AE5" w:rsidP="005F0AE5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22DC72BF" w14:textId="77777777" w:rsidR="005F0AE5" w:rsidRDefault="005F0AE5" w:rsidP="005F0AE5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7E2AD908" w14:textId="77777777" w:rsidR="005F0AE5" w:rsidRDefault="005F0AE5" w:rsidP="005F0AE5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4CD50B54" w14:textId="77777777" w:rsidR="005F0AE5" w:rsidRDefault="005F0AE5" w:rsidP="005F0AE5">
            <w:pPr>
              <w:pStyle w:val="BulletText2"/>
              <w:tabs>
                <w:tab w:val="num" w:pos="547"/>
              </w:tabs>
            </w:pPr>
            <w:r>
              <w:t xml:space="preserve">clarify block labels and/or block text, and </w:t>
            </w:r>
          </w:p>
          <w:p w14:paraId="4C8AAF83" w14:textId="24208649" w:rsidR="00504F80" w:rsidRPr="00EA3A57" w:rsidRDefault="005F0AE5" w:rsidP="005F0AE5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  <w:bookmarkStart w:id="0" w:name="_GoBack"/>
        <w:bookmarkEnd w:id="0"/>
      </w:tr>
    </w:tbl>
    <w:p w14:paraId="538D774A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2610"/>
      </w:tblGrid>
      <w:tr w:rsidR="002A1D3E" w14:paraId="60374C58" w14:textId="77777777" w:rsidTr="00C047CC">
        <w:trPr>
          <w:trHeight w:val="180"/>
        </w:trPr>
        <w:tc>
          <w:tcPr>
            <w:tcW w:w="3606" w:type="pct"/>
            <w:shd w:val="clear" w:color="auto" w:fill="auto"/>
          </w:tcPr>
          <w:p w14:paraId="75263802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394" w:type="pct"/>
            <w:shd w:val="clear" w:color="auto" w:fill="auto"/>
          </w:tcPr>
          <w:p w14:paraId="563F94AB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A65042" w14:paraId="2EE4085F" w14:textId="77777777" w:rsidTr="00C047CC">
        <w:trPr>
          <w:trHeight w:val="180"/>
        </w:trPr>
        <w:tc>
          <w:tcPr>
            <w:tcW w:w="3606" w:type="pct"/>
            <w:shd w:val="clear" w:color="auto" w:fill="auto"/>
          </w:tcPr>
          <w:p w14:paraId="2E1CA550" w14:textId="1098F71E" w:rsidR="0047087F" w:rsidRDefault="00A65042" w:rsidP="00B25D93">
            <w:pPr>
              <w:pStyle w:val="BulletText1"/>
            </w:pPr>
            <w:r>
              <w:t xml:space="preserve">To clarify the rating activity’s responsibility to review claims which fall under their </w:t>
            </w:r>
            <w:proofErr w:type="gramStart"/>
            <w:r>
              <w:t>jurisdiction</w:t>
            </w:r>
            <w:r w:rsidR="00437FAF">
              <w:t>.</w:t>
            </w:r>
            <w:proofErr w:type="gramEnd"/>
            <w:r>
              <w:t xml:space="preserve"> </w:t>
            </w:r>
          </w:p>
          <w:p w14:paraId="15C95EF3" w14:textId="40910723" w:rsidR="00A65042" w:rsidRDefault="00C047CC" w:rsidP="00437FAF">
            <w:pPr>
              <w:pStyle w:val="BulletText1"/>
            </w:pPr>
            <w:r>
              <w:t>T</w:t>
            </w:r>
            <w:r w:rsidR="00A65042">
              <w:t xml:space="preserve">o </w:t>
            </w:r>
            <w:r w:rsidR="00C6228E">
              <w:t xml:space="preserve">provide a </w:t>
            </w:r>
            <w:r w:rsidR="00437FAF">
              <w:t>reference</w:t>
            </w:r>
            <w:r w:rsidR="00C6228E">
              <w:t xml:space="preserve"> to the M21-1 reference that</w:t>
            </w:r>
            <w:r w:rsidR="005C719A">
              <w:t xml:space="preserve"> </w:t>
            </w:r>
            <w:r w:rsidR="00A65042">
              <w:t>list</w:t>
            </w:r>
            <w:r w:rsidR="00C6228E">
              <w:t>s</w:t>
            </w:r>
            <w:r w:rsidR="00A65042">
              <w:t xml:space="preserve"> </w:t>
            </w:r>
            <w:r w:rsidR="00C6228E">
              <w:t>the</w:t>
            </w:r>
            <w:r w:rsidR="00A65042">
              <w:t xml:space="preserve"> issues which require a rating </w:t>
            </w:r>
            <w:proofErr w:type="gramStart"/>
            <w:r w:rsidR="00A65042">
              <w:t>decision.</w:t>
            </w:r>
            <w:proofErr w:type="gramEnd"/>
          </w:p>
        </w:tc>
        <w:tc>
          <w:tcPr>
            <w:tcW w:w="1394" w:type="pct"/>
            <w:shd w:val="clear" w:color="auto" w:fill="auto"/>
          </w:tcPr>
          <w:p w14:paraId="694C4AF2" w14:textId="0EBEBA86" w:rsidR="00A65042" w:rsidRDefault="00C047CC" w:rsidP="0047087F">
            <w:pPr>
              <w:pStyle w:val="TableText"/>
            </w:pPr>
            <w:r>
              <w:t xml:space="preserve">M21-1, </w:t>
            </w:r>
            <w:r w:rsidR="00A65042" w:rsidRPr="00A65042">
              <w:t>Part III, Subpart iv, Chapte</w:t>
            </w:r>
            <w:r w:rsidR="00A65042">
              <w:t>r 2, Section A, Topic 1, Block a (III.iv.2.A.1.a</w:t>
            </w:r>
            <w:r w:rsidR="0047087F">
              <w:t>)</w:t>
            </w:r>
          </w:p>
        </w:tc>
      </w:tr>
      <w:tr w:rsidR="002A1D3E" w14:paraId="72A7C855" w14:textId="77777777" w:rsidTr="00C047CC">
        <w:trPr>
          <w:trHeight w:val="180"/>
        </w:trPr>
        <w:tc>
          <w:tcPr>
            <w:tcW w:w="3606" w:type="pct"/>
            <w:shd w:val="clear" w:color="auto" w:fill="auto"/>
          </w:tcPr>
          <w:p w14:paraId="4478BF35" w14:textId="65AFE471" w:rsidR="002A1D3E" w:rsidRPr="00C24D50" w:rsidRDefault="008C6C25" w:rsidP="00437FAF">
            <w:pPr>
              <w:pStyle w:val="TableText"/>
            </w:pPr>
            <w:r>
              <w:t xml:space="preserve">To remove </w:t>
            </w:r>
            <w:r w:rsidR="00437FAF">
              <w:t>old</w:t>
            </w:r>
            <w:r w:rsidR="00C6228E">
              <w:t xml:space="preserve"> </w:t>
            </w:r>
            <w:r w:rsidR="00437FAF">
              <w:t>III.iv.2.A.1.</w:t>
            </w:r>
            <w:r w:rsidR="00A65042">
              <w:t xml:space="preserve">b due to </w:t>
            </w:r>
            <w:r w:rsidR="00C6228E">
              <w:t xml:space="preserve">the information already being incorporated in </w:t>
            </w:r>
            <w:r w:rsidR="00A65042" w:rsidRPr="00A65042">
              <w:t>III</w:t>
            </w:r>
            <w:r w:rsidR="0047087F">
              <w:t>.</w:t>
            </w:r>
            <w:r w:rsidR="00A65042" w:rsidRPr="00A65042">
              <w:t>ii.7.3.b.</w:t>
            </w:r>
          </w:p>
        </w:tc>
        <w:tc>
          <w:tcPr>
            <w:tcW w:w="1394" w:type="pct"/>
            <w:shd w:val="clear" w:color="auto" w:fill="auto"/>
          </w:tcPr>
          <w:p w14:paraId="674C3C07" w14:textId="16CBA6C7" w:rsidR="00DE358B" w:rsidRPr="00C24D50" w:rsidRDefault="00437FAF" w:rsidP="00437FAF">
            <w:pPr>
              <w:pStyle w:val="TableText"/>
              <w:jc w:val="center"/>
            </w:pPr>
            <w:r>
              <w:t>-</w:t>
            </w:r>
            <w:r w:rsidR="0047087F">
              <w:t>--</w:t>
            </w:r>
          </w:p>
        </w:tc>
      </w:tr>
      <w:tr w:rsidR="005C719A" w14:paraId="2D5AD550" w14:textId="77777777" w:rsidTr="00756DFD">
        <w:trPr>
          <w:trHeight w:val="180"/>
        </w:trPr>
        <w:tc>
          <w:tcPr>
            <w:tcW w:w="3606" w:type="pct"/>
            <w:shd w:val="clear" w:color="auto" w:fill="auto"/>
          </w:tcPr>
          <w:p w14:paraId="373A91B8" w14:textId="515F5641" w:rsidR="005C719A" w:rsidRDefault="005C719A" w:rsidP="007C61DE">
            <w:pPr>
              <w:pStyle w:val="TableText"/>
            </w:pPr>
            <w:r>
              <w:t xml:space="preserve">To consolidate into a new </w:t>
            </w:r>
            <w:r w:rsidR="007C61DE">
              <w:t>B</w:t>
            </w:r>
            <w:r>
              <w:t>lock, information from Topic 2, Block</w:t>
            </w:r>
            <w:r w:rsidR="00437FAF">
              <w:t>s</w:t>
            </w:r>
            <w:r>
              <w:t xml:space="preserve"> </w:t>
            </w:r>
            <w:proofErr w:type="gramStart"/>
            <w:r>
              <w:t>a and</w:t>
            </w:r>
            <w:proofErr w:type="gramEnd"/>
            <w:r>
              <w:t xml:space="preserve"> c about the rating activity’s responsibility to ensure VA has met its duty to notify requirements.</w:t>
            </w:r>
          </w:p>
        </w:tc>
        <w:tc>
          <w:tcPr>
            <w:tcW w:w="1394" w:type="pct"/>
            <w:shd w:val="clear" w:color="auto" w:fill="auto"/>
          </w:tcPr>
          <w:p w14:paraId="5CF51FD3" w14:textId="77777777" w:rsidR="005C719A" w:rsidRDefault="005C719A" w:rsidP="00756DFD">
            <w:pPr>
              <w:pStyle w:val="TableText"/>
            </w:pPr>
            <w:r>
              <w:t>III.iv.2.A.2.a</w:t>
            </w:r>
          </w:p>
          <w:p w14:paraId="42D2D5A4" w14:textId="77777777" w:rsidR="005C719A" w:rsidRPr="00764B5E" w:rsidRDefault="005C719A" w:rsidP="00756DFD">
            <w:pPr>
              <w:pStyle w:val="TableText"/>
            </w:pPr>
          </w:p>
        </w:tc>
      </w:tr>
      <w:tr w:rsidR="00764B5E" w14:paraId="32506B9E" w14:textId="77777777" w:rsidTr="00C047CC">
        <w:trPr>
          <w:trHeight w:val="180"/>
        </w:trPr>
        <w:tc>
          <w:tcPr>
            <w:tcW w:w="3606" w:type="pct"/>
            <w:shd w:val="clear" w:color="auto" w:fill="auto"/>
          </w:tcPr>
          <w:p w14:paraId="3A2F1000" w14:textId="27DBA7C2" w:rsidR="00764B5E" w:rsidRDefault="00764B5E" w:rsidP="005C719A">
            <w:pPr>
              <w:pStyle w:val="TableText"/>
            </w:pPr>
            <w:r>
              <w:t xml:space="preserve">To </w:t>
            </w:r>
            <w:r w:rsidR="00C6228E">
              <w:t xml:space="preserve">consolidate </w:t>
            </w:r>
            <w:r w:rsidR="005C719A">
              <w:t xml:space="preserve">into a new block, </w:t>
            </w:r>
            <w:r w:rsidR="00C6228E">
              <w:t>information from Topic 2, Block</w:t>
            </w:r>
            <w:r w:rsidR="00437FAF">
              <w:t>s</w:t>
            </w:r>
            <w:r w:rsidR="00C6228E">
              <w:t xml:space="preserve"> a, b, and d about the </w:t>
            </w:r>
            <w:r w:rsidR="005C719A">
              <w:t>rating activity’s</w:t>
            </w:r>
            <w:r w:rsidR="00C6228E">
              <w:t xml:space="preserve"> responsibility to ensure VA has met its duty to assist requirements</w:t>
            </w:r>
            <w:r w:rsidR="005C719A">
              <w:t>.</w:t>
            </w:r>
          </w:p>
        </w:tc>
        <w:tc>
          <w:tcPr>
            <w:tcW w:w="1394" w:type="pct"/>
            <w:shd w:val="clear" w:color="auto" w:fill="auto"/>
          </w:tcPr>
          <w:p w14:paraId="3A859921" w14:textId="6147CF0C" w:rsidR="00764B5E" w:rsidRDefault="00764B5E" w:rsidP="005C719A">
            <w:pPr>
              <w:pStyle w:val="TableText"/>
            </w:pPr>
            <w:r w:rsidRPr="00764B5E">
              <w:t>III.iv.2.A.</w:t>
            </w:r>
            <w:r w:rsidR="005C719A">
              <w:t>2</w:t>
            </w:r>
            <w:r w:rsidRPr="00764B5E">
              <w:t>.</w:t>
            </w:r>
            <w:r w:rsidR="005C719A">
              <w:t>b</w:t>
            </w:r>
          </w:p>
        </w:tc>
      </w:tr>
      <w:tr w:rsidR="00437FAF" w14:paraId="68F370E8" w14:textId="77777777" w:rsidTr="00C047CC">
        <w:trPr>
          <w:trHeight w:val="180"/>
        </w:trPr>
        <w:tc>
          <w:tcPr>
            <w:tcW w:w="3606" w:type="pct"/>
            <w:shd w:val="clear" w:color="auto" w:fill="auto"/>
          </w:tcPr>
          <w:p w14:paraId="36591D58" w14:textId="7BDC5918" w:rsidR="00437FAF" w:rsidRDefault="00437FAF" w:rsidP="00437FAF">
            <w:pPr>
              <w:pStyle w:val="TableText"/>
            </w:pPr>
            <w:r>
              <w:t xml:space="preserve">To delete old III.iv.2.A.2.a-d. </w:t>
            </w:r>
          </w:p>
        </w:tc>
        <w:tc>
          <w:tcPr>
            <w:tcW w:w="1394" w:type="pct"/>
            <w:shd w:val="clear" w:color="auto" w:fill="auto"/>
          </w:tcPr>
          <w:p w14:paraId="13C78985" w14:textId="4F52DE69" w:rsidR="00437FAF" w:rsidRPr="00764B5E" w:rsidRDefault="00437FAF" w:rsidP="00437FAF">
            <w:pPr>
              <w:pStyle w:val="TableText"/>
              <w:jc w:val="center"/>
            </w:pPr>
            <w:r>
              <w:t>---</w:t>
            </w:r>
          </w:p>
        </w:tc>
      </w:tr>
      <w:tr w:rsidR="005C719A" w14:paraId="24428E0C" w14:textId="77777777" w:rsidTr="00C047CC">
        <w:trPr>
          <w:trHeight w:val="180"/>
        </w:trPr>
        <w:tc>
          <w:tcPr>
            <w:tcW w:w="3606" w:type="pct"/>
            <w:shd w:val="clear" w:color="auto" w:fill="auto"/>
          </w:tcPr>
          <w:p w14:paraId="5144E4B3" w14:textId="38345AFD" w:rsidR="005C719A" w:rsidRDefault="005C719A" w:rsidP="00437FAF">
            <w:pPr>
              <w:pStyle w:val="TableText"/>
            </w:pPr>
            <w:r>
              <w:t xml:space="preserve">To provide a </w:t>
            </w:r>
            <w:r w:rsidR="00437FAF">
              <w:t>reference</w:t>
            </w:r>
            <w:r>
              <w:t xml:space="preserve"> to the M21-1 </w:t>
            </w:r>
            <w:r w:rsidR="00437FAF">
              <w:t>citation</w:t>
            </w:r>
            <w:r>
              <w:t xml:space="preserve"> that provides information on how to prepare an administrative denial.</w:t>
            </w:r>
          </w:p>
        </w:tc>
        <w:tc>
          <w:tcPr>
            <w:tcW w:w="1394" w:type="pct"/>
            <w:shd w:val="clear" w:color="auto" w:fill="auto"/>
          </w:tcPr>
          <w:p w14:paraId="5B0685A9" w14:textId="647CBBD8" w:rsidR="005C719A" w:rsidRPr="00764B5E" w:rsidRDefault="005C719A" w:rsidP="005C719A">
            <w:pPr>
              <w:pStyle w:val="TableText"/>
            </w:pPr>
            <w:r w:rsidRPr="00764B5E">
              <w:t>III.iv.2.A.</w:t>
            </w:r>
            <w:r>
              <w:t>3</w:t>
            </w:r>
            <w:r w:rsidRPr="00764B5E">
              <w:t>.</w:t>
            </w:r>
            <w:r>
              <w:t>a</w:t>
            </w:r>
          </w:p>
        </w:tc>
      </w:tr>
    </w:tbl>
    <w:p w14:paraId="01085C7B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E7DEA1A" w14:textId="77777777" w:rsidTr="00237C22">
        <w:tc>
          <w:tcPr>
            <w:tcW w:w="1728" w:type="dxa"/>
          </w:tcPr>
          <w:p w14:paraId="38D0858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329FFB7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7F8ACF4B" w14:textId="77777777" w:rsidR="00504F80" w:rsidRPr="00B4163A" w:rsidRDefault="00504F80" w:rsidP="00504F80">
      <w:pPr>
        <w:pStyle w:val="BlockLine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ED07FD0" w14:textId="77777777" w:rsidTr="00237C22">
        <w:tc>
          <w:tcPr>
            <w:tcW w:w="1728" w:type="dxa"/>
          </w:tcPr>
          <w:p w14:paraId="0B3F670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1A5F8DD2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7FC4362F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C7D7577" w14:textId="77777777" w:rsidTr="00237C22">
        <w:tc>
          <w:tcPr>
            <w:tcW w:w="1728" w:type="dxa"/>
          </w:tcPr>
          <w:p w14:paraId="255FB14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63216CC6" w14:textId="77777777" w:rsidR="00504F80" w:rsidRPr="00B4163A" w:rsidRDefault="00504F80" w:rsidP="00237C22">
            <w:pPr>
              <w:pStyle w:val="BlockText"/>
            </w:pPr>
          </w:p>
          <w:p w14:paraId="1456E2A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64425B76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60BBB78D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14101686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723B66CE" w14:textId="77777777" w:rsidTr="00237C22">
        <w:tc>
          <w:tcPr>
            <w:tcW w:w="1728" w:type="dxa"/>
          </w:tcPr>
          <w:p w14:paraId="483CC05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DAA884A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6BE3EA90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21AA8EB9" w14:textId="02FE24D1" w:rsidR="007D5B97" w:rsidRDefault="007D5B97"/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6077C" w14:textId="77777777" w:rsidR="00920BDD" w:rsidRDefault="00920BDD" w:rsidP="00C765C7">
      <w:r>
        <w:separator/>
      </w:r>
    </w:p>
  </w:endnote>
  <w:endnote w:type="continuationSeparator" w:id="0">
    <w:p w14:paraId="09D9F6D1" w14:textId="77777777" w:rsidR="00920BDD" w:rsidRDefault="00920BD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809C2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2B20FC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FE64F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1090">
      <w:rPr>
        <w:rStyle w:val="PageNumber"/>
        <w:noProof/>
      </w:rPr>
      <w:t>i</w:t>
    </w:r>
    <w:r>
      <w:rPr>
        <w:rStyle w:val="PageNumber"/>
      </w:rPr>
      <w:fldChar w:fldCharType="end"/>
    </w:r>
  </w:p>
  <w:p w14:paraId="3A532DF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7C263" w14:textId="77777777" w:rsidR="00920BDD" w:rsidRDefault="00920BDD" w:rsidP="00C765C7">
      <w:r>
        <w:separator/>
      </w:r>
    </w:p>
  </w:footnote>
  <w:footnote w:type="continuationSeparator" w:id="0">
    <w:p w14:paraId="3E891F64" w14:textId="77777777" w:rsidR="00920BDD" w:rsidRDefault="00920BD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840D8"/>
    <w:multiLevelType w:val="hybridMultilevel"/>
    <w:tmpl w:val="40C09882"/>
    <w:lvl w:ilvl="0" w:tplc="93D84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4A5CC3"/>
    <w:multiLevelType w:val="hybridMultilevel"/>
    <w:tmpl w:val="BD6A31D6"/>
    <w:lvl w:ilvl="0" w:tplc="16285E5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973CEF"/>
    <w:multiLevelType w:val="hybridMultilevel"/>
    <w:tmpl w:val="A94AF7A8"/>
    <w:lvl w:ilvl="0" w:tplc="16285E5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3092C"/>
    <w:rsid w:val="00186D46"/>
    <w:rsid w:val="0019370C"/>
    <w:rsid w:val="001C3AE3"/>
    <w:rsid w:val="001C3EB5"/>
    <w:rsid w:val="002041BE"/>
    <w:rsid w:val="00205C50"/>
    <w:rsid w:val="00210567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37FAF"/>
    <w:rsid w:val="00450FD6"/>
    <w:rsid w:val="00455EF7"/>
    <w:rsid w:val="004562CC"/>
    <w:rsid w:val="0047087F"/>
    <w:rsid w:val="00471ECA"/>
    <w:rsid w:val="004772BF"/>
    <w:rsid w:val="00482FA3"/>
    <w:rsid w:val="0048559D"/>
    <w:rsid w:val="00494175"/>
    <w:rsid w:val="004A0832"/>
    <w:rsid w:val="004A3E5B"/>
    <w:rsid w:val="004D1A6A"/>
    <w:rsid w:val="004F375E"/>
    <w:rsid w:val="00504F80"/>
    <w:rsid w:val="00506485"/>
    <w:rsid w:val="00513DA7"/>
    <w:rsid w:val="00516C82"/>
    <w:rsid w:val="005238CB"/>
    <w:rsid w:val="00526F0E"/>
    <w:rsid w:val="00540497"/>
    <w:rsid w:val="00594258"/>
    <w:rsid w:val="005C719A"/>
    <w:rsid w:val="005E4363"/>
    <w:rsid w:val="005F0AE5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5A"/>
    <w:rsid w:val="00732186"/>
    <w:rsid w:val="00737049"/>
    <w:rsid w:val="00764B5E"/>
    <w:rsid w:val="007A0C5F"/>
    <w:rsid w:val="007C61DE"/>
    <w:rsid w:val="007D5B97"/>
    <w:rsid w:val="007E5515"/>
    <w:rsid w:val="0080590C"/>
    <w:rsid w:val="008144E7"/>
    <w:rsid w:val="00822A16"/>
    <w:rsid w:val="00851603"/>
    <w:rsid w:val="0086094C"/>
    <w:rsid w:val="0086475B"/>
    <w:rsid w:val="00875AFA"/>
    <w:rsid w:val="0088609E"/>
    <w:rsid w:val="008B4CB5"/>
    <w:rsid w:val="008C6C2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20BDD"/>
    <w:rsid w:val="00933BDB"/>
    <w:rsid w:val="00945950"/>
    <w:rsid w:val="009769CD"/>
    <w:rsid w:val="00997D98"/>
    <w:rsid w:val="009C22C8"/>
    <w:rsid w:val="009E6E1A"/>
    <w:rsid w:val="00A2703B"/>
    <w:rsid w:val="00A315CB"/>
    <w:rsid w:val="00A3579D"/>
    <w:rsid w:val="00A464EC"/>
    <w:rsid w:val="00A55356"/>
    <w:rsid w:val="00A557BB"/>
    <w:rsid w:val="00A56006"/>
    <w:rsid w:val="00A65042"/>
    <w:rsid w:val="00A8520D"/>
    <w:rsid w:val="00AC2993"/>
    <w:rsid w:val="00AD0EDC"/>
    <w:rsid w:val="00AF2CD6"/>
    <w:rsid w:val="00B0548B"/>
    <w:rsid w:val="00B25D93"/>
    <w:rsid w:val="00B30D2F"/>
    <w:rsid w:val="00B50AD7"/>
    <w:rsid w:val="00B64F2F"/>
    <w:rsid w:val="00B93A3C"/>
    <w:rsid w:val="00B96287"/>
    <w:rsid w:val="00BB3345"/>
    <w:rsid w:val="00BF7FE3"/>
    <w:rsid w:val="00C0404B"/>
    <w:rsid w:val="00C047CC"/>
    <w:rsid w:val="00C2299D"/>
    <w:rsid w:val="00C24D50"/>
    <w:rsid w:val="00C273AD"/>
    <w:rsid w:val="00C6228E"/>
    <w:rsid w:val="00C765C7"/>
    <w:rsid w:val="00CD2D08"/>
    <w:rsid w:val="00CD4F8F"/>
    <w:rsid w:val="00D21090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E358B"/>
    <w:rsid w:val="00DF44AC"/>
    <w:rsid w:val="00E2529E"/>
    <w:rsid w:val="00E32E26"/>
    <w:rsid w:val="00E36906"/>
    <w:rsid w:val="00E63AFB"/>
    <w:rsid w:val="00E648E9"/>
    <w:rsid w:val="00E964FD"/>
    <w:rsid w:val="00EA3A1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DE3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DE3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b438dcf7-3998-4283-b7fc-0ec6fa8e430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5006512-C061-4B17-92FC-D7730A49B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3B28E9-00B0-4589-8260-F35EA028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7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5</cp:revision>
  <dcterms:created xsi:type="dcterms:W3CDTF">2015-06-12T20:59:00Z</dcterms:created>
  <dcterms:modified xsi:type="dcterms:W3CDTF">2015-07-23T13:03:00Z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