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4F5731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383C56">
        <w:rPr>
          <w:rFonts w:ascii="Times New Roman" w:hAnsi="Times New Roman"/>
          <w:sz w:val="20"/>
        </w:rPr>
        <w:t>iv</w:t>
      </w:r>
    </w:p>
    <w:p w14:paraId="57C64ADF" w14:textId="35C9F2B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 w:rsidR="00304E3B">
        <w:rPr>
          <w:b/>
          <w:bCs/>
          <w:sz w:val="20"/>
        </w:rPr>
        <w:tab/>
      </w:r>
      <w:r w:rsidR="00304E3B">
        <w:rPr>
          <w:b/>
          <w:bCs/>
          <w:sz w:val="20"/>
        </w:rPr>
        <w:tab/>
      </w:r>
      <w:r w:rsidR="00304E3B">
        <w:rPr>
          <w:b/>
          <w:bCs/>
          <w:sz w:val="20"/>
        </w:rPr>
        <w:tab/>
      </w:r>
      <w:r w:rsidR="00304E3B">
        <w:rPr>
          <w:b/>
          <w:bCs/>
          <w:sz w:val="20"/>
        </w:rPr>
        <w:tab/>
      </w:r>
      <w:r w:rsidR="00304E3B">
        <w:rPr>
          <w:b/>
          <w:bCs/>
          <w:sz w:val="20"/>
        </w:rPr>
        <w:tab/>
        <w:t xml:space="preserve">                   May 6, 2015</w:t>
      </w:r>
      <w:bookmarkStart w:id="0" w:name="_GoBack"/>
      <w:bookmarkEnd w:id="0"/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92A472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424C3">
              <w:t>iv</w:t>
            </w:r>
            <w:r>
              <w:t>, “</w:t>
            </w:r>
            <w:r w:rsidR="003B0223">
              <w:t>General 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37EA086" w14:textId="7FF2E535" w:rsidR="00742863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</w:t>
            </w:r>
            <w:r w:rsidR="00936A5C">
              <w:t>and</w:t>
            </w:r>
          </w:p>
          <w:p w14:paraId="37161C4D" w14:textId="77777777" w:rsidR="00504F80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  <w:p w14:paraId="57C64AF4" w14:textId="02E1E7F9" w:rsidR="00E53B32" w:rsidRPr="00EA3A57" w:rsidRDefault="00E53B32" w:rsidP="00E53B32">
            <w:pPr>
              <w:pStyle w:val="BlockText"/>
            </w:pP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55738B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B2417C" w14:paraId="4B317502" w14:textId="77777777" w:rsidTr="0055738B">
        <w:trPr>
          <w:trHeight w:val="180"/>
        </w:trPr>
        <w:tc>
          <w:tcPr>
            <w:tcW w:w="3750" w:type="pct"/>
            <w:shd w:val="clear" w:color="auto" w:fill="auto"/>
          </w:tcPr>
          <w:p w14:paraId="456CE48A" w14:textId="655F5C38" w:rsidR="00B2417C" w:rsidRDefault="00B2417C" w:rsidP="00B2417C">
            <w:pPr>
              <w:pStyle w:val="BulletText1"/>
            </w:pPr>
            <w:r>
              <w:t>To delete information on Veteran Service Center Manager</w:t>
            </w:r>
            <w:r w:rsidR="00922764">
              <w:t xml:space="preserve"> (VSCM) and Pension Management Center Manager (PMCM)</w:t>
            </w:r>
            <w:r>
              <w:t xml:space="preserve"> responsibilities </w:t>
            </w:r>
            <w:r w:rsidR="0055738B">
              <w:t>for</w:t>
            </w:r>
            <w:r>
              <w:t xml:space="preserve"> Rating Veteran Service Representative (RVSR) training, which does not relate to adjudication concepts, policies and procedures.</w:t>
            </w:r>
          </w:p>
          <w:p w14:paraId="6C764D8D" w14:textId="40064DFE" w:rsidR="00B2417C" w:rsidRDefault="00922764" w:rsidP="00B2417C">
            <w:pPr>
              <w:pStyle w:val="BulletText1"/>
            </w:pPr>
            <w:r>
              <w:t>To add material on VSCM/PMCM</w:t>
            </w:r>
            <w:r w:rsidR="00B2417C">
              <w:t xml:space="preserve"> responsibilities</w:t>
            </w:r>
            <w:r w:rsidR="00F2630A">
              <w:t xml:space="preserve"> relating to the rating activity consistent with other M21-1 sections</w:t>
            </w:r>
            <w:r w:rsidR="00B2417C">
              <w:t>.</w:t>
            </w:r>
          </w:p>
          <w:p w14:paraId="4487E184" w14:textId="784D2E8D" w:rsidR="00B2417C" w:rsidRPr="00E70B83" w:rsidRDefault="00B2417C" w:rsidP="00B2417C">
            <w:pPr>
              <w:pStyle w:val="BulletText1"/>
            </w:pPr>
            <w:r>
              <w:t>To add references.</w:t>
            </w:r>
          </w:p>
        </w:tc>
        <w:tc>
          <w:tcPr>
            <w:tcW w:w="1250" w:type="pct"/>
            <w:shd w:val="clear" w:color="auto" w:fill="auto"/>
          </w:tcPr>
          <w:p w14:paraId="2BE3549A" w14:textId="282FB8E1" w:rsidR="00B2417C" w:rsidRPr="00D43518" w:rsidRDefault="00922764" w:rsidP="00922764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M21-1, Part III, Subpart iv, Chapter 1, Topic 1, Block a (III.iv.1.1.b)</w:t>
            </w:r>
          </w:p>
        </w:tc>
      </w:tr>
      <w:tr w:rsidR="00B2417C" w14:paraId="14338873" w14:textId="77777777" w:rsidTr="0055738B">
        <w:trPr>
          <w:trHeight w:val="180"/>
        </w:trPr>
        <w:tc>
          <w:tcPr>
            <w:tcW w:w="3750" w:type="pct"/>
            <w:shd w:val="clear" w:color="auto" w:fill="auto"/>
          </w:tcPr>
          <w:p w14:paraId="5AE9C6CA" w14:textId="014B59B6" w:rsidR="00B2417C" w:rsidRPr="00E70B83" w:rsidRDefault="00B2417C" w:rsidP="008C59AA">
            <w:pPr>
              <w:pStyle w:val="TableText"/>
            </w:pPr>
            <w:r>
              <w:t xml:space="preserve">To add a new </w:t>
            </w:r>
            <w:r w:rsidR="008C59AA">
              <w:t>B</w:t>
            </w:r>
            <w:r>
              <w:t>lock</w:t>
            </w:r>
            <w:r w:rsidR="008C59AA">
              <w:t xml:space="preserve"> c</w:t>
            </w:r>
            <w:r>
              <w:t xml:space="preserve"> on the definition of the rating activity based on material relocated from III.ii.7.3.</w:t>
            </w:r>
            <w:r w:rsidR="006F1BF2">
              <w:t>a</w:t>
            </w:r>
          </w:p>
        </w:tc>
        <w:tc>
          <w:tcPr>
            <w:tcW w:w="1250" w:type="pct"/>
            <w:shd w:val="clear" w:color="auto" w:fill="auto"/>
          </w:tcPr>
          <w:p w14:paraId="557C14B7" w14:textId="1F7A6AB0" w:rsidR="00B2417C" w:rsidRPr="00D43518" w:rsidRDefault="006F1BF2" w:rsidP="00D43518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III.iv.1.1.c</w:t>
            </w:r>
          </w:p>
        </w:tc>
      </w:tr>
      <w:tr w:rsidR="00CF1B74" w14:paraId="683BB9B2" w14:textId="77777777" w:rsidTr="0055738B">
        <w:trPr>
          <w:trHeight w:val="180"/>
        </w:trPr>
        <w:tc>
          <w:tcPr>
            <w:tcW w:w="3750" w:type="pct"/>
            <w:shd w:val="clear" w:color="auto" w:fill="auto"/>
          </w:tcPr>
          <w:p w14:paraId="762EDA17" w14:textId="402D65D5" w:rsidR="00CF1B74" w:rsidRDefault="00CF1B74" w:rsidP="006F1BF2">
            <w:pPr>
              <w:pStyle w:val="TableText"/>
            </w:pPr>
            <w:r>
              <w:t xml:space="preserve">To add </w:t>
            </w:r>
            <w:r w:rsidR="008C59AA">
              <w:t>a new B</w:t>
            </w:r>
            <w:r w:rsidR="006F1BF2">
              <w:t>lock</w:t>
            </w:r>
            <w:r w:rsidR="008C59AA">
              <w:t xml:space="preserve"> d</w:t>
            </w:r>
            <w:r w:rsidR="006F1BF2">
              <w:t xml:space="preserve"> on the </w:t>
            </w:r>
            <w:r>
              <w:t>specific decision making responsibilities of the rating activit</w:t>
            </w:r>
            <w:r w:rsidR="006F1BF2">
              <w:t>y based on material relocated from III.ii.7.3.b</w:t>
            </w:r>
          </w:p>
        </w:tc>
        <w:tc>
          <w:tcPr>
            <w:tcW w:w="1250" w:type="pct"/>
            <w:shd w:val="clear" w:color="auto" w:fill="auto"/>
          </w:tcPr>
          <w:p w14:paraId="7E71A108" w14:textId="2DA1C27D" w:rsidR="00CF1B74" w:rsidRDefault="00CF1B74" w:rsidP="009910CD">
            <w:pPr>
              <w:pStyle w:val="TableText"/>
            </w:pPr>
            <w:r>
              <w:t>III.iv.1.1.d</w:t>
            </w:r>
          </w:p>
        </w:tc>
      </w:tr>
      <w:tr w:rsidR="006F1BF2" w14:paraId="5DC3C2B7" w14:textId="77777777" w:rsidTr="0055738B">
        <w:trPr>
          <w:trHeight w:val="180"/>
        </w:trPr>
        <w:tc>
          <w:tcPr>
            <w:tcW w:w="3750" w:type="pct"/>
            <w:shd w:val="clear" w:color="auto" w:fill="auto"/>
          </w:tcPr>
          <w:p w14:paraId="6675463D" w14:textId="77777777" w:rsidR="00E53B32" w:rsidRDefault="00E53B32" w:rsidP="00E53B32">
            <w:pPr>
              <w:pStyle w:val="BulletText1"/>
            </w:pPr>
            <w:r>
              <w:t>To delete the following from topic 1</w:t>
            </w:r>
          </w:p>
          <w:p w14:paraId="3C1484A7" w14:textId="672962F5" w:rsidR="00E53B32" w:rsidRDefault="00E53B32" w:rsidP="00E53B32">
            <w:pPr>
              <w:pStyle w:val="BulletText2"/>
            </w:pPr>
            <w:r w:rsidRPr="00E70B83">
              <w:t>the definition of the rating schedule</w:t>
            </w:r>
            <w:r>
              <w:t xml:space="preserve"> in former </w:t>
            </w:r>
            <w:r w:rsidR="00922764">
              <w:t>B</w:t>
            </w:r>
            <w:r>
              <w:t xml:space="preserve">lock a, as off-topic. </w:t>
            </w:r>
          </w:p>
          <w:p w14:paraId="7A31C31F" w14:textId="74E36434" w:rsidR="00E53B32" w:rsidRDefault="00E53B32" w:rsidP="00E53B32">
            <w:pPr>
              <w:pStyle w:val="BulletText2"/>
            </w:pPr>
            <w:r>
              <w:t>the guidance on benefits of temporar</w:t>
            </w:r>
            <w:r w:rsidR="008C59AA">
              <w:t>y rating assignments in former B</w:t>
            </w:r>
            <w:r>
              <w:t xml:space="preserve">lock d; it does not cover adjudication concepts, policies and procedures, and the concept of temporary rating activity assignments is addressed elsewhere in topic 1. </w:t>
            </w:r>
          </w:p>
          <w:p w14:paraId="62176EE6" w14:textId="21C40C54" w:rsidR="00E53B32" w:rsidRDefault="00E53B32" w:rsidP="00E53B32">
            <w:pPr>
              <w:pStyle w:val="BulletText2"/>
            </w:pPr>
            <w:r>
              <w:t xml:space="preserve">the guidance on rotating </w:t>
            </w:r>
            <w:r w:rsidR="008C59AA">
              <w:t>rating assignments from former B</w:t>
            </w:r>
            <w:r>
              <w:t>lock e;  it does not cover adjudication concepts, policies and procedures, is inconsistent with other M21-1 references and is obsolete.</w:t>
            </w:r>
          </w:p>
          <w:p w14:paraId="38066A50" w14:textId="6D5FD520" w:rsidR="00E53B32" w:rsidRDefault="00E53B32" w:rsidP="00E53B32">
            <w:pPr>
              <w:pStyle w:val="BulletText2"/>
            </w:pPr>
            <w:r>
              <w:t xml:space="preserve">To delete the guidance on jurisdiction in rating decisions in former </w:t>
            </w:r>
            <w:r w:rsidR="008C59AA">
              <w:t>B</w:t>
            </w:r>
            <w:r>
              <w:t xml:space="preserve">lock f; this is being enhanced in new blocks in the same topic. </w:t>
            </w:r>
          </w:p>
          <w:p w14:paraId="69294318" w14:textId="1E33AA90" w:rsidR="00E53B32" w:rsidRDefault="00E53B32" w:rsidP="00E53B32">
            <w:pPr>
              <w:pStyle w:val="BulletText1"/>
            </w:pPr>
            <w:r>
              <w:t xml:space="preserve">To delete former </w:t>
            </w:r>
            <w:r w:rsidR="008C59AA">
              <w:t>T</w:t>
            </w:r>
            <w:r>
              <w:t xml:space="preserve">opic 2 on the medical member of the rating </w:t>
            </w:r>
            <w:r>
              <w:lastRenderedPageBreak/>
              <w:t xml:space="preserve">activity as obsolete. </w:t>
            </w:r>
          </w:p>
          <w:p w14:paraId="7607F360" w14:textId="3DDC8053" w:rsidR="006F1BF2" w:rsidRDefault="00E53B32" w:rsidP="008C59AA">
            <w:pPr>
              <w:pStyle w:val="BulletText1"/>
            </w:pPr>
            <w:r>
              <w:t xml:space="preserve">To delete former </w:t>
            </w:r>
            <w:r w:rsidR="008C59AA">
              <w:t>T</w:t>
            </w:r>
            <w:r>
              <w:t xml:space="preserve">opic 3 on the constructive notice rule as off topic and redundant of  III.iv.2.A.  </w:t>
            </w:r>
          </w:p>
        </w:tc>
        <w:tc>
          <w:tcPr>
            <w:tcW w:w="1250" w:type="pct"/>
            <w:shd w:val="clear" w:color="auto" w:fill="auto"/>
          </w:tcPr>
          <w:p w14:paraId="2A10B385" w14:textId="4BF5B6B0" w:rsidR="006F1BF2" w:rsidRPr="00E53B32" w:rsidRDefault="00E53B32" w:rsidP="009910CD">
            <w:pPr>
              <w:pStyle w:val="TableText"/>
            </w:pPr>
            <w:r>
              <w:lastRenderedPageBreak/>
              <w:t>III.iv.1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5885B1A" w:rsidR="00504F80" w:rsidRPr="00B4163A" w:rsidRDefault="005F2DB2" w:rsidP="00237C22">
            <w:pPr>
              <w:pStyle w:val="BlockText"/>
            </w:pPr>
            <w:r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3EDEF77C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15DAB">
        <w:fldChar w:fldCharType="begin">
          <w:fldData xml:space="preserve">RABvAGMAVABlAG0AcAAxAFYAYQByAFQAcgBhAGQAaQB0AGkAbwBuAGEAbAA=
</w:fldData>
        </w:fldChar>
      </w:r>
      <w:r w:rsidR="00D15DAB">
        <w:instrText xml:space="preserve"> ADDIN  \* MERGEFORMAT </w:instrText>
      </w:r>
      <w:r w:rsidR="00D15DAB">
        <w:fldChar w:fldCharType="end"/>
      </w:r>
      <w:r w:rsidR="00D15DAB">
        <w:fldChar w:fldCharType="begin">
          <w:fldData xml:space="preserve">RgBvAG4AdABTAGUAdABGAG8AbgB0AFMAZQB0AGkAbQBpAHMAdAB5AGwAZQBzAC4AeABtAGwA
</w:fldData>
        </w:fldChar>
      </w:r>
      <w:r w:rsidR="00D15DAB">
        <w:instrText xml:space="preserve"> ADDIN  \* MERGEFORMAT </w:instrText>
      </w:r>
      <w:r w:rsidR="00D15DAB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E3B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D31B0"/>
    <w:multiLevelType w:val="hybridMultilevel"/>
    <w:tmpl w:val="4B3CAD2A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A55D6"/>
    <w:multiLevelType w:val="hybridMultilevel"/>
    <w:tmpl w:val="7F72982A"/>
    <w:lvl w:ilvl="0" w:tplc="CB5AE1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8A4BB0"/>
    <w:multiLevelType w:val="hybridMultilevel"/>
    <w:tmpl w:val="D730F2D0"/>
    <w:lvl w:ilvl="0" w:tplc="CB5AE1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F553E"/>
    <w:multiLevelType w:val="hybridMultilevel"/>
    <w:tmpl w:val="01C43718"/>
    <w:lvl w:ilvl="0" w:tplc="CB5AE1D2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93228"/>
    <w:rsid w:val="000A3C60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C5701"/>
    <w:rsid w:val="002F5B21"/>
    <w:rsid w:val="002F7397"/>
    <w:rsid w:val="00304E3B"/>
    <w:rsid w:val="00332B80"/>
    <w:rsid w:val="00341981"/>
    <w:rsid w:val="00366D36"/>
    <w:rsid w:val="00383C56"/>
    <w:rsid w:val="00386999"/>
    <w:rsid w:val="003B0223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24C3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5738B"/>
    <w:rsid w:val="00564A45"/>
    <w:rsid w:val="00594258"/>
    <w:rsid w:val="005E4363"/>
    <w:rsid w:val="005F0F3D"/>
    <w:rsid w:val="005F2DB2"/>
    <w:rsid w:val="00600DC7"/>
    <w:rsid w:val="0061501F"/>
    <w:rsid w:val="0062068D"/>
    <w:rsid w:val="006317AA"/>
    <w:rsid w:val="006441DE"/>
    <w:rsid w:val="006473C3"/>
    <w:rsid w:val="006708D7"/>
    <w:rsid w:val="006837E0"/>
    <w:rsid w:val="006B7262"/>
    <w:rsid w:val="006C2D0A"/>
    <w:rsid w:val="006C3E5F"/>
    <w:rsid w:val="006C48FF"/>
    <w:rsid w:val="006D10E5"/>
    <w:rsid w:val="006D52FE"/>
    <w:rsid w:val="006F1BF2"/>
    <w:rsid w:val="006F6D37"/>
    <w:rsid w:val="007176B9"/>
    <w:rsid w:val="00724248"/>
    <w:rsid w:val="00732186"/>
    <w:rsid w:val="00737049"/>
    <w:rsid w:val="00742863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59AA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2764"/>
    <w:rsid w:val="00933BDB"/>
    <w:rsid w:val="00936A5C"/>
    <w:rsid w:val="00945950"/>
    <w:rsid w:val="009769CD"/>
    <w:rsid w:val="009910CD"/>
    <w:rsid w:val="00997D98"/>
    <w:rsid w:val="009B4377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AF51EB"/>
    <w:rsid w:val="00B0548B"/>
    <w:rsid w:val="00B2417C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34FB0"/>
    <w:rsid w:val="00C765C7"/>
    <w:rsid w:val="00CD2D08"/>
    <w:rsid w:val="00CF1B74"/>
    <w:rsid w:val="00D15DAB"/>
    <w:rsid w:val="00D33A6E"/>
    <w:rsid w:val="00D36508"/>
    <w:rsid w:val="00D43518"/>
    <w:rsid w:val="00D57B91"/>
    <w:rsid w:val="00D61497"/>
    <w:rsid w:val="00D765C1"/>
    <w:rsid w:val="00D77146"/>
    <w:rsid w:val="00D80C9A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56F7"/>
    <w:rsid w:val="00E2529E"/>
    <w:rsid w:val="00E36906"/>
    <w:rsid w:val="00E46833"/>
    <w:rsid w:val="00E53B32"/>
    <w:rsid w:val="00E648E9"/>
    <w:rsid w:val="00E77596"/>
    <w:rsid w:val="00E964FD"/>
    <w:rsid w:val="00ED4D5E"/>
    <w:rsid w:val="00ED71C8"/>
    <w:rsid w:val="00F006B2"/>
    <w:rsid w:val="00F2630A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3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3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openxmlformats.org/package/2006/metadata/core-properties"/>
    <ds:schemaRef ds:uri="b438dcf7-3998-4283-b7fc-0ec6fa8e430f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ED044B-4244-4207-8996-7D1054C5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0ED420-84A1-421A-AB7E-09BF779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97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29</cp:revision>
  <dcterms:created xsi:type="dcterms:W3CDTF">2015-02-05T20:11:00Z</dcterms:created>
  <dcterms:modified xsi:type="dcterms:W3CDTF">2015-05-06T21:36:00Z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