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FCC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3E6D66A2" w14:textId="6242EB3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</w:t>
      </w:r>
      <w:r w:rsidR="00932637">
        <w:rPr>
          <w:b/>
          <w:bCs/>
          <w:sz w:val="20"/>
        </w:rPr>
        <w:t>June 4,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06072B9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C213346" w14:textId="77777777" w:rsidR="00504F80" w:rsidRDefault="00504F80" w:rsidP="00504F80">
      <w:pPr>
        <w:rPr>
          <w:b/>
          <w:bCs/>
          <w:sz w:val="20"/>
        </w:rPr>
      </w:pPr>
    </w:p>
    <w:p w14:paraId="00B8ED55" w14:textId="77777777" w:rsidR="00504F80" w:rsidRDefault="00504F80" w:rsidP="00504F80">
      <w:pPr>
        <w:pStyle w:val="Heading4"/>
      </w:pPr>
      <w:r>
        <w:t xml:space="preserve">Transmittal Sheet </w:t>
      </w:r>
    </w:p>
    <w:p w14:paraId="517594B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1D439F6" w14:textId="77777777" w:rsidTr="00C24D50">
        <w:tc>
          <w:tcPr>
            <w:tcW w:w="1728" w:type="dxa"/>
          </w:tcPr>
          <w:p w14:paraId="26D8261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D397F2B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31D06D6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402385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4389B0F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0AA13112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4E42FD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210D378F" w14:textId="77777777" w:rsidR="00E3060D" w:rsidRDefault="00E3060D" w:rsidP="00237C22">
            <w:pPr>
              <w:pStyle w:val="BulletText2"/>
              <w:tabs>
                <w:tab w:val="num" w:pos="547"/>
              </w:tabs>
            </w:pPr>
            <w:r>
              <w:t>reorganize the alphabetical designations assigned to individual blocks to account for deleted or combined blocks</w:t>
            </w:r>
          </w:p>
          <w:p w14:paraId="13192F9C" w14:textId="77777777" w:rsidR="00F71BEE" w:rsidRDefault="00F71BEE" w:rsidP="00237C22">
            <w:pPr>
              <w:pStyle w:val="BulletText2"/>
              <w:tabs>
                <w:tab w:val="num" w:pos="547"/>
              </w:tabs>
            </w:pPr>
            <w:r>
              <w:t>replace “factual dependency” with “financial dependency”</w:t>
            </w:r>
          </w:p>
          <w:p w14:paraId="4844322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B453B76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A0725A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F3BBD25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E35EA8">
              <w:t>ts into conformance with M21-1</w:t>
            </w:r>
            <w:r>
              <w:t xml:space="preserve"> standards.</w:t>
            </w:r>
          </w:p>
        </w:tc>
      </w:tr>
    </w:tbl>
    <w:p w14:paraId="25C0866F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4"/>
        <w:gridCol w:w="2070"/>
      </w:tblGrid>
      <w:tr w:rsidR="00E555B4" w14:paraId="157D679B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65F211A9" w14:textId="77777777" w:rsidR="00E555B4" w:rsidRPr="00C24D50" w:rsidRDefault="00E555B4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10" w:type="pct"/>
            <w:shd w:val="clear" w:color="auto" w:fill="auto"/>
          </w:tcPr>
          <w:p w14:paraId="129C6939" w14:textId="77777777" w:rsidR="00E555B4" w:rsidRPr="00C24D50" w:rsidRDefault="00E555B4" w:rsidP="002F7397">
            <w:pPr>
              <w:pStyle w:val="TableHeaderText"/>
            </w:pPr>
            <w:r w:rsidRPr="00C24D50">
              <w:t>Citation</w:t>
            </w:r>
          </w:p>
        </w:tc>
      </w:tr>
      <w:tr w:rsidR="00E555B4" w14:paraId="0B0BD3D8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06FC6C1F" w14:textId="1F780E73" w:rsidR="00E555B4" w:rsidRDefault="00E555B4" w:rsidP="006B209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F848C3">
              <w:t>clarify</w:t>
            </w:r>
            <w:r w:rsidR="00A975EB">
              <w:t xml:space="preserve"> that </w:t>
            </w:r>
            <w:r w:rsidR="00F04E61">
              <w:t xml:space="preserve">a </w:t>
            </w:r>
            <w:r w:rsidR="00A975EB">
              <w:t>marriage</w:t>
            </w:r>
            <w:r w:rsidR="00DF78C2">
              <w:t xml:space="preserve"> (between members of the same or opposite sex)</w:t>
            </w:r>
            <w:r w:rsidR="00A975EB">
              <w:t xml:space="preserve"> </w:t>
            </w:r>
            <w:r w:rsidR="00F04E61">
              <w:t xml:space="preserve">may be </w:t>
            </w:r>
            <w:r w:rsidR="00A975EB">
              <w:t xml:space="preserve">established when the marriage is valid under the law of the locality where at least one of the parties resided when the claimant filed a valid claim, became eligible for benefits, or </w:t>
            </w:r>
            <w:r w:rsidR="00993142">
              <w:t>was married.</w:t>
            </w:r>
          </w:p>
          <w:p w14:paraId="1CCC8754" w14:textId="6ABB64F9" w:rsidR="006B209C" w:rsidRDefault="006B209C" w:rsidP="00A3110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provide </w:t>
            </w:r>
            <w:r w:rsidR="00B11996">
              <w:t>hyper</w:t>
            </w:r>
            <w:r>
              <w:t xml:space="preserve">links to </w:t>
            </w:r>
            <w:r w:rsidR="00A31105">
              <w:t xml:space="preserve">the VA Office of General Counsel’s </w:t>
            </w:r>
            <w:r>
              <w:t xml:space="preserve"> marriage webpage and </w:t>
            </w:r>
            <w:r w:rsidR="00B11996" w:rsidRPr="00A31105">
              <w:rPr>
                <w:iCs/>
              </w:rPr>
              <w:t>VBA Letter 20-14-08,</w:t>
            </w:r>
            <w:r w:rsidR="00B11996" w:rsidRPr="00A31105">
              <w:rPr>
                <w:i/>
                <w:iCs/>
              </w:rPr>
              <w:t xml:space="preserve"> Administration of Same-Sex Spousal Benefits.</w:t>
            </w:r>
          </w:p>
        </w:tc>
        <w:tc>
          <w:tcPr>
            <w:tcW w:w="1110" w:type="pct"/>
            <w:shd w:val="clear" w:color="auto" w:fill="auto"/>
          </w:tcPr>
          <w:p w14:paraId="6D705F7B" w14:textId="77777777" w:rsidR="00E555B4" w:rsidRDefault="003D60AC" w:rsidP="00F04E61">
            <w:pPr>
              <w:pStyle w:val="TableText"/>
            </w:pPr>
            <w:r>
              <w:t xml:space="preserve">M21-1, Part III, Subpart iii, Chapter 5, Section </w:t>
            </w:r>
            <w:r w:rsidR="00F04E61">
              <w:t>B, Topic 1, Block a</w:t>
            </w:r>
            <w:r>
              <w:t xml:space="preserve"> (</w:t>
            </w:r>
            <w:r w:rsidR="00E555B4">
              <w:t>III.iii.5.</w:t>
            </w:r>
            <w:r w:rsidR="00F04E61">
              <w:t>B</w:t>
            </w:r>
            <w:r w:rsidR="00E555B4">
              <w:t>.1.</w:t>
            </w:r>
            <w:r w:rsidR="00F04E61">
              <w:t>a</w:t>
            </w:r>
            <w:r>
              <w:t>)</w:t>
            </w:r>
          </w:p>
        </w:tc>
      </w:tr>
      <w:tr w:rsidR="00783337" w14:paraId="4B3EAB56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26E338C4" w14:textId="466A4F6B" w:rsidR="00783337" w:rsidRDefault="00DF78C2" w:rsidP="00FF125B">
            <w:r>
              <w:t>To m</w:t>
            </w:r>
            <w:r w:rsidR="00783337">
              <w:t xml:space="preserve">ove the note </w:t>
            </w:r>
            <w:r>
              <w:t>located under the table in</w:t>
            </w:r>
            <w:r w:rsidR="00783337">
              <w:t xml:space="preserve"> old III.iii.5.B.</w:t>
            </w:r>
            <w:r>
              <w:t>8</w:t>
            </w:r>
            <w:r w:rsidR="00783337">
              <w:t>.f to a more logical location.</w:t>
            </w:r>
          </w:p>
        </w:tc>
        <w:tc>
          <w:tcPr>
            <w:tcW w:w="1110" w:type="pct"/>
            <w:shd w:val="clear" w:color="auto" w:fill="auto"/>
          </w:tcPr>
          <w:p w14:paraId="76057AA3" w14:textId="1786043E" w:rsidR="00783337" w:rsidRDefault="00783337" w:rsidP="00F04E61">
            <w:pPr>
              <w:pStyle w:val="TableText"/>
            </w:pPr>
            <w:r>
              <w:t>III.iii.5.B.1.b</w:t>
            </w:r>
          </w:p>
        </w:tc>
      </w:tr>
      <w:tr w:rsidR="00E555B4" w14:paraId="0755C322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5FCAB6FF" w14:textId="77C058F9" w:rsidR="00E555B4" w:rsidRDefault="00FA177F" w:rsidP="00FF125B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specify </w:t>
            </w:r>
            <w:r w:rsidR="006B209C">
              <w:t>that a claim</w:t>
            </w:r>
            <w:r w:rsidR="004A1D50">
              <w:t xml:space="preserve">ant’s entries </w:t>
            </w:r>
            <w:r w:rsidR="0072347C">
              <w:t xml:space="preserve">regarding his/her dependents </w:t>
            </w:r>
            <w:r w:rsidR="004A1D50">
              <w:t xml:space="preserve">on </w:t>
            </w:r>
            <w:r w:rsidR="0072347C">
              <w:t>one of the forms listed in III.iii.5.A.4.a.</w:t>
            </w:r>
            <w:r w:rsidR="00AB6A4A">
              <w:t xml:space="preserve"> </w:t>
            </w:r>
            <w:proofErr w:type="gramStart"/>
            <w:r w:rsidR="00AB6A4A">
              <w:t>are</w:t>
            </w:r>
            <w:proofErr w:type="gramEnd"/>
            <w:r w:rsidR="00AB6A4A">
              <w:t xml:space="preserve"> accepted as </w:t>
            </w:r>
            <w:r w:rsidR="00F848C3">
              <w:t xml:space="preserve">credible </w:t>
            </w:r>
            <w:r w:rsidR="00AB6A4A">
              <w:t>if the form is complete and signed by the claimant</w:t>
            </w:r>
            <w:r w:rsidR="006B209C">
              <w:t xml:space="preserve">. </w:t>
            </w:r>
          </w:p>
          <w:p w14:paraId="7EDB30F2" w14:textId="34C79493" w:rsidR="006B209C" w:rsidRPr="00C24D50" w:rsidRDefault="00E930E2" w:rsidP="005774E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clarify that </w:t>
            </w:r>
            <w:r w:rsidR="0072347C">
              <w:t xml:space="preserve">a claimant’s failure to provide </w:t>
            </w:r>
            <w:r>
              <w:t>the State</w:t>
            </w:r>
            <w:r w:rsidR="0072347C">
              <w:t xml:space="preserve"> in which a marriage took place on one of the forms listed in III.iii.5.A.4.</w:t>
            </w:r>
            <w:proofErr w:type="spellStart"/>
            <w:r w:rsidR="0072347C">
              <w:t>a</w:t>
            </w:r>
            <w:proofErr w:type="spellEnd"/>
            <w:r w:rsidR="0072347C">
              <w:t xml:space="preserve"> does not render the form incomplete as long as</w:t>
            </w:r>
            <w:r w:rsidR="00E924FC">
              <w:t xml:space="preserve"> the city </w:t>
            </w:r>
            <w:r w:rsidR="005774EF">
              <w:t>in which the marriage</w:t>
            </w:r>
            <w:r w:rsidR="00E924FC">
              <w:t xml:space="preserve"> took place is well known</w:t>
            </w:r>
            <w:r w:rsidR="00032152">
              <w:t>.</w:t>
            </w:r>
          </w:p>
        </w:tc>
        <w:tc>
          <w:tcPr>
            <w:tcW w:w="1110" w:type="pct"/>
            <w:shd w:val="clear" w:color="auto" w:fill="auto"/>
          </w:tcPr>
          <w:p w14:paraId="39F1ABBA" w14:textId="77777777" w:rsidR="00E555B4" w:rsidRPr="00C24D50" w:rsidRDefault="00E555B4" w:rsidP="00F04E61">
            <w:pPr>
              <w:pStyle w:val="TableText"/>
            </w:pPr>
            <w:r>
              <w:t>III.iii.5.</w:t>
            </w:r>
            <w:r w:rsidR="00F04E61">
              <w:t>B</w:t>
            </w:r>
            <w:r>
              <w:t>.</w:t>
            </w:r>
            <w:r w:rsidR="00F04E61">
              <w:t>2</w:t>
            </w:r>
            <w:r>
              <w:t>.</w:t>
            </w:r>
            <w:r w:rsidR="00F04E61">
              <w:t>a</w:t>
            </w:r>
          </w:p>
        </w:tc>
      </w:tr>
      <w:tr w:rsidR="00E555B4" w14:paraId="6761B9A4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59581A83" w14:textId="77777777" w:rsidR="00A912DC" w:rsidRDefault="00626F1E" w:rsidP="00DF7D2D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1B6F46">
              <w:t>clarify when documentary evidence of marriage is required.</w:t>
            </w:r>
          </w:p>
          <w:p w14:paraId="08CBCE58" w14:textId="32A5D73D" w:rsidR="004A1D50" w:rsidRDefault="004A1D50" w:rsidP="00424F66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move a referen</w:t>
            </w:r>
            <w:r w:rsidR="00F848C3">
              <w:t xml:space="preserve">ce for the definition of fraud </w:t>
            </w:r>
            <w:r>
              <w:t>from old III.iii.5.B.</w:t>
            </w:r>
            <w:r w:rsidR="00424F66">
              <w:t>6</w:t>
            </w:r>
            <w:r>
              <w:t>.e to a more logical location.</w:t>
            </w:r>
          </w:p>
          <w:p w14:paraId="222A957D" w14:textId="6D4D99B3" w:rsidR="00032152" w:rsidRDefault="00DF7D2D" w:rsidP="000A3223">
            <w:pPr>
              <w:pStyle w:val="BulletText1"/>
            </w:pPr>
            <w:r>
              <w:t xml:space="preserve">To </w:t>
            </w:r>
            <w:r w:rsidR="00E924FC">
              <w:t>emphasize that</w:t>
            </w:r>
            <w:r>
              <w:t xml:space="preserve"> the </w:t>
            </w:r>
            <w:r w:rsidR="00E924FC">
              <w:t xml:space="preserve">validity of a marriage should not be questioned based solely on the absence of information regarding </w:t>
            </w:r>
            <w:r w:rsidR="00032152">
              <w:t>where a claimant lived</w:t>
            </w:r>
          </w:p>
          <w:p w14:paraId="02139D3C" w14:textId="77777777" w:rsidR="00E924FC" w:rsidRDefault="00E924FC" w:rsidP="00E924FC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when a marriage took place, or</w:t>
            </w:r>
          </w:p>
          <w:p w14:paraId="4CB19F8A" w14:textId="667764AB" w:rsidR="00DF7D2D" w:rsidRDefault="00E924FC" w:rsidP="00E924FC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lastRenderedPageBreak/>
              <w:t xml:space="preserve"> </w:t>
            </w:r>
            <w:proofErr w:type="gramStart"/>
            <w:r>
              <w:t>when</w:t>
            </w:r>
            <w:proofErr w:type="gramEnd"/>
            <w:r>
              <w:t xml:space="preserve"> the claimant filed for benefits</w:t>
            </w:r>
            <w:r w:rsidR="00DF7D2D">
              <w:t xml:space="preserve">. </w:t>
            </w:r>
          </w:p>
          <w:p w14:paraId="66AD5D03" w14:textId="31B6F992" w:rsidR="004A1D50" w:rsidRPr="00C24D50" w:rsidRDefault="004A1D50" w:rsidP="00DF7D2D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provide references for questions regarding </w:t>
            </w:r>
            <w:r w:rsidR="00F848C3">
              <w:t xml:space="preserve">the </w:t>
            </w:r>
            <w:r>
              <w:t>administration of same-sex spousal benefits.</w:t>
            </w:r>
          </w:p>
        </w:tc>
        <w:tc>
          <w:tcPr>
            <w:tcW w:w="1110" w:type="pct"/>
            <w:shd w:val="clear" w:color="auto" w:fill="auto"/>
          </w:tcPr>
          <w:p w14:paraId="23D617F4" w14:textId="1CD7ACA3" w:rsidR="00E555B4" w:rsidRPr="00C24D50" w:rsidRDefault="00E555B4" w:rsidP="00993142">
            <w:pPr>
              <w:pStyle w:val="TableText"/>
            </w:pPr>
            <w:r>
              <w:lastRenderedPageBreak/>
              <w:t>III.iii.5.</w:t>
            </w:r>
            <w:r w:rsidR="00993142">
              <w:t>B</w:t>
            </w:r>
            <w:r>
              <w:t>.</w:t>
            </w:r>
            <w:r w:rsidR="00993142">
              <w:t>2</w:t>
            </w:r>
            <w:r>
              <w:t>.</w:t>
            </w:r>
            <w:r w:rsidR="00DF7D2D">
              <w:t>b</w:t>
            </w:r>
          </w:p>
        </w:tc>
      </w:tr>
      <w:tr w:rsidR="00B85334" w14:paraId="53A2943B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3891DECD" w14:textId="77777777" w:rsidR="00B85334" w:rsidRDefault="00B85334" w:rsidP="003903B0">
            <w:pPr>
              <w:pStyle w:val="BulletText1"/>
            </w:pPr>
            <w:r>
              <w:lastRenderedPageBreak/>
              <w:t xml:space="preserve">To remove instructions </w:t>
            </w:r>
            <w:proofErr w:type="gramStart"/>
            <w:r>
              <w:t>that are</w:t>
            </w:r>
            <w:proofErr w:type="gramEnd"/>
            <w:r>
              <w:t xml:space="preserve"> now provided in III.iii.5.B.3.c.</w:t>
            </w:r>
          </w:p>
          <w:p w14:paraId="3D53E702" w14:textId="6595E2ED" w:rsidR="003903B0" w:rsidRDefault="00524C3E" w:rsidP="003903B0">
            <w:pPr>
              <w:pStyle w:val="BulletText1"/>
            </w:pPr>
            <w:r w:rsidRPr="003903B0">
              <w:t>To clarify that if a claimant was not married in a State, then he/she must provide the name of the country where the marriage took place.</w:t>
            </w:r>
          </w:p>
        </w:tc>
        <w:tc>
          <w:tcPr>
            <w:tcW w:w="1110" w:type="pct"/>
            <w:shd w:val="clear" w:color="auto" w:fill="auto"/>
          </w:tcPr>
          <w:p w14:paraId="56D20F52" w14:textId="748AE91D" w:rsidR="00B85334" w:rsidRDefault="00B85334" w:rsidP="00993142">
            <w:pPr>
              <w:pStyle w:val="TableText"/>
            </w:pPr>
            <w:r>
              <w:t>III.iii.5.B.2.c.</w:t>
            </w:r>
          </w:p>
        </w:tc>
      </w:tr>
      <w:tr w:rsidR="00B85334" w14:paraId="1CB8A37C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19F020D4" w14:textId="3CF59FB1" w:rsidR="00B85334" w:rsidRDefault="00B85334" w:rsidP="00B85334">
            <w:pPr>
              <w:pStyle w:val="BulletText1"/>
              <w:numPr>
                <w:ilvl w:val="0"/>
                <w:numId w:val="0"/>
              </w:numPr>
            </w:pPr>
            <w:r>
              <w:t xml:space="preserve">To add a new block that states claimants must submit a request to add a dependent to their award on </w:t>
            </w:r>
            <w:r w:rsidR="00524C3E">
              <w:t>a prescribed form.</w:t>
            </w:r>
          </w:p>
        </w:tc>
        <w:tc>
          <w:tcPr>
            <w:tcW w:w="1110" w:type="pct"/>
            <w:shd w:val="clear" w:color="auto" w:fill="auto"/>
          </w:tcPr>
          <w:p w14:paraId="2C282FA5" w14:textId="190EF4B8" w:rsidR="00B85334" w:rsidRDefault="00B85334" w:rsidP="00626F1E">
            <w:pPr>
              <w:pStyle w:val="TableText"/>
            </w:pPr>
            <w:r>
              <w:t>III.iii.5.B.3.a</w:t>
            </w:r>
          </w:p>
        </w:tc>
      </w:tr>
      <w:tr w:rsidR="00B85334" w14:paraId="3B3618D1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5EB40EB9" w14:textId="393D795A" w:rsidR="00B85334" w:rsidRPr="00C24D50" w:rsidRDefault="00524C3E" w:rsidP="00524C3E">
            <w:pPr>
              <w:pStyle w:val="TableText"/>
            </w:pPr>
            <w:r>
              <w:t>To clarify that if a claimant was not married in a State, then he/she must provide the name of the country where the marriage took place.</w:t>
            </w:r>
          </w:p>
        </w:tc>
        <w:tc>
          <w:tcPr>
            <w:tcW w:w="1110" w:type="pct"/>
            <w:shd w:val="clear" w:color="auto" w:fill="auto"/>
          </w:tcPr>
          <w:p w14:paraId="3CA5AEF7" w14:textId="75ED4580" w:rsidR="00B85334" w:rsidRPr="00C24D50" w:rsidRDefault="00524C3E" w:rsidP="00626F1E">
            <w:pPr>
              <w:pStyle w:val="TableText"/>
            </w:pPr>
            <w:r>
              <w:t>III.iii.5.B.3.b</w:t>
            </w:r>
          </w:p>
        </w:tc>
      </w:tr>
      <w:tr w:rsidR="00B85334" w14:paraId="4FDEE228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035E32F5" w14:textId="57E698B2" w:rsidR="00B85334" w:rsidRDefault="00524C3E" w:rsidP="00FB05A3">
            <w:pPr>
              <w:pStyle w:val="TableText"/>
            </w:pPr>
            <w:r>
              <w:t>To rewrite (old) III.iii.5.B.</w:t>
            </w:r>
            <w:r w:rsidR="00FB05A3">
              <w:t>7</w:t>
            </w:r>
            <w:r>
              <w:t xml:space="preserve">.b, </w:t>
            </w:r>
            <w:proofErr w:type="gramStart"/>
            <w:r>
              <w:t>which was largely rendered obsolete by the new requirement that claimants submit their claims on prescribed forms.</w:t>
            </w:r>
            <w:proofErr w:type="gramEnd"/>
          </w:p>
        </w:tc>
        <w:tc>
          <w:tcPr>
            <w:tcW w:w="1110" w:type="pct"/>
            <w:shd w:val="clear" w:color="auto" w:fill="auto"/>
          </w:tcPr>
          <w:p w14:paraId="4FD595C1" w14:textId="79FA18CB" w:rsidR="00B85334" w:rsidRDefault="00524C3E" w:rsidP="00626F1E">
            <w:pPr>
              <w:pStyle w:val="TableText"/>
            </w:pPr>
            <w:r>
              <w:t>III.iii.5.B.3.c</w:t>
            </w:r>
          </w:p>
        </w:tc>
      </w:tr>
      <w:tr w:rsidR="004C39EA" w14:paraId="0F14F71F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723CB192" w14:textId="5CD8C4C5" w:rsidR="004C39EA" w:rsidRDefault="004C39EA" w:rsidP="00A554B5">
            <w:pPr>
              <w:pStyle w:val="BulletText1"/>
            </w:pPr>
            <w:r>
              <w:t>To consolidate the content of old III.iii.5.</w:t>
            </w:r>
            <w:r w:rsidR="00A554B5">
              <w:t>B.8.a and b into a single block.</w:t>
            </w:r>
          </w:p>
          <w:p w14:paraId="1C2A5BDD" w14:textId="77777777" w:rsidR="00A554B5" w:rsidRDefault="00A554B5" w:rsidP="00A554B5">
            <w:pPr>
              <w:pStyle w:val="BulletText1"/>
            </w:pPr>
            <w:r>
              <w:t>To remove instructions rendered obsolete by the requirement that claimants complete a prescribed form if they wish to add a dependent to their award.</w:t>
            </w:r>
          </w:p>
          <w:p w14:paraId="48CA2576" w14:textId="77777777" w:rsidR="00386E9D" w:rsidRDefault="00386E9D" w:rsidP="00621BFD">
            <w:pPr>
              <w:pStyle w:val="BulletText1"/>
            </w:pPr>
            <w:r>
              <w:t xml:space="preserve">To reword instructions to ensure </w:t>
            </w:r>
            <w:r w:rsidR="00621BFD">
              <w:t>RO employees</w:t>
            </w:r>
            <w:r>
              <w:t xml:space="preserve"> do not overdevelop</w:t>
            </w:r>
            <w:r w:rsidR="00621BFD">
              <w:t xml:space="preserve"> claims involving dependents.</w:t>
            </w:r>
          </w:p>
          <w:p w14:paraId="5C2F1407" w14:textId="517DEC2A" w:rsidR="00621BFD" w:rsidRDefault="00621BFD" w:rsidP="00621BFD">
            <w:pPr>
              <w:pStyle w:val="BulletText1"/>
            </w:pPr>
            <w:r>
              <w:t>To clarify that VA does not require beneficiaries to submit a prescribed form to request removal of a dependent from their award</w:t>
            </w:r>
            <w:r w:rsidR="00032152">
              <w:t>.</w:t>
            </w:r>
          </w:p>
        </w:tc>
        <w:tc>
          <w:tcPr>
            <w:tcW w:w="1110" w:type="pct"/>
            <w:shd w:val="clear" w:color="auto" w:fill="auto"/>
          </w:tcPr>
          <w:p w14:paraId="1520316E" w14:textId="3C004AA7" w:rsidR="004C39EA" w:rsidRDefault="00A554B5" w:rsidP="00626F1E">
            <w:pPr>
              <w:pStyle w:val="TableText"/>
            </w:pPr>
            <w:r>
              <w:t>III.iii.5.B.4.a</w:t>
            </w:r>
          </w:p>
        </w:tc>
      </w:tr>
      <w:tr w:rsidR="00A554B5" w14:paraId="49A9D311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5ED23C70" w14:textId="258E7FD0" w:rsidR="00386E9D" w:rsidRDefault="00A554B5" w:rsidP="00621BFD">
            <w:pPr>
              <w:pStyle w:val="BulletText1"/>
              <w:numPr>
                <w:ilvl w:val="0"/>
                <w:numId w:val="0"/>
              </w:numPr>
            </w:pPr>
            <w:r>
              <w:t xml:space="preserve">To consolidate the content of old </w:t>
            </w:r>
            <w:r w:rsidR="004C39EA" w:rsidRPr="00A554B5">
              <w:t>III.iii.5.</w:t>
            </w:r>
            <w:r w:rsidRPr="00A554B5">
              <w:t>B.8.</w:t>
            </w:r>
            <w:r>
              <w:t>c, d, and e</w:t>
            </w:r>
            <w:r w:rsidRPr="00A554B5">
              <w:t xml:space="preserve"> into a single block.</w:t>
            </w:r>
          </w:p>
        </w:tc>
        <w:tc>
          <w:tcPr>
            <w:tcW w:w="1110" w:type="pct"/>
            <w:shd w:val="clear" w:color="auto" w:fill="auto"/>
          </w:tcPr>
          <w:p w14:paraId="42657798" w14:textId="793D4D0D" w:rsidR="00A554B5" w:rsidRDefault="00A554B5" w:rsidP="00626F1E">
            <w:pPr>
              <w:pStyle w:val="TableText"/>
            </w:pPr>
            <w:r>
              <w:t>III.iii.5.B.4.b</w:t>
            </w:r>
          </w:p>
        </w:tc>
      </w:tr>
      <w:tr w:rsidR="00B85334" w14:paraId="485A7D7B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4D21E40B" w14:textId="12B3D06A" w:rsidR="000C7B8D" w:rsidRDefault="00396462" w:rsidP="00396462">
            <w:r>
              <w:t xml:space="preserve">To rewrite content based on the requirement </w:t>
            </w:r>
            <w:r w:rsidRPr="00396462">
              <w:t>that claimants complete a prescribed form if they wish to add a dependent to their award.</w:t>
            </w:r>
          </w:p>
        </w:tc>
        <w:tc>
          <w:tcPr>
            <w:tcW w:w="1110" w:type="pct"/>
            <w:shd w:val="clear" w:color="auto" w:fill="auto"/>
          </w:tcPr>
          <w:p w14:paraId="28365B54" w14:textId="16C2CF74" w:rsidR="00B85334" w:rsidRDefault="00B85334" w:rsidP="00375505">
            <w:pPr>
              <w:pStyle w:val="TableText"/>
            </w:pPr>
            <w:r>
              <w:t>III.iii.5.B.5.a</w:t>
            </w:r>
          </w:p>
        </w:tc>
      </w:tr>
      <w:tr w:rsidR="00B85334" w14:paraId="41CC876A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2A3EED9B" w14:textId="187C81A9" w:rsidR="00B85334" w:rsidRDefault="00722E48" w:rsidP="00396462">
            <w:pPr>
              <w:pStyle w:val="TableText"/>
            </w:pPr>
            <w:r>
              <w:t xml:space="preserve">To </w:t>
            </w:r>
            <w:r w:rsidR="00396462">
              <w:t>replace</w:t>
            </w:r>
            <w:r w:rsidR="0040340F">
              <w:t xml:space="preserve"> </w:t>
            </w:r>
            <w:r w:rsidR="00396462">
              <w:t>“</w:t>
            </w:r>
            <w:r w:rsidR="0040340F">
              <w:t>husband and wife</w:t>
            </w:r>
            <w:r w:rsidR="00396462">
              <w:t>” with “a married couple.”</w:t>
            </w:r>
            <w:r w:rsidR="0040340F">
              <w:t xml:space="preserve"> </w:t>
            </w:r>
          </w:p>
        </w:tc>
        <w:tc>
          <w:tcPr>
            <w:tcW w:w="1110" w:type="pct"/>
            <w:shd w:val="clear" w:color="auto" w:fill="auto"/>
          </w:tcPr>
          <w:p w14:paraId="4B2E1445" w14:textId="1079623E" w:rsidR="00B85334" w:rsidRDefault="00B85334" w:rsidP="00CF333B">
            <w:pPr>
              <w:pStyle w:val="TableText"/>
              <w:jc w:val="center"/>
            </w:pPr>
            <w:r>
              <w:t>III.iii.5.B.7.a</w:t>
            </w:r>
            <w:r w:rsidR="00396462">
              <w:t xml:space="preserve"> and b</w:t>
            </w:r>
          </w:p>
        </w:tc>
      </w:tr>
      <w:tr w:rsidR="00B85334" w14:paraId="0E881C52" w14:textId="77777777" w:rsidTr="00375505">
        <w:trPr>
          <w:trHeight w:val="180"/>
        </w:trPr>
        <w:tc>
          <w:tcPr>
            <w:tcW w:w="3890" w:type="pct"/>
            <w:shd w:val="clear" w:color="auto" w:fill="auto"/>
          </w:tcPr>
          <w:p w14:paraId="7494EAB8" w14:textId="1B71FF8B" w:rsidR="00B85334" w:rsidRPr="00C24D50" w:rsidRDefault="00B85334" w:rsidP="00DF78C2">
            <w:pPr>
              <w:pStyle w:val="TableText"/>
            </w:pPr>
            <w:r>
              <w:t xml:space="preserve">To delete old III.iii.5.B.6.b </w:t>
            </w:r>
            <w:r w:rsidR="00424F66">
              <w:t xml:space="preserve">and c </w:t>
            </w:r>
            <w:r>
              <w:t>as the information contained therein is obsolete</w:t>
            </w:r>
            <w:r w:rsidR="005774EF">
              <w:t xml:space="preserve"> now that claimants are required to complete a prescribed form to add a dependent to an award</w:t>
            </w:r>
            <w:r>
              <w:t>.</w:t>
            </w:r>
          </w:p>
        </w:tc>
        <w:tc>
          <w:tcPr>
            <w:tcW w:w="1110" w:type="pct"/>
            <w:shd w:val="clear" w:color="auto" w:fill="auto"/>
          </w:tcPr>
          <w:p w14:paraId="0FFD969F" w14:textId="77777777" w:rsidR="00B85334" w:rsidRPr="00C24D50" w:rsidRDefault="00B85334" w:rsidP="00CF333B">
            <w:pPr>
              <w:pStyle w:val="TableText"/>
              <w:jc w:val="center"/>
            </w:pPr>
            <w:r>
              <w:t>---</w:t>
            </w:r>
          </w:p>
        </w:tc>
      </w:tr>
    </w:tbl>
    <w:p w14:paraId="2F1F3E2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7127ABA" w14:textId="77777777" w:rsidTr="00237C22">
        <w:tc>
          <w:tcPr>
            <w:tcW w:w="1728" w:type="dxa"/>
          </w:tcPr>
          <w:p w14:paraId="5CA019A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5054AC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AFB018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3021E2" w14:textId="77777777" w:rsidTr="00237C22">
        <w:tc>
          <w:tcPr>
            <w:tcW w:w="1728" w:type="dxa"/>
          </w:tcPr>
          <w:p w14:paraId="6A761DE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0656DB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790D1B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84DBF18" w14:textId="77777777" w:rsidTr="00237C22">
        <w:tc>
          <w:tcPr>
            <w:tcW w:w="1728" w:type="dxa"/>
          </w:tcPr>
          <w:p w14:paraId="09CA21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A76611D" w14:textId="77777777" w:rsidR="00504F80" w:rsidRPr="00B4163A" w:rsidRDefault="00504F80" w:rsidP="00237C22">
            <w:pPr>
              <w:pStyle w:val="BlockText"/>
            </w:pPr>
          </w:p>
          <w:p w14:paraId="1A785A2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6280C2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966D032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9A8C6A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5DEA6EA" w14:textId="77777777" w:rsidTr="00237C22">
        <w:tc>
          <w:tcPr>
            <w:tcW w:w="1728" w:type="dxa"/>
          </w:tcPr>
          <w:p w14:paraId="5AD99A5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9037CF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9B630E8" w14:textId="65CC43D9" w:rsidR="00504F80" w:rsidRDefault="008C73FC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AG4AdABTAGUAdABGAG8AbgB0AFMAZQB0AEYAbwBuAHQAUwBlAHQARgBvAG4AdABTAGUAdABpAG0A
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AG4AdABTAGUAdABGAG8AbgB0AFMAZQB0AEYAbwBuAHQAUwBlAHQARgBvAG4AdABTAGUAdABpAG0A
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3DD0" w14:textId="77777777" w:rsidR="00FC6379" w:rsidRDefault="00FC6379" w:rsidP="00C765C7">
      <w:r>
        <w:separator/>
      </w:r>
    </w:p>
  </w:endnote>
  <w:endnote w:type="continuationSeparator" w:id="0">
    <w:p w14:paraId="7A70346E" w14:textId="77777777" w:rsidR="00FC6379" w:rsidRDefault="00FC637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AE2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80C6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D2F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3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379F13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FC37" w14:textId="77777777" w:rsidR="00FC6379" w:rsidRDefault="00FC6379" w:rsidP="00C765C7">
      <w:r>
        <w:separator/>
      </w:r>
    </w:p>
  </w:footnote>
  <w:footnote w:type="continuationSeparator" w:id="0">
    <w:p w14:paraId="0C67AA59" w14:textId="77777777" w:rsidR="00FC6379" w:rsidRDefault="00FC637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8FE"/>
    <w:multiLevelType w:val="hybridMultilevel"/>
    <w:tmpl w:val="27067CB2"/>
    <w:lvl w:ilvl="0" w:tplc="F6884C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2DFA"/>
    <w:multiLevelType w:val="hybridMultilevel"/>
    <w:tmpl w:val="22BA7D84"/>
    <w:lvl w:ilvl="0" w:tplc="F6884C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BF56EA"/>
    <w:multiLevelType w:val="hybridMultilevel"/>
    <w:tmpl w:val="3FA4EB5A"/>
    <w:lvl w:ilvl="0" w:tplc="A668959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39076E"/>
    <w:multiLevelType w:val="hybridMultilevel"/>
    <w:tmpl w:val="50BEFE12"/>
    <w:lvl w:ilvl="0" w:tplc="F6884C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19233C"/>
    <w:multiLevelType w:val="hybridMultilevel"/>
    <w:tmpl w:val="CD7CB06E"/>
    <w:lvl w:ilvl="0" w:tplc="F6884C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DB1B84"/>
    <w:multiLevelType w:val="hybridMultilevel"/>
    <w:tmpl w:val="035670F6"/>
    <w:lvl w:ilvl="0" w:tplc="D8C242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FontSetFontSetFontSetFontSetimistyles.xml"/>
  </w:docVars>
  <w:rsids>
    <w:rsidRoot w:val="00AF1C11"/>
    <w:rsid w:val="00002A1E"/>
    <w:rsid w:val="00011157"/>
    <w:rsid w:val="00014A89"/>
    <w:rsid w:val="000252C6"/>
    <w:rsid w:val="000256FB"/>
    <w:rsid w:val="00032152"/>
    <w:rsid w:val="00032A55"/>
    <w:rsid w:val="00033622"/>
    <w:rsid w:val="00043146"/>
    <w:rsid w:val="00075F01"/>
    <w:rsid w:val="00093228"/>
    <w:rsid w:val="000A3223"/>
    <w:rsid w:val="000A7776"/>
    <w:rsid w:val="000B2853"/>
    <w:rsid w:val="000C7B8D"/>
    <w:rsid w:val="000F1FD2"/>
    <w:rsid w:val="000F618B"/>
    <w:rsid w:val="00100433"/>
    <w:rsid w:val="0010215F"/>
    <w:rsid w:val="00106EEF"/>
    <w:rsid w:val="00117B00"/>
    <w:rsid w:val="00123973"/>
    <w:rsid w:val="001253ED"/>
    <w:rsid w:val="00186D46"/>
    <w:rsid w:val="001B6F46"/>
    <w:rsid w:val="001C3AE3"/>
    <w:rsid w:val="001C3EB5"/>
    <w:rsid w:val="002041BE"/>
    <w:rsid w:val="00237C22"/>
    <w:rsid w:val="00240624"/>
    <w:rsid w:val="002B52D3"/>
    <w:rsid w:val="002B7A7E"/>
    <w:rsid w:val="002E0825"/>
    <w:rsid w:val="002E6E5F"/>
    <w:rsid w:val="002F5B21"/>
    <w:rsid w:val="002F7397"/>
    <w:rsid w:val="00332B80"/>
    <w:rsid w:val="00332E41"/>
    <w:rsid w:val="00341981"/>
    <w:rsid w:val="00365D1A"/>
    <w:rsid w:val="00366D36"/>
    <w:rsid w:val="00375505"/>
    <w:rsid w:val="00386999"/>
    <w:rsid w:val="00386E9D"/>
    <w:rsid w:val="003903B0"/>
    <w:rsid w:val="00396462"/>
    <w:rsid w:val="003B2927"/>
    <w:rsid w:val="003D47AF"/>
    <w:rsid w:val="003D60AC"/>
    <w:rsid w:val="003E3930"/>
    <w:rsid w:val="003F3021"/>
    <w:rsid w:val="003F6048"/>
    <w:rsid w:val="003F672A"/>
    <w:rsid w:val="00401EAD"/>
    <w:rsid w:val="0040340F"/>
    <w:rsid w:val="0040351B"/>
    <w:rsid w:val="0041026E"/>
    <w:rsid w:val="00421403"/>
    <w:rsid w:val="00422836"/>
    <w:rsid w:val="00424F66"/>
    <w:rsid w:val="00435BA5"/>
    <w:rsid w:val="00450FD6"/>
    <w:rsid w:val="00455EF7"/>
    <w:rsid w:val="004562CC"/>
    <w:rsid w:val="00471ECA"/>
    <w:rsid w:val="004742CA"/>
    <w:rsid w:val="00482FA3"/>
    <w:rsid w:val="0048559D"/>
    <w:rsid w:val="0049168D"/>
    <w:rsid w:val="00493706"/>
    <w:rsid w:val="00494175"/>
    <w:rsid w:val="004A1D50"/>
    <w:rsid w:val="004C39EA"/>
    <w:rsid w:val="004C7499"/>
    <w:rsid w:val="004F375E"/>
    <w:rsid w:val="00504F80"/>
    <w:rsid w:val="00506485"/>
    <w:rsid w:val="00513DA7"/>
    <w:rsid w:val="00516C82"/>
    <w:rsid w:val="00524C3E"/>
    <w:rsid w:val="00547E45"/>
    <w:rsid w:val="00563EF2"/>
    <w:rsid w:val="005774EF"/>
    <w:rsid w:val="00594258"/>
    <w:rsid w:val="005C03C3"/>
    <w:rsid w:val="005D510E"/>
    <w:rsid w:val="005E4363"/>
    <w:rsid w:val="00600DC7"/>
    <w:rsid w:val="00604737"/>
    <w:rsid w:val="00616845"/>
    <w:rsid w:val="0062068D"/>
    <w:rsid w:val="00621BFD"/>
    <w:rsid w:val="00626F1E"/>
    <w:rsid w:val="006317AA"/>
    <w:rsid w:val="006433D0"/>
    <w:rsid w:val="00643EA7"/>
    <w:rsid w:val="006473C3"/>
    <w:rsid w:val="00660988"/>
    <w:rsid w:val="006708D7"/>
    <w:rsid w:val="00671738"/>
    <w:rsid w:val="00674E37"/>
    <w:rsid w:val="006837E0"/>
    <w:rsid w:val="00683E5B"/>
    <w:rsid w:val="006900B6"/>
    <w:rsid w:val="006B1CC2"/>
    <w:rsid w:val="006B209C"/>
    <w:rsid w:val="006B7262"/>
    <w:rsid w:val="006C3E5F"/>
    <w:rsid w:val="006C48FF"/>
    <w:rsid w:val="006D10E5"/>
    <w:rsid w:val="006D52FE"/>
    <w:rsid w:val="006F6D37"/>
    <w:rsid w:val="00705500"/>
    <w:rsid w:val="00722E48"/>
    <w:rsid w:val="0072347C"/>
    <w:rsid w:val="00724248"/>
    <w:rsid w:val="00732186"/>
    <w:rsid w:val="00737049"/>
    <w:rsid w:val="00757F71"/>
    <w:rsid w:val="00783337"/>
    <w:rsid w:val="007A0C5F"/>
    <w:rsid w:val="007C04DF"/>
    <w:rsid w:val="007D5B97"/>
    <w:rsid w:val="007E5515"/>
    <w:rsid w:val="007F2749"/>
    <w:rsid w:val="0080590C"/>
    <w:rsid w:val="00810B2C"/>
    <w:rsid w:val="008127BA"/>
    <w:rsid w:val="008144E7"/>
    <w:rsid w:val="00822A16"/>
    <w:rsid w:val="00840713"/>
    <w:rsid w:val="0086475B"/>
    <w:rsid w:val="00875AFA"/>
    <w:rsid w:val="0088609E"/>
    <w:rsid w:val="008A2B85"/>
    <w:rsid w:val="008B3363"/>
    <w:rsid w:val="008B4CB5"/>
    <w:rsid w:val="008C723F"/>
    <w:rsid w:val="008C73FC"/>
    <w:rsid w:val="008D12C3"/>
    <w:rsid w:val="008D458B"/>
    <w:rsid w:val="008E22CF"/>
    <w:rsid w:val="008E5824"/>
    <w:rsid w:val="008E589A"/>
    <w:rsid w:val="008F0486"/>
    <w:rsid w:val="008F14EA"/>
    <w:rsid w:val="008F1D5B"/>
    <w:rsid w:val="00916AE6"/>
    <w:rsid w:val="00932637"/>
    <w:rsid w:val="00933BDB"/>
    <w:rsid w:val="00945950"/>
    <w:rsid w:val="009618EA"/>
    <w:rsid w:val="009707F3"/>
    <w:rsid w:val="009769CD"/>
    <w:rsid w:val="00993142"/>
    <w:rsid w:val="00997D98"/>
    <w:rsid w:val="009E6E1A"/>
    <w:rsid w:val="00A31105"/>
    <w:rsid w:val="00A315CB"/>
    <w:rsid w:val="00A3579D"/>
    <w:rsid w:val="00A52D4C"/>
    <w:rsid w:val="00A55356"/>
    <w:rsid w:val="00A554B5"/>
    <w:rsid w:val="00A557BB"/>
    <w:rsid w:val="00A6522C"/>
    <w:rsid w:val="00A65AB7"/>
    <w:rsid w:val="00A8510D"/>
    <w:rsid w:val="00A8520D"/>
    <w:rsid w:val="00A86BBC"/>
    <w:rsid w:val="00A912DC"/>
    <w:rsid w:val="00A975EB"/>
    <w:rsid w:val="00AB6A4A"/>
    <w:rsid w:val="00AC2993"/>
    <w:rsid w:val="00AE69BF"/>
    <w:rsid w:val="00AF1C11"/>
    <w:rsid w:val="00AF2CD6"/>
    <w:rsid w:val="00B11996"/>
    <w:rsid w:val="00B16C6B"/>
    <w:rsid w:val="00B221F7"/>
    <w:rsid w:val="00B30D2F"/>
    <w:rsid w:val="00B3729D"/>
    <w:rsid w:val="00B50AD7"/>
    <w:rsid w:val="00B85334"/>
    <w:rsid w:val="00B93A3C"/>
    <w:rsid w:val="00B96287"/>
    <w:rsid w:val="00BB3345"/>
    <w:rsid w:val="00BC2B9D"/>
    <w:rsid w:val="00BF2D11"/>
    <w:rsid w:val="00BF7FE3"/>
    <w:rsid w:val="00C10120"/>
    <w:rsid w:val="00C10D8B"/>
    <w:rsid w:val="00C152C8"/>
    <w:rsid w:val="00C24D50"/>
    <w:rsid w:val="00C25054"/>
    <w:rsid w:val="00C31657"/>
    <w:rsid w:val="00C743DF"/>
    <w:rsid w:val="00C765C7"/>
    <w:rsid w:val="00CB0E83"/>
    <w:rsid w:val="00CB429F"/>
    <w:rsid w:val="00CD2D08"/>
    <w:rsid w:val="00CE3984"/>
    <w:rsid w:val="00CF333B"/>
    <w:rsid w:val="00D33A6E"/>
    <w:rsid w:val="00D36508"/>
    <w:rsid w:val="00D57B91"/>
    <w:rsid w:val="00D61497"/>
    <w:rsid w:val="00D77146"/>
    <w:rsid w:val="00D823AF"/>
    <w:rsid w:val="00D9207B"/>
    <w:rsid w:val="00D9219C"/>
    <w:rsid w:val="00DA11C2"/>
    <w:rsid w:val="00DB074F"/>
    <w:rsid w:val="00DB2902"/>
    <w:rsid w:val="00DB743E"/>
    <w:rsid w:val="00DC7DFF"/>
    <w:rsid w:val="00DE0E35"/>
    <w:rsid w:val="00DF44AC"/>
    <w:rsid w:val="00DF78C2"/>
    <w:rsid w:val="00DF7D2D"/>
    <w:rsid w:val="00E17843"/>
    <w:rsid w:val="00E2529E"/>
    <w:rsid w:val="00E3060D"/>
    <w:rsid w:val="00E35EA8"/>
    <w:rsid w:val="00E36906"/>
    <w:rsid w:val="00E555B4"/>
    <w:rsid w:val="00E648E9"/>
    <w:rsid w:val="00E840A5"/>
    <w:rsid w:val="00E923EE"/>
    <w:rsid w:val="00E924FC"/>
    <w:rsid w:val="00E930E2"/>
    <w:rsid w:val="00E94A0E"/>
    <w:rsid w:val="00E964FD"/>
    <w:rsid w:val="00EA61DF"/>
    <w:rsid w:val="00EB3737"/>
    <w:rsid w:val="00ED4D5E"/>
    <w:rsid w:val="00F006B2"/>
    <w:rsid w:val="00F04E61"/>
    <w:rsid w:val="00F43DFA"/>
    <w:rsid w:val="00F602CE"/>
    <w:rsid w:val="00F71BEE"/>
    <w:rsid w:val="00F7594A"/>
    <w:rsid w:val="00F848C3"/>
    <w:rsid w:val="00F87670"/>
    <w:rsid w:val="00F90609"/>
    <w:rsid w:val="00FA177F"/>
    <w:rsid w:val="00FB05A3"/>
    <w:rsid w:val="00FB5A3E"/>
    <w:rsid w:val="00FB5D75"/>
    <w:rsid w:val="00FB6AD1"/>
    <w:rsid w:val="00FC3580"/>
    <w:rsid w:val="00FC6379"/>
    <w:rsid w:val="00FE4DE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14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B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B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8371C-C782-4FC9-8D3E-5BEAF510570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b438dcf7-3998-4283-b7fc-0ec6fa8e430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19E7B-11B5-461D-8AC8-61437228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2014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25</cp:revision>
  <dcterms:created xsi:type="dcterms:W3CDTF">2015-03-31T12:59:00Z</dcterms:created>
  <dcterms:modified xsi:type="dcterms:W3CDTF">2015-06-04T19:20:00Z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