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4E4E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43EE4E4F" w14:textId="0138203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877F5D">
        <w:rPr>
          <w:b/>
          <w:bCs/>
          <w:sz w:val="20"/>
        </w:rPr>
        <w:t xml:space="preserve">                   </w:t>
      </w:r>
      <w:r>
        <w:rPr>
          <w:b/>
          <w:bCs/>
          <w:sz w:val="20"/>
        </w:rPr>
        <w:t xml:space="preserve"> </w:t>
      </w:r>
      <w:r w:rsidR="00877F5D">
        <w:rPr>
          <w:b/>
          <w:bCs/>
          <w:sz w:val="20"/>
        </w:rPr>
        <w:t>September 23, 2014</w:t>
      </w:r>
      <w:r>
        <w:rPr>
          <w:b/>
          <w:bCs/>
          <w:sz w:val="20"/>
        </w:rPr>
        <w:tab/>
      </w:r>
    </w:p>
    <w:p w14:paraId="43EE4E5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3EE4E51" w14:textId="77777777" w:rsidR="00504F80" w:rsidRDefault="00504F80" w:rsidP="00504F80">
      <w:pPr>
        <w:rPr>
          <w:b/>
          <w:bCs/>
          <w:sz w:val="20"/>
        </w:rPr>
      </w:pPr>
    </w:p>
    <w:p w14:paraId="43EE4E52" w14:textId="77777777" w:rsidR="00504F80" w:rsidRDefault="00504F80" w:rsidP="00504F80">
      <w:pPr>
        <w:pStyle w:val="Heading4"/>
      </w:pPr>
      <w:r>
        <w:t xml:space="preserve">Transmittal Sheet </w:t>
      </w:r>
    </w:p>
    <w:p w14:paraId="43EE4E5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3EE4E65" w14:textId="77777777" w:rsidTr="00C24D50">
        <w:tc>
          <w:tcPr>
            <w:tcW w:w="1728" w:type="dxa"/>
          </w:tcPr>
          <w:p w14:paraId="43EE4E5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3EE4E55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43EE4E5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3EE4E5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3EE4E5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43EE4E5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7F6855CA" w14:textId="29B7262C" w:rsidR="00BA1123" w:rsidRPr="00675B8D" w:rsidRDefault="00BA1123" w:rsidP="00237C22">
            <w:pPr>
              <w:pStyle w:val="BulletText2"/>
              <w:tabs>
                <w:tab w:val="num" w:pos="547"/>
              </w:tabs>
            </w:pPr>
            <w:r w:rsidRPr="00675B8D">
              <w:t>update the term “death pension” to “survivors pension”</w:t>
            </w:r>
          </w:p>
          <w:p w14:paraId="43EE4E6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43EE4E6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43EE4E64" w14:textId="77777777" w:rsidR="00504F80" w:rsidRPr="00EA3A57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</w:tc>
      </w:tr>
    </w:tbl>
    <w:p w14:paraId="43EE4E66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4"/>
        <w:gridCol w:w="2792"/>
        <w:gridCol w:w="988"/>
      </w:tblGrid>
      <w:tr w:rsidR="00C24D50" w14:paraId="43EE4E6A" w14:textId="77777777" w:rsidTr="00A14DD1">
        <w:trPr>
          <w:trHeight w:val="180"/>
        </w:trPr>
        <w:tc>
          <w:tcPr>
            <w:tcW w:w="3011" w:type="pct"/>
            <w:shd w:val="clear" w:color="auto" w:fill="auto"/>
          </w:tcPr>
          <w:p w14:paraId="43EE4E67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69" w:type="pct"/>
            <w:shd w:val="clear" w:color="auto" w:fill="auto"/>
          </w:tcPr>
          <w:p w14:paraId="43EE4E68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43EE4E69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43EE4E6E" w14:textId="77777777" w:rsidTr="00A14DD1">
        <w:trPr>
          <w:trHeight w:val="180"/>
        </w:trPr>
        <w:tc>
          <w:tcPr>
            <w:tcW w:w="3011" w:type="pct"/>
            <w:shd w:val="clear" w:color="auto" w:fill="auto"/>
          </w:tcPr>
          <w:p w14:paraId="43EE4E6B" w14:textId="0E2A105E" w:rsidR="00C24D50" w:rsidRPr="00C24D50" w:rsidRDefault="005B72C1" w:rsidP="00242EC8">
            <w:pPr>
              <w:pStyle w:val="TableText"/>
            </w:pPr>
            <w:r>
              <w:t xml:space="preserve">To </w:t>
            </w:r>
            <w:r w:rsidR="00BE7F8A">
              <w:t xml:space="preserve">direct the calculation of years of marriage </w:t>
            </w:r>
            <w:r w:rsidR="00634C25">
              <w:t xml:space="preserve">to begin on the date of marriage not the date the marriage was </w:t>
            </w:r>
            <w:r w:rsidR="00BE7F8A">
              <w:t xml:space="preserve">first recognized by </w:t>
            </w:r>
            <w:r w:rsidR="00A348FC">
              <w:t>the Department of Veterans Affairs (</w:t>
            </w:r>
            <w:r w:rsidR="00BE7F8A">
              <w:t>VA</w:t>
            </w:r>
            <w:r w:rsidR="00A348FC">
              <w:t>)</w:t>
            </w:r>
            <w:r w:rsidR="00BE7F8A">
              <w:t xml:space="preserve"> per </w:t>
            </w:r>
            <w:r w:rsidR="00A348FC">
              <w:t>the Veterans Benefits Administration (</w:t>
            </w:r>
            <w:r w:rsidR="0053006D">
              <w:t>VBA</w:t>
            </w:r>
            <w:r w:rsidR="00A348FC">
              <w:t>)</w:t>
            </w:r>
            <w:r w:rsidR="0053006D">
              <w:t xml:space="preserve"> Letter 20-14-08</w:t>
            </w:r>
            <w:r w:rsidR="00A348FC">
              <w:t xml:space="preserve">, </w:t>
            </w:r>
            <w:r w:rsidR="00A348FC" w:rsidRPr="00206C80">
              <w:rPr>
                <w:i/>
              </w:rPr>
              <w:t>Administration of Same-Sex Spousal Benefits</w:t>
            </w:r>
            <w:r>
              <w:t xml:space="preserve">. </w:t>
            </w:r>
          </w:p>
        </w:tc>
        <w:tc>
          <w:tcPr>
            <w:tcW w:w="1469" w:type="pct"/>
            <w:shd w:val="clear" w:color="auto" w:fill="auto"/>
          </w:tcPr>
          <w:p w14:paraId="62E92CEB" w14:textId="77777777" w:rsidR="00675B8D" w:rsidRDefault="00F45BF7" w:rsidP="00F45BF7">
            <w:pPr>
              <w:pStyle w:val="TableText"/>
            </w:pPr>
            <w:r>
              <w:t xml:space="preserve">M21-1MR, Part </w:t>
            </w:r>
            <w:r w:rsidR="0053006D">
              <w:t>III</w:t>
            </w:r>
            <w:r>
              <w:t xml:space="preserve">, Subpart iii, Chapter 5, Section E, Topic 21, Block b </w:t>
            </w:r>
          </w:p>
          <w:p w14:paraId="43EE4E6C" w14:textId="266D1980" w:rsidR="00C24D50" w:rsidRPr="00C24D50" w:rsidRDefault="00F45BF7" w:rsidP="00F45BF7">
            <w:pPr>
              <w:pStyle w:val="TableText"/>
            </w:pPr>
            <w:r>
              <w:t>(III.iii.5.E.21.b)</w:t>
            </w:r>
          </w:p>
        </w:tc>
        <w:tc>
          <w:tcPr>
            <w:tcW w:w="520" w:type="pct"/>
            <w:shd w:val="clear" w:color="auto" w:fill="auto"/>
          </w:tcPr>
          <w:p w14:paraId="43EE4E6D" w14:textId="06D59427" w:rsidR="00C24D50" w:rsidRDefault="00A14DD1" w:rsidP="002F7397">
            <w:pPr>
              <w:pStyle w:val="TableText"/>
            </w:pPr>
            <w:r>
              <w:t>5-E-5</w:t>
            </w:r>
          </w:p>
        </w:tc>
      </w:tr>
      <w:tr w:rsidR="00422836" w14:paraId="43EE4E72" w14:textId="77777777" w:rsidTr="00A14DD1">
        <w:trPr>
          <w:trHeight w:val="180"/>
        </w:trPr>
        <w:tc>
          <w:tcPr>
            <w:tcW w:w="3011" w:type="pct"/>
            <w:shd w:val="clear" w:color="auto" w:fill="auto"/>
          </w:tcPr>
          <w:p w14:paraId="43EE4E6F" w14:textId="3E46001A" w:rsidR="00422836" w:rsidRPr="00C24D50" w:rsidRDefault="00634C25" w:rsidP="00634C25">
            <w:pPr>
              <w:pStyle w:val="TableText"/>
            </w:pPr>
            <w:r>
              <w:t xml:space="preserve">To insert the same information as above. </w:t>
            </w:r>
          </w:p>
        </w:tc>
        <w:tc>
          <w:tcPr>
            <w:tcW w:w="1469" w:type="pct"/>
            <w:shd w:val="clear" w:color="auto" w:fill="auto"/>
          </w:tcPr>
          <w:p w14:paraId="43EE4E70" w14:textId="1C3CF998" w:rsidR="00422836" w:rsidRPr="00C24D50" w:rsidRDefault="0053006D" w:rsidP="002F7397">
            <w:pPr>
              <w:pStyle w:val="TableText"/>
            </w:pPr>
            <w:r>
              <w:t>III.iii.5.E.22.a</w:t>
            </w:r>
          </w:p>
        </w:tc>
        <w:tc>
          <w:tcPr>
            <w:tcW w:w="520" w:type="pct"/>
            <w:shd w:val="clear" w:color="auto" w:fill="auto"/>
          </w:tcPr>
          <w:p w14:paraId="43EE4E71" w14:textId="4AA1447B" w:rsidR="00422836" w:rsidRDefault="00A14DD1" w:rsidP="002F7397">
            <w:pPr>
              <w:pStyle w:val="TableText"/>
            </w:pPr>
            <w:r>
              <w:t>5-E-7</w:t>
            </w:r>
          </w:p>
        </w:tc>
      </w:tr>
      <w:tr w:rsidR="00422836" w14:paraId="43EE4E76" w14:textId="77777777" w:rsidTr="00A14DD1">
        <w:trPr>
          <w:trHeight w:val="180"/>
        </w:trPr>
        <w:tc>
          <w:tcPr>
            <w:tcW w:w="3011" w:type="pct"/>
            <w:shd w:val="clear" w:color="auto" w:fill="auto"/>
          </w:tcPr>
          <w:p w14:paraId="43EE4E73" w14:textId="1A82E6D6" w:rsidR="00422836" w:rsidRPr="00C24D50" w:rsidRDefault="00634C25" w:rsidP="002F7397">
            <w:pPr>
              <w:pStyle w:val="TableText"/>
            </w:pPr>
            <w:r>
              <w:t>To insert the same information as above.</w:t>
            </w:r>
          </w:p>
        </w:tc>
        <w:tc>
          <w:tcPr>
            <w:tcW w:w="1469" w:type="pct"/>
            <w:shd w:val="clear" w:color="auto" w:fill="auto"/>
          </w:tcPr>
          <w:p w14:paraId="43EE4E74" w14:textId="0D9D4F1F" w:rsidR="00422836" w:rsidRPr="00C24D50" w:rsidRDefault="00F45BF7" w:rsidP="002F7397">
            <w:pPr>
              <w:pStyle w:val="TableText"/>
            </w:pPr>
            <w:r>
              <w:t>III.iii.5.E.</w:t>
            </w:r>
            <w:r w:rsidR="0053006D">
              <w:t>23.b</w:t>
            </w:r>
          </w:p>
        </w:tc>
        <w:tc>
          <w:tcPr>
            <w:tcW w:w="520" w:type="pct"/>
            <w:shd w:val="clear" w:color="auto" w:fill="auto"/>
          </w:tcPr>
          <w:p w14:paraId="43EE4E75" w14:textId="27CCF1E2" w:rsidR="00422836" w:rsidRDefault="00A14DD1" w:rsidP="002F7397">
            <w:pPr>
              <w:pStyle w:val="TableText"/>
            </w:pPr>
            <w:r>
              <w:t>5-E-9</w:t>
            </w:r>
          </w:p>
        </w:tc>
      </w:tr>
      <w:tr w:rsidR="00422836" w14:paraId="43EE4E7A" w14:textId="77777777" w:rsidTr="00A14DD1">
        <w:trPr>
          <w:trHeight w:val="180"/>
        </w:trPr>
        <w:tc>
          <w:tcPr>
            <w:tcW w:w="3011" w:type="pct"/>
            <w:shd w:val="clear" w:color="auto" w:fill="auto"/>
          </w:tcPr>
          <w:p w14:paraId="43EE4E77" w14:textId="27240C84" w:rsidR="00422836" w:rsidRPr="00C24D50" w:rsidRDefault="00634C25" w:rsidP="00634C25">
            <w:pPr>
              <w:pStyle w:val="TableText"/>
            </w:pPr>
            <w:r>
              <w:t>To insert the same information as above.</w:t>
            </w:r>
          </w:p>
        </w:tc>
        <w:tc>
          <w:tcPr>
            <w:tcW w:w="1469" w:type="pct"/>
            <w:shd w:val="clear" w:color="auto" w:fill="auto"/>
          </w:tcPr>
          <w:p w14:paraId="43EE4E78" w14:textId="66F1122E" w:rsidR="00422836" w:rsidRPr="00C24D50" w:rsidRDefault="00F45BF7" w:rsidP="002F7397">
            <w:pPr>
              <w:pStyle w:val="TableText"/>
            </w:pPr>
            <w:r>
              <w:t>III.iii.5.E.</w:t>
            </w:r>
            <w:r w:rsidR="0053006D">
              <w:t>23.c</w:t>
            </w:r>
          </w:p>
        </w:tc>
        <w:tc>
          <w:tcPr>
            <w:tcW w:w="520" w:type="pct"/>
            <w:shd w:val="clear" w:color="auto" w:fill="auto"/>
          </w:tcPr>
          <w:p w14:paraId="43EE4E79" w14:textId="7C6844B6" w:rsidR="00422836" w:rsidRDefault="00A14DD1" w:rsidP="002F7397">
            <w:pPr>
              <w:pStyle w:val="TableText"/>
            </w:pPr>
            <w:r>
              <w:t>5-E-10</w:t>
            </w:r>
          </w:p>
        </w:tc>
      </w:tr>
      <w:tr w:rsidR="00422836" w14:paraId="43EE4E7E" w14:textId="77777777" w:rsidTr="00A14DD1">
        <w:trPr>
          <w:trHeight w:val="180"/>
        </w:trPr>
        <w:tc>
          <w:tcPr>
            <w:tcW w:w="3011" w:type="pct"/>
            <w:shd w:val="clear" w:color="auto" w:fill="auto"/>
          </w:tcPr>
          <w:p w14:paraId="43EE4E7B" w14:textId="673F37CB" w:rsidR="00422836" w:rsidRPr="00C24D50" w:rsidRDefault="0053006D" w:rsidP="00933BDB">
            <w:pPr>
              <w:pStyle w:val="TableText"/>
            </w:pPr>
            <w:r>
              <w:t>To replace “husband and wife” with “spouse</w:t>
            </w:r>
            <w:r w:rsidR="00F77204">
              <w:t>s</w:t>
            </w:r>
            <w:r>
              <w:t>.”</w:t>
            </w:r>
          </w:p>
        </w:tc>
        <w:tc>
          <w:tcPr>
            <w:tcW w:w="1469" w:type="pct"/>
            <w:shd w:val="clear" w:color="auto" w:fill="auto"/>
          </w:tcPr>
          <w:p w14:paraId="43EE4E7C" w14:textId="49535836" w:rsidR="00422836" w:rsidRPr="00C24D50" w:rsidRDefault="00F45BF7" w:rsidP="00933BDB">
            <w:pPr>
              <w:pStyle w:val="TableText"/>
            </w:pPr>
            <w:r>
              <w:t>III.iii.5.E.</w:t>
            </w:r>
            <w:r w:rsidR="0053006D">
              <w:t>25.a</w:t>
            </w:r>
          </w:p>
        </w:tc>
        <w:tc>
          <w:tcPr>
            <w:tcW w:w="520" w:type="pct"/>
            <w:shd w:val="clear" w:color="auto" w:fill="auto"/>
          </w:tcPr>
          <w:p w14:paraId="43EE4E7D" w14:textId="4721039C" w:rsidR="00422836" w:rsidRDefault="00A14DD1" w:rsidP="00933BDB">
            <w:pPr>
              <w:pStyle w:val="TableText"/>
            </w:pPr>
            <w:r>
              <w:t>5-E-13</w:t>
            </w:r>
          </w:p>
        </w:tc>
      </w:tr>
      <w:tr w:rsidR="00422836" w14:paraId="43EE4E82" w14:textId="77777777" w:rsidTr="00A14DD1">
        <w:trPr>
          <w:trHeight w:val="180"/>
        </w:trPr>
        <w:tc>
          <w:tcPr>
            <w:tcW w:w="3011" w:type="pct"/>
            <w:shd w:val="clear" w:color="auto" w:fill="auto"/>
          </w:tcPr>
          <w:p w14:paraId="2E35723D" w14:textId="77777777" w:rsidR="00422836" w:rsidRDefault="00634C25" w:rsidP="00A14DD1">
            <w:pPr>
              <w:pStyle w:val="BulletText1"/>
            </w:pPr>
            <w:r w:rsidRPr="00634C25">
              <w:t>To direct the calculation of years of marriage to begin on the date of marriage not the date the marriage was first recognized by VA per VBA Letter 20-14-08.</w:t>
            </w:r>
          </w:p>
          <w:p w14:paraId="43EE4E7F" w14:textId="183BB4A8" w:rsidR="00A14DD1" w:rsidRPr="00C24D50" w:rsidRDefault="00A14DD1" w:rsidP="00675B8D">
            <w:pPr>
              <w:pStyle w:val="BulletText1"/>
            </w:pPr>
            <w:r w:rsidRPr="00A14DD1">
              <w:t xml:space="preserve">To ensure that when a deemed valid marriage determination of a same-sex marriage is required the </w:t>
            </w:r>
            <w:r w:rsidR="00675B8D">
              <w:t xml:space="preserve">regional office </w:t>
            </w:r>
            <w:r w:rsidRPr="00A14DD1">
              <w:t>seeks assistance from the Regional Counsel per VBA Letter 20-14-08.</w:t>
            </w:r>
          </w:p>
        </w:tc>
        <w:tc>
          <w:tcPr>
            <w:tcW w:w="1469" w:type="pct"/>
            <w:shd w:val="clear" w:color="auto" w:fill="auto"/>
          </w:tcPr>
          <w:p w14:paraId="43EE4E80" w14:textId="1D6BDFDE" w:rsidR="00422836" w:rsidRPr="00C24D50" w:rsidRDefault="00F45BF7" w:rsidP="00933BDB">
            <w:pPr>
              <w:pStyle w:val="TableText"/>
            </w:pPr>
            <w:r>
              <w:t>III.iii.5.E.</w:t>
            </w:r>
            <w:r w:rsidR="0053006D">
              <w:t>26.b</w:t>
            </w:r>
          </w:p>
        </w:tc>
        <w:tc>
          <w:tcPr>
            <w:tcW w:w="520" w:type="pct"/>
            <w:shd w:val="clear" w:color="auto" w:fill="auto"/>
          </w:tcPr>
          <w:p w14:paraId="43EE4E81" w14:textId="58945D80" w:rsidR="00422836" w:rsidRDefault="00A14DD1" w:rsidP="00933BDB">
            <w:pPr>
              <w:pStyle w:val="TableText"/>
            </w:pPr>
            <w:r>
              <w:t>5-E-18</w:t>
            </w:r>
          </w:p>
        </w:tc>
      </w:tr>
    </w:tbl>
    <w:p w14:paraId="43EE4E8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3EE4E92" w14:textId="77777777" w:rsidTr="00237C22">
        <w:tc>
          <w:tcPr>
            <w:tcW w:w="1728" w:type="dxa"/>
          </w:tcPr>
          <w:p w14:paraId="43EE4E9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3EE4E9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3EE4E9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3EE4E96" w14:textId="77777777" w:rsidTr="00237C22">
        <w:tc>
          <w:tcPr>
            <w:tcW w:w="1728" w:type="dxa"/>
          </w:tcPr>
          <w:p w14:paraId="43EE4E9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3EE4E9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3EE4E97" w14:textId="0CE35CA5" w:rsidR="00504F80" w:rsidRDefault="00504F80" w:rsidP="00504F80">
      <w:pPr>
        <w:pStyle w:val="ContinuedOnNextPa"/>
      </w:pPr>
      <w:r w:rsidRPr="00B4163A">
        <w:t xml:space="preserve"> </w:t>
      </w:r>
    </w:p>
    <w:p w14:paraId="0965E8A2" w14:textId="259A354B" w:rsidR="00A8697F" w:rsidRDefault="00A8697F">
      <w:r>
        <w:br w:type="page"/>
      </w:r>
    </w:p>
    <w:p w14:paraId="27FB38B1" w14:textId="15AD5436" w:rsidR="00A8697F" w:rsidRDefault="00675B8D" w:rsidP="00A8697F">
      <w:pPr>
        <w:pStyle w:val="MapTitleContinued"/>
        <w:rPr>
          <w:b w:val="0"/>
          <w:sz w:val="24"/>
        </w:rPr>
      </w:pPr>
      <w:fldSimple w:instr=" STYLEREF &quot;Map Title&quot; ">
        <w:r w:rsidR="00B81F7B">
          <w:rPr>
            <w:noProof/>
          </w:rPr>
          <w:t>Transmittal Sheet</w:t>
        </w:r>
      </w:fldSimple>
      <w:r w:rsidR="00A8697F" w:rsidRPr="00A8697F">
        <w:t xml:space="preserve">, </w:t>
      </w:r>
      <w:r w:rsidR="00A8697F" w:rsidRPr="00A8697F">
        <w:rPr>
          <w:b w:val="0"/>
          <w:sz w:val="24"/>
        </w:rPr>
        <w:t>Continued</w:t>
      </w:r>
    </w:p>
    <w:p w14:paraId="35846905" w14:textId="77777777" w:rsidR="00A8697F" w:rsidRPr="00A8697F" w:rsidRDefault="00A8697F" w:rsidP="00A8697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3EE4E9D" w14:textId="77777777" w:rsidTr="00237C22">
        <w:tc>
          <w:tcPr>
            <w:tcW w:w="1728" w:type="dxa"/>
          </w:tcPr>
          <w:p w14:paraId="43EE4E9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3EE4E99" w14:textId="77777777" w:rsidR="00504F80" w:rsidRPr="00B4163A" w:rsidRDefault="00504F80" w:rsidP="00237C22">
            <w:pPr>
              <w:pStyle w:val="BlockText"/>
            </w:pPr>
          </w:p>
          <w:p w14:paraId="43EE4E9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3EE4E9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3EE4E9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3EE4E9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3EE4EA1" w14:textId="77777777" w:rsidTr="00237C22">
        <w:tc>
          <w:tcPr>
            <w:tcW w:w="1728" w:type="dxa"/>
          </w:tcPr>
          <w:p w14:paraId="43EE4E9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3EE4EA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3EE4EA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3EE4EA3" w14:textId="5BA4B9B1" w:rsidR="007D5B97" w:rsidRDefault="00206C8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877F5D">
        <w:fldChar w:fldCharType="begin">
          <w:fldData xml:space="preserve">RABvAGMAVABlAG0AcAAxAFYAYQByAFQAcgBhAGQAaQB0AGkAbwBuAGEAbAA=
</w:fldData>
        </w:fldChar>
      </w:r>
      <w:r w:rsidR="00877F5D">
        <w:instrText xml:space="preserve"> ADDIN  \* MERGEFORMAT </w:instrText>
      </w:r>
      <w:r w:rsidR="00877F5D">
        <w:fldChar w:fldCharType="end"/>
      </w:r>
      <w:r w:rsidR="00877F5D">
        <w:fldChar w:fldCharType="begin">
          <w:fldData xml:space="preserve">RgBvAG4AdABTAGUAdABGAG8AbgB0AFMAZQB0AGkAbQBpAHMAdAB5AGwAZQBzAC4AeABtAGwA
</w:fldData>
        </w:fldChar>
      </w:r>
      <w:r w:rsidR="00877F5D">
        <w:instrText xml:space="preserve"> ADDIN  \* MERGEFORMAT </w:instrText>
      </w:r>
      <w:r w:rsidR="00877F5D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E4EA6" w14:textId="77777777" w:rsidR="00145F52" w:rsidRDefault="00145F52" w:rsidP="00C765C7">
      <w:r>
        <w:separator/>
      </w:r>
    </w:p>
  </w:endnote>
  <w:endnote w:type="continuationSeparator" w:id="0">
    <w:p w14:paraId="43EE4EA7" w14:textId="77777777" w:rsidR="00145F52" w:rsidRDefault="00145F5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4EA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E4EA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E4EA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F5D">
      <w:rPr>
        <w:rStyle w:val="PageNumber"/>
        <w:noProof/>
      </w:rPr>
      <w:t>ii</w:t>
    </w:r>
    <w:r>
      <w:rPr>
        <w:rStyle w:val="PageNumber"/>
      </w:rPr>
      <w:fldChar w:fldCharType="end"/>
    </w:r>
  </w:p>
  <w:p w14:paraId="43EE4EA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E4EA4" w14:textId="77777777" w:rsidR="00145F52" w:rsidRDefault="00145F52" w:rsidP="00C765C7">
      <w:r>
        <w:separator/>
      </w:r>
    </w:p>
  </w:footnote>
  <w:footnote w:type="continuationSeparator" w:id="0">
    <w:p w14:paraId="43EE4EA5" w14:textId="77777777" w:rsidR="00145F52" w:rsidRDefault="00145F5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pt;height:12pt" o:bullet="t">
        <v:imagedata r:id="rId1" o:title="fspro_2columns"/>
      </v:shape>
    </w:pict>
  </w:numPicBullet>
  <w:numPicBullet w:numPicBulletId="1">
    <w:pict>
      <v:shape id="_x0000_i1076" type="#_x0000_t75" style="width:12pt;height:12pt" o:bullet="t">
        <v:imagedata r:id="rId2" o:title="advanced"/>
      </v:shape>
    </w:pict>
  </w:numPicBullet>
  <w:numPicBullet w:numPicBulletId="2">
    <w:pict>
      <v:shape id="_x0000_i1077" type="#_x0000_t75" style="width:12pt;height:12pt" o:bullet="t">
        <v:imagedata r:id="rId3" o:title="continue"/>
      </v:shape>
    </w:pict>
  </w:numPicBullet>
  <w:numPicBullet w:numPicBulletId="3">
    <w:pict>
      <v:shape id="_x0000_i1078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0919"/>
    <w:rsid w:val="0010215F"/>
    <w:rsid w:val="00106EEF"/>
    <w:rsid w:val="00123973"/>
    <w:rsid w:val="001253ED"/>
    <w:rsid w:val="00145F52"/>
    <w:rsid w:val="00186D46"/>
    <w:rsid w:val="001C3AE3"/>
    <w:rsid w:val="001C3EB5"/>
    <w:rsid w:val="002041BE"/>
    <w:rsid w:val="00206C80"/>
    <w:rsid w:val="00232180"/>
    <w:rsid w:val="00237C22"/>
    <w:rsid w:val="00240624"/>
    <w:rsid w:val="00242EC8"/>
    <w:rsid w:val="002B7A7E"/>
    <w:rsid w:val="002F5B21"/>
    <w:rsid w:val="002F7397"/>
    <w:rsid w:val="00332B80"/>
    <w:rsid w:val="00341981"/>
    <w:rsid w:val="00366D36"/>
    <w:rsid w:val="00371362"/>
    <w:rsid w:val="00386999"/>
    <w:rsid w:val="003978D3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051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3006D"/>
    <w:rsid w:val="00594258"/>
    <w:rsid w:val="005B72C1"/>
    <w:rsid w:val="005E4363"/>
    <w:rsid w:val="005F109C"/>
    <w:rsid w:val="00600DC7"/>
    <w:rsid w:val="0062068D"/>
    <w:rsid w:val="006317AA"/>
    <w:rsid w:val="00634C25"/>
    <w:rsid w:val="006473C3"/>
    <w:rsid w:val="006708D7"/>
    <w:rsid w:val="00675B8D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6621F"/>
    <w:rsid w:val="00875AFA"/>
    <w:rsid w:val="00877F5D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A01BF"/>
    <w:rsid w:val="009E6E1A"/>
    <w:rsid w:val="00A14DD1"/>
    <w:rsid w:val="00A315CB"/>
    <w:rsid w:val="00A348FC"/>
    <w:rsid w:val="00A3579D"/>
    <w:rsid w:val="00A55356"/>
    <w:rsid w:val="00A557BB"/>
    <w:rsid w:val="00A7760F"/>
    <w:rsid w:val="00A8520D"/>
    <w:rsid w:val="00A8697F"/>
    <w:rsid w:val="00AC2993"/>
    <w:rsid w:val="00AF2CD6"/>
    <w:rsid w:val="00B30D2F"/>
    <w:rsid w:val="00B50AD7"/>
    <w:rsid w:val="00B64F2F"/>
    <w:rsid w:val="00B81F7B"/>
    <w:rsid w:val="00B93A3C"/>
    <w:rsid w:val="00B96287"/>
    <w:rsid w:val="00BA1123"/>
    <w:rsid w:val="00BB3345"/>
    <w:rsid w:val="00BE7F8A"/>
    <w:rsid w:val="00BF7FE3"/>
    <w:rsid w:val="00C00636"/>
    <w:rsid w:val="00C24D5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1E72"/>
    <w:rsid w:val="00E964FD"/>
    <w:rsid w:val="00ED4D5E"/>
    <w:rsid w:val="00F006B2"/>
    <w:rsid w:val="00F43DFA"/>
    <w:rsid w:val="00F45BF7"/>
    <w:rsid w:val="00F77204"/>
    <w:rsid w:val="00F87670"/>
    <w:rsid w:val="00F90609"/>
    <w:rsid w:val="00F97CCC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E4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F7C53-D995-4181-83EB-9954A68E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26</cp:revision>
  <cp:lastPrinted>2014-09-15T12:51:00Z</cp:lastPrinted>
  <dcterms:created xsi:type="dcterms:W3CDTF">2014-09-09T17:37:00Z</dcterms:created>
  <dcterms:modified xsi:type="dcterms:W3CDTF">2014-09-25T11:59:00Z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