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DAFA0" w14:textId="6D1E77D1" w:rsidR="00504F80" w:rsidRPr="00282E71" w:rsidRDefault="00504F80" w:rsidP="00504F80">
      <w:pPr>
        <w:pStyle w:val="Heading4"/>
        <w:tabs>
          <w:tab w:val="left" w:pos="6840"/>
        </w:tabs>
        <w:spacing w:after="0"/>
        <w:ind w:right="-720"/>
        <w:rPr>
          <w:rFonts w:ascii="Times New Roman" w:hAnsi="Times New Roman"/>
          <w:sz w:val="20"/>
        </w:rPr>
      </w:pPr>
      <w:r w:rsidRPr="00282E71">
        <w:rPr>
          <w:rFonts w:ascii="Times New Roman" w:hAnsi="Times New Roman"/>
          <w:sz w:val="20"/>
        </w:rPr>
        <w:t>Department of Veterans Affairs</w:t>
      </w:r>
      <w:bookmarkStart w:id="0" w:name="_GoBack"/>
      <w:bookmarkEnd w:id="0"/>
      <w:r w:rsidRPr="00282E71">
        <w:rPr>
          <w:rFonts w:ascii="Times New Roman" w:hAnsi="Times New Roman"/>
          <w:sz w:val="20"/>
        </w:rPr>
        <w:tab/>
        <w:t xml:space="preserve">M21-1, Part </w:t>
      </w:r>
      <w:r w:rsidR="00945950" w:rsidRPr="00282E71">
        <w:rPr>
          <w:rFonts w:ascii="Times New Roman" w:hAnsi="Times New Roman"/>
          <w:sz w:val="20"/>
        </w:rPr>
        <w:t>III</w:t>
      </w:r>
      <w:r w:rsidRPr="00282E71">
        <w:rPr>
          <w:rFonts w:ascii="Times New Roman" w:hAnsi="Times New Roman"/>
          <w:sz w:val="20"/>
        </w:rPr>
        <w:t xml:space="preserve">, Subpart </w:t>
      </w:r>
      <w:r w:rsidR="00945950" w:rsidRPr="00282E71">
        <w:rPr>
          <w:rFonts w:ascii="Times New Roman" w:hAnsi="Times New Roman"/>
          <w:sz w:val="20"/>
        </w:rPr>
        <w:t>ii</w:t>
      </w:r>
      <w:r w:rsidRPr="00282E71">
        <w:rPr>
          <w:rFonts w:ascii="Times New Roman" w:hAnsi="Times New Roman"/>
          <w:sz w:val="20"/>
        </w:rPr>
        <w:t>i</w:t>
      </w:r>
    </w:p>
    <w:p w14:paraId="65DDAFA1" w14:textId="77EB9ACC" w:rsidR="00504F80" w:rsidRPr="00282E71" w:rsidRDefault="00504F80" w:rsidP="00504F80">
      <w:pPr>
        <w:rPr>
          <w:b/>
          <w:bCs/>
          <w:sz w:val="20"/>
        </w:rPr>
      </w:pPr>
      <w:r w:rsidRPr="00282E71">
        <w:rPr>
          <w:b/>
          <w:bCs/>
          <w:sz w:val="20"/>
        </w:rPr>
        <w:t>Veterans Benefits Administration</w:t>
      </w:r>
      <w:r w:rsidRPr="00282E71">
        <w:rPr>
          <w:b/>
          <w:bCs/>
          <w:sz w:val="20"/>
        </w:rPr>
        <w:tab/>
      </w:r>
      <w:r w:rsidRPr="00282E71">
        <w:rPr>
          <w:b/>
          <w:bCs/>
          <w:sz w:val="20"/>
        </w:rPr>
        <w:tab/>
      </w:r>
      <w:r w:rsidRPr="00282E71">
        <w:rPr>
          <w:b/>
          <w:bCs/>
          <w:sz w:val="20"/>
        </w:rPr>
        <w:tab/>
      </w:r>
      <w:r w:rsidRPr="00282E71">
        <w:rPr>
          <w:b/>
          <w:bCs/>
          <w:sz w:val="20"/>
        </w:rPr>
        <w:tab/>
      </w:r>
      <w:r w:rsidRPr="00282E71">
        <w:rPr>
          <w:b/>
          <w:bCs/>
          <w:sz w:val="20"/>
        </w:rPr>
        <w:tab/>
      </w:r>
      <w:r w:rsidRPr="00282E71">
        <w:rPr>
          <w:b/>
          <w:bCs/>
          <w:sz w:val="20"/>
        </w:rPr>
        <w:tab/>
      </w:r>
      <w:r w:rsidR="00BC17D3" w:rsidRPr="00282E71">
        <w:rPr>
          <w:b/>
          <w:bCs/>
          <w:sz w:val="20"/>
        </w:rPr>
        <w:t xml:space="preserve">                                 June 8, 2015</w:t>
      </w:r>
      <w:r w:rsidRPr="00282E71">
        <w:rPr>
          <w:b/>
          <w:bCs/>
          <w:sz w:val="20"/>
        </w:rPr>
        <w:tab/>
      </w:r>
    </w:p>
    <w:p w14:paraId="65DDAFA2" w14:textId="77777777" w:rsidR="00504F80" w:rsidRPr="00282E71" w:rsidRDefault="00504F80" w:rsidP="00504F80">
      <w:pPr>
        <w:rPr>
          <w:b/>
          <w:bCs/>
          <w:sz w:val="20"/>
        </w:rPr>
      </w:pPr>
      <w:r w:rsidRPr="00282E71">
        <w:rPr>
          <w:b/>
          <w:bCs/>
          <w:sz w:val="20"/>
        </w:rPr>
        <w:t>Washington, DC  20420</w:t>
      </w:r>
    </w:p>
    <w:p w14:paraId="65DDAFA3" w14:textId="77777777" w:rsidR="00504F80" w:rsidRPr="00282E71" w:rsidRDefault="00504F80" w:rsidP="00504F80">
      <w:pPr>
        <w:rPr>
          <w:b/>
          <w:bCs/>
          <w:sz w:val="20"/>
        </w:rPr>
      </w:pPr>
    </w:p>
    <w:p w14:paraId="65DDAFA4" w14:textId="77777777" w:rsidR="00504F80" w:rsidRPr="00282E71" w:rsidRDefault="00504F80" w:rsidP="00504F80">
      <w:pPr>
        <w:pStyle w:val="Heading4"/>
      </w:pPr>
      <w:r w:rsidRPr="00282E71">
        <w:t xml:space="preserve">Transmittal Sheet </w:t>
      </w:r>
    </w:p>
    <w:p w14:paraId="65DDAFA5" w14:textId="77777777" w:rsidR="00504F80" w:rsidRPr="00282E71" w:rsidRDefault="00504F80" w:rsidP="00504F80">
      <w:pPr>
        <w:pStyle w:val="BlockLine"/>
      </w:pPr>
      <w:r w:rsidRPr="00282E71">
        <w:t xml:space="preserve"> </w:t>
      </w:r>
    </w:p>
    <w:tbl>
      <w:tblPr>
        <w:tblW w:w="9468" w:type="dxa"/>
        <w:tblLayout w:type="fixed"/>
        <w:tblLook w:val="0000" w:firstRow="0" w:lastRow="0" w:firstColumn="0" w:lastColumn="0" w:noHBand="0" w:noVBand="0"/>
      </w:tblPr>
      <w:tblGrid>
        <w:gridCol w:w="1728"/>
        <w:gridCol w:w="7740"/>
      </w:tblGrid>
      <w:tr w:rsidR="00504F80" w:rsidRPr="00282E71" w14:paraId="65DDAFB3" w14:textId="77777777" w:rsidTr="00C24D50">
        <w:tc>
          <w:tcPr>
            <w:tcW w:w="1728" w:type="dxa"/>
          </w:tcPr>
          <w:p w14:paraId="65DDAFA6" w14:textId="77777777" w:rsidR="00504F80" w:rsidRPr="00282E71" w:rsidRDefault="00504F80" w:rsidP="00237C22">
            <w:pPr>
              <w:pStyle w:val="Heading5"/>
            </w:pPr>
            <w:r w:rsidRPr="00282E71">
              <w:t>Changes Included in This Revision</w:t>
            </w:r>
          </w:p>
        </w:tc>
        <w:tc>
          <w:tcPr>
            <w:tcW w:w="7740" w:type="dxa"/>
          </w:tcPr>
          <w:p w14:paraId="65DDAFA7" w14:textId="013AE6E2" w:rsidR="00504F80" w:rsidRPr="00282E71" w:rsidRDefault="00504F80" w:rsidP="00237C22">
            <w:pPr>
              <w:pStyle w:val="BlockText"/>
            </w:pPr>
            <w:r w:rsidRPr="00282E71">
              <w:t xml:space="preserve">The table below describes the changes included in this revision of Veterans Benefits Manual M21-1, Part </w:t>
            </w:r>
            <w:r w:rsidR="00BB3345" w:rsidRPr="00282E71">
              <w:t>III</w:t>
            </w:r>
            <w:r w:rsidRPr="00282E71">
              <w:t>, “</w:t>
            </w:r>
            <w:r w:rsidR="00BB3345" w:rsidRPr="00282E71">
              <w:t>General Claims Process</w:t>
            </w:r>
            <w:r w:rsidRPr="00282E71">
              <w:t xml:space="preserve">,” Subpart </w:t>
            </w:r>
            <w:r w:rsidR="00BB3345" w:rsidRPr="00282E71">
              <w:t>ii</w:t>
            </w:r>
            <w:r w:rsidRPr="00282E71">
              <w:t>i, “</w:t>
            </w:r>
            <w:r w:rsidR="00BB3345" w:rsidRPr="00282E71">
              <w:t xml:space="preserve">General </w:t>
            </w:r>
            <w:r w:rsidRPr="00282E71">
              <w:t>Development</w:t>
            </w:r>
            <w:r w:rsidR="00BB3345" w:rsidRPr="00282E71">
              <w:t xml:space="preserve"> and Dependency Issues</w:t>
            </w:r>
            <w:r w:rsidRPr="00282E71">
              <w:t>.”</w:t>
            </w:r>
          </w:p>
          <w:p w14:paraId="65DDAFA8" w14:textId="77777777" w:rsidR="00504F80" w:rsidRPr="00282E71" w:rsidRDefault="00504F80" w:rsidP="00237C22">
            <w:pPr>
              <w:pStyle w:val="BulletText1"/>
              <w:numPr>
                <w:ilvl w:val="0"/>
                <w:numId w:val="0"/>
              </w:numPr>
            </w:pPr>
          </w:p>
          <w:p w14:paraId="65DDAFA9" w14:textId="77777777" w:rsidR="00504F80" w:rsidRPr="00282E71" w:rsidRDefault="00504F80" w:rsidP="00237C22">
            <w:pPr>
              <w:pStyle w:val="BulletText1"/>
              <w:numPr>
                <w:ilvl w:val="0"/>
                <w:numId w:val="0"/>
              </w:numPr>
            </w:pPr>
            <w:r w:rsidRPr="00282E71">
              <w:rPr>
                <w:b/>
                <w:i/>
              </w:rPr>
              <w:t>Notes</w:t>
            </w:r>
            <w:r w:rsidRPr="00282E71">
              <w:t xml:space="preserve">:  </w:t>
            </w:r>
          </w:p>
          <w:p w14:paraId="65DDAFAA" w14:textId="77777777" w:rsidR="00504F80" w:rsidRPr="00282E71" w:rsidRDefault="00504F80" w:rsidP="00237C22">
            <w:pPr>
              <w:pStyle w:val="BulletText1"/>
            </w:pPr>
            <w:r w:rsidRPr="00282E71">
              <w:t>The term regional office (RO) also includes pension management center (PMC)</w:t>
            </w:r>
            <w:r w:rsidR="00C24D50" w:rsidRPr="00282E71">
              <w:t>, where appropriate</w:t>
            </w:r>
            <w:r w:rsidRPr="00282E71">
              <w:t>.</w:t>
            </w:r>
          </w:p>
          <w:p w14:paraId="65DDAFAB" w14:textId="77777777" w:rsidR="00504F80" w:rsidRPr="00282E71" w:rsidRDefault="00504F80" w:rsidP="00C24D50">
            <w:pPr>
              <w:pStyle w:val="BulletText1"/>
            </w:pPr>
            <w:r w:rsidRPr="00282E71">
              <w:t xml:space="preserve">Minor editorial changes have also been made to </w:t>
            </w:r>
          </w:p>
          <w:p w14:paraId="65DDAFAC" w14:textId="77777777" w:rsidR="00504F80" w:rsidRPr="00282E71" w:rsidRDefault="00504F80" w:rsidP="00237C22">
            <w:pPr>
              <w:pStyle w:val="BulletText2"/>
              <w:tabs>
                <w:tab w:val="num" w:pos="547"/>
              </w:tabs>
            </w:pPr>
            <w:r w:rsidRPr="00282E71">
              <w:t>update incorrect or obsolete hyperlink references</w:t>
            </w:r>
          </w:p>
          <w:p w14:paraId="65DDAFAD" w14:textId="77777777" w:rsidR="00E3060D" w:rsidRPr="00282E71" w:rsidRDefault="00E3060D" w:rsidP="00237C22">
            <w:pPr>
              <w:pStyle w:val="BulletText2"/>
              <w:tabs>
                <w:tab w:val="num" w:pos="547"/>
              </w:tabs>
            </w:pPr>
            <w:r w:rsidRPr="00282E71">
              <w:t>reorganize the alphabetical designations assigned to individual blocks to account for deleted or combined blocks</w:t>
            </w:r>
          </w:p>
          <w:p w14:paraId="65DDAFAE" w14:textId="77777777" w:rsidR="00F71BEE" w:rsidRPr="00282E71" w:rsidRDefault="00F71BEE" w:rsidP="00237C22">
            <w:pPr>
              <w:pStyle w:val="BulletText2"/>
              <w:tabs>
                <w:tab w:val="num" w:pos="547"/>
              </w:tabs>
            </w:pPr>
            <w:r w:rsidRPr="00282E71">
              <w:t>replace “factual dependency” with “financial dependency”</w:t>
            </w:r>
          </w:p>
          <w:p w14:paraId="65DDAFAF" w14:textId="77777777" w:rsidR="00504F80" w:rsidRPr="00282E71" w:rsidRDefault="00504F80" w:rsidP="00237C22">
            <w:pPr>
              <w:pStyle w:val="BulletText2"/>
              <w:tabs>
                <w:tab w:val="num" w:pos="547"/>
              </w:tabs>
            </w:pPr>
            <w:r w:rsidRPr="00282E71">
              <w:t>update obsolete terminology, where appropriate</w:t>
            </w:r>
          </w:p>
          <w:p w14:paraId="65DDAFB0" w14:textId="77777777" w:rsidR="00A557BB" w:rsidRPr="00282E71" w:rsidRDefault="00A557BB" w:rsidP="00237C22">
            <w:pPr>
              <w:pStyle w:val="BulletText2"/>
              <w:tabs>
                <w:tab w:val="num" w:pos="547"/>
              </w:tabs>
            </w:pPr>
            <w:r w:rsidRPr="00282E71">
              <w:t>update section and topic titles to more accurately reflect their content</w:t>
            </w:r>
          </w:p>
          <w:p w14:paraId="65DDAFB1" w14:textId="77777777" w:rsidR="00504F80" w:rsidRPr="00282E71" w:rsidRDefault="00504F80" w:rsidP="00237C22">
            <w:pPr>
              <w:pStyle w:val="BulletText2"/>
              <w:tabs>
                <w:tab w:val="num" w:pos="547"/>
              </w:tabs>
            </w:pPr>
            <w:r w:rsidRPr="00282E71">
              <w:t xml:space="preserve">clarify </w:t>
            </w:r>
            <w:r w:rsidR="002041BE" w:rsidRPr="00282E71">
              <w:t>b</w:t>
            </w:r>
            <w:r w:rsidR="00D61497" w:rsidRPr="00282E71">
              <w:t xml:space="preserve">lock labels and/or </w:t>
            </w:r>
            <w:r w:rsidR="002041BE" w:rsidRPr="00282E71">
              <w:t>b</w:t>
            </w:r>
            <w:r w:rsidRPr="00282E71">
              <w:t xml:space="preserve">lock text, and </w:t>
            </w:r>
          </w:p>
          <w:p w14:paraId="65DDAFB2" w14:textId="2AF4FF3C" w:rsidR="00504F80" w:rsidRPr="00282E71" w:rsidRDefault="00504F80" w:rsidP="00237C22">
            <w:pPr>
              <w:pStyle w:val="BulletText2"/>
            </w:pPr>
            <w:r w:rsidRPr="00282E71">
              <w:t>bring the documen</w:t>
            </w:r>
            <w:r w:rsidR="00E35EA8" w:rsidRPr="00282E71">
              <w:t>ts into conformance with M21-1</w:t>
            </w:r>
            <w:r w:rsidRPr="00282E71">
              <w:t xml:space="preserve"> standards.</w:t>
            </w:r>
          </w:p>
        </w:tc>
      </w:tr>
    </w:tbl>
    <w:p w14:paraId="65DDAFB4" w14:textId="77777777" w:rsidR="00C24D50" w:rsidRPr="00282E71" w:rsidRDefault="00C24D50" w:rsidP="00C24D50"/>
    <w:tbl>
      <w:tblPr>
        <w:tblW w:w="93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54"/>
        <w:gridCol w:w="2070"/>
      </w:tblGrid>
      <w:tr w:rsidR="00E555B4" w:rsidRPr="00282E71" w14:paraId="65DDAFB8" w14:textId="77777777" w:rsidTr="003D60AC">
        <w:trPr>
          <w:trHeight w:val="180"/>
        </w:trPr>
        <w:tc>
          <w:tcPr>
            <w:tcW w:w="3890" w:type="pct"/>
            <w:shd w:val="clear" w:color="auto" w:fill="auto"/>
          </w:tcPr>
          <w:p w14:paraId="65DDAFB5" w14:textId="77777777" w:rsidR="00E555B4" w:rsidRPr="00282E71" w:rsidRDefault="00E555B4" w:rsidP="002F7397">
            <w:pPr>
              <w:pStyle w:val="TableHeaderText"/>
            </w:pPr>
            <w:r w:rsidRPr="00282E71">
              <w:t>Reason(s) for the Change</w:t>
            </w:r>
          </w:p>
        </w:tc>
        <w:tc>
          <w:tcPr>
            <w:tcW w:w="1110" w:type="pct"/>
            <w:shd w:val="clear" w:color="auto" w:fill="auto"/>
          </w:tcPr>
          <w:p w14:paraId="65DDAFB6" w14:textId="77777777" w:rsidR="00E555B4" w:rsidRPr="00282E71" w:rsidRDefault="00E555B4" w:rsidP="002F7397">
            <w:pPr>
              <w:pStyle w:val="TableHeaderText"/>
            </w:pPr>
            <w:r w:rsidRPr="00282E71">
              <w:t>Citation</w:t>
            </w:r>
          </w:p>
        </w:tc>
      </w:tr>
      <w:tr w:rsidR="00125E5F" w:rsidRPr="00282E71" w14:paraId="0D90FB94" w14:textId="77777777" w:rsidTr="003D60AC">
        <w:trPr>
          <w:trHeight w:val="180"/>
        </w:trPr>
        <w:tc>
          <w:tcPr>
            <w:tcW w:w="3890" w:type="pct"/>
            <w:shd w:val="clear" w:color="auto" w:fill="auto"/>
          </w:tcPr>
          <w:p w14:paraId="15CB5D73" w14:textId="4D9E84CD" w:rsidR="00125E5F" w:rsidRPr="00282E71" w:rsidRDefault="00125E5F" w:rsidP="004906E8">
            <w:pPr>
              <w:pStyle w:val="BulletText1"/>
              <w:numPr>
                <w:ilvl w:val="0"/>
                <w:numId w:val="0"/>
              </w:numPr>
            </w:pPr>
            <w:r w:rsidRPr="00282E71">
              <w:t xml:space="preserve">To move information </w:t>
            </w:r>
            <w:r w:rsidR="004906E8" w:rsidRPr="00282E71">
              <w:t xml:space="preserve">about whom the Department of Veterans Affairs (VA) may recognize as a Veteran’s dependent, which was </w:t>
            </w:r>
            <w:r w:rsidRPr="00282E71">
              <w:t>previously found in M21-1, Part III, Subpart iii, Chapter 5, Section A, Topic 1, Block b (III.iii.5.A.1.b)</w:t>
            </w:r>
            <w:r w:rsidR="004906E8" w:rsidRPr="00282E71">
              <w:t>,</w:t>
            </w:r>
            <w:r w:rsidRPr="00282E71">
              <w:t xml:space="preserve"> to a more logical location.</w:t>
            </w:r>
          </w:p>
        </w:tc>
        <w:tc>
          <w:tcPr>
            <w:tcW w:w="1110" w:type="pct"/>
            <w:shd w:val="clear" w:color="auto" w:fill="auto"/>
          </w:tcPr>
          <w:p w14:paraId="67BC9FEA" w14:textId="77777777" w:rsidR="008A46E2" w:rsidRPr="00282E71" w:rsidRDefault="001F38B7" w:rsidP="001F38B7">
            <w:pPr>
              <w:pStyle w:val="TableText"/>
            </w:pPr>
            <w:r w:rsidRPr="00282E71">
              <w:t xml:space="preserve">M21-1, Part III, Subpart iii, Chapter 5, Section A, Topic 1, Block a </w:t>
            </w:r>
          </w:p>
          <w:p w14:paraId="6FA77A2A" w14:textId="77777777" w:rsidR="008A46E2" w:rsidRPr="00282E71" w:rsidRDefault="008A46E2" w:rsidP="001F38B7">
            <w:pPr>
              <w:pStyle w:val="TableText"/>
            </w:pPr>
          </w:p>
          <w:p w14:paraId="35CCD194" w14:textId="4A4FBA36" w:rsidR="00125E5F" w:rsidRPr="00282E71" w:rsidRDefault="001F38B7" w:rsidP="001F38B7">
            <w:pPr>
              <w:pStyle w:val="TableText"/>
            </w:pPr>
            <w:r w:rsidRPr="00282E71">
              <w:t>(</w:t>
            </w:r>
            <w:r w:rsidR="00125E5F" w:rsidRPr="00282E71">
              <w:t>III.iii.5.A.1.a</w:t>
            </w:r>
            <w:r w:rsidRPr="00282E71">
              <w:t>)</w:t>
            </w:r>
          </w:p>
        </w:tc>
      </w:tr>
      <w:tr w:rsidR="00E555B4" w:rsidRPr="00282E71" w14:paraId="768906F0" w14:textId="77777777" w:rsidTr="003D60AC">
        <w:trPr>
          <w:trHeight w:val="180"/>
        </w:trPr>
        <w:tc>
          <w:tcPr>
            <w:tcW w:w="3890" w:type="pct"/>
            <w:shd w:val="clear" w:color="auto" w:fill="auto"/>
          </w:tcPr>
          <w:p w14:paraId="7367F270" w14:textId="1127655B" w:rsidR="00E555B4" w:rsidRPr="00282E71" w:rsidRDefault="00E555B4" w:rsidP="00E555B4">
            <w:pPr>
              <w:pStyle w:val="BulletText1"/>
            </w:pPr>
            <w:r w:rsidRPr="00282E71">
              <w:t>To relocate information</w:t>
            </w:r>
            <w:r w:rsidR="004906E8" w:rsidRPr="00282E71">
              <w:t xml:space="preserve"> about VA benefits payable to or for a parent</w:t>
            </w:r>
            <w:r w:rsidRPr="00282E71">
              <w:t xml:space="preserve"> </w:t>
            </w:r>
            <w:r w:rsidR="004906E8" w:rsidRPr="00282E71">
              <w:t xml:space="preserve">from </w:t>
            </w:r>
            <w:r w:rsidRPr="00282E71">
              <w:t>III.iii.5.A.1.d.</w:t>
            </w:r>
          </w:p>
          <w:p w14:paraId="67A88083" w14:textId="75CCB103" w:rsidR="00E555B4" w:rsidRPr="00282E71" w:rsidRDefault="00E555B4" w:rsidP="00E555B4">
            <w:pPr>
              <w:pStyle w:val="BulletText1"/>
            </w:pPr>
            <w:r w:rsidRPr="00282E71">
              <w:t>To remove reference to Parents’ Death Compensation, as there are no parents currently receiving this benefit.</w:t>
            </w:r>
          </w:p>
        </w:tc>
        <w:tc>
          <w:tcPr>
            <w:tcW w:w="1110" w:type="pct"/>
            <w:shd w:val="clear" w:color="auto" w:fill="auto"/>
          </w:tcPr>
          <w:p w14:paraId="46570F82" w14:textId="4BF6150E" w:rsidR="00E555B4" w:rsidRPr="00282E71" w:rsidRDefault="00E555B4" w:rsidP="002F7397">
            <w:pPr>
              <w:pStyle w:val="TableText"/>
            </w:pPr>
            <w:r w:rsidRPr="00282E71">
              <w:t>III.iii.5.A.1.e</w:t>
            </w:r>
          </w:p>
        </w:tc>
      </w:tr>
      <w:tr w:rsidR="00E555B4" w:rsidRPr="00282E71" w14:paraId="65DDAFC2" w14:textId="77777777" w:rsidTr="003D60AC">
        <w:trPr>
          <w:trHeight w:val="180"/>
        </w:trPr>
        <w:tc>
          <w:tcPr>
            <w:tcW w:w="3890" w:type="pct"/>
            <w:shd w:val="clear" w:color="auto" w:fill="auto"/>
          </w:tcPr>
          <w:p w14:paraId="65DDAFBE" w14:textId="197B3E20" w:rsidR="00E555B4" w:rsidRPr="00282E71" w:rsidRDefault="00E555B4" w:rsidP="00B221F7">
            <w:pPr>
              <w:pStyle w:val="BulletText1"/>
            </w:pPr>
            <w:r w:rsidRPr="00282E71">
              <w:t xml:space="preserve">To remove </w:t>
            </w:r>
            <w:r w:rsidR="00BC2B9D" w:rsidRPr="00282E71">
              <w:t>an</w:t>
            </w:r>
            <w:r w:rsidRPr="00282E71">
              <w:t xml:space="preserve"> example</w:t>
            </w:r>
            <w:r w:rsidR="00BC2B9D" w:rsidRPr="00282E71">
              <w:t xml:space="preserve"> that</w:t>
            </w:r>
            <w:r w:rsidRPr="00282E71">
              <w:t xml:space="preserve"> incorrectly implied documentary evidence is required to establish the existence of a relationship between a Veteran and his/her spouse or child.</w:t>
            </w:r>
          </w:p>
          <w:p w14:paraId="65DDAFBF" w14:textId="77777777" w:rsidR="00E555B4" w:rsidRPr="00282E71" w:rsidRDefault="00E555B4" w:rsidP="00E17843">
            <w:pPr>
              <w:pStyle w:val="BulletText1"/>
            </w:pPr>
            <w:r w:rsidRPr="00282E71">
              <w:t>To state that information of record regarding a beneficiary’s marital status or the status of his/her dependents is valid for up to eight years from the date VA receives it.</w:t>
            </w:r>
          </w:p>
        </w:tc>
        <w:tc>
          <w:tcPr>
            <w:tcW w:w="1110" w:type="pct"/>
            <w:shd w:val="clear" w:color="auto" w:fill="auto"/>
          </w:tcPr>
          <w:p w14:paraId="65DDAFC0" w14:textId="77777777" w:rsidR="00E555B4" w:rsidRPr="00282E71" w:rsidRDefault="00E555B4" w:rsidP="002F7397">
            <w:pPr>
              <w:pStyle w:val="TableText"/>
            </w:pPr>
            <w:r w:rsidRPr="00282E71">
              <w:t>III.iii.5.A.1.f</w:t>
            </w:r>
          </w:p>
        </w:tc>
      </w:tr>
      <w:tr w:rsidR="00E555B4" w:rsidRPr="00282E71" w14:paraId="65DDAFC6" w14:textId="77777777" w:rsidTr="003D60AC">
        <w:trPr>
          <w:trHeight w:val="180"/>
        </w:trPr>
        <w:tc>
          <w:tcPr>
            <w:tcW w:w="3890" w:type="pct"/>
            <w:shd w:val="clear" w:color="auto" w:fill="auto"/>
          </w:tcPr>
          <w:p w14:paraId="65DDAFC3" w14:textId="77777777" w:rsidR="00E555B4" w:rsidRPr="00282E71" w:rsidRDefault="00E555B4" w:rsidP="002F7397">
            <w:pPr>
              <w:pStyle w:val="TableText"/>
            </w:pPr>
            <w:r w:rsidRPr="00282E71">
              <w:t>To state that any necessary development action to determine the number of dependents a claimant has and/or to obtain additional evidence or information to establish the existence of a relationship between the claimant and his/her dependent(s) should be undertaken upon receipt of a pre-discharge claim.</w:t>
            </w:r>
          </w:p>
        </w:tc>
        <w:tc>
          <w:tcPr>
            <w:tcW w:w="1110" w:type="pct"/>
            <w:shd w:val="clear" w:color="auto" w:fill="auto"/>
          </w:tcPr>
          <w:p w14:paraId="65DDAFC4" w14:textId="77777777" w:rsidR="00E555B4" w:rsidRPr="00282E71" w:rsidRDefault="00E555B4" w:rsidP="002F7397">
            <w:pPr>
              <w:pStyle w:val="TableText"/>
            </w:pPr>
            <w:r w:rsidRPr="00282E71">
              <w:t>III.iii.5.A.1.h</w:t>
            </w:r>
          </w:p>
        </w:tc>
      </w:tr>
      <w:tr w:rsidR="00E555B4" w:rsidRPr="00282E71" w14:paraId="65DDAFD5" w14:textId="77777777" w:rsidTr="003D60AC">
        <w:trPr>
          <w:trHeight w:val="180"/>
        </w:trPr>
        <w:tc>
          <w:tcPr>
            <w:tcW w:w="3890" w:type="pct"/>
            <w:shd w:val="clear" w:color="auto" w:fill="auto"/>
          </w:tcPr>
          <w:p w14:paraId="65DDAFD1" w14:textId="77777777" w:rsidR="00E555B4" w:rsidRPr="00282E71" w:rsidRDefault="00E555B4" w:rsidP="00E17843">
            <w:pPr>
              <w:pStyle w:val="BulletText1"/>
            </w:pPr>
            <w:r w:rsidRPr="00282E71">
              <w:t xml:space="preserve">To remove information that could lead readers to overdevelop claims </w:t>
            </w:r>
            <w:r w:rsidRPr="00282E71">
              <w:lastRenderedPageBreak/>
              <w:t>for additional benefits for a dependent.</w:t>
            </w:r>
          </w:p>
          <w:p w14:paraId="65DDAFD2" w14:textId="7721628C" w:rsidR="00E555B4" w:rsidRPr="00282E71" w:rsidRDefault="00E555B4" w:rsidP="001315E1">
            <w:pPr>
              <w:pStyle w:val="BulletText1"/>
            </w:pPr>
            <w:r w:rsidRPr="00282E71">
              <w:t xml:space="preserve">To emphasize that </w:t>
            </w:r>
            <w:r w:rsidR="009B7508" w:rsidRPr="00282E71">
              <w:t>regional offices (</w:t>
            </w:r>
            <w:r w:rsidRPr="00282E71">
              <w:t>ROs</w:t>
            </w:r>
            <w:r w:rsidR="009B7508" w:rsidRPr="00282E71">
              <w:t>)</w:t>
            </w:r>
            <w:r w:rsidRPr="00282E71">
              <w:t xml:space="preserve"> </w:t>
            </w:r>
            <w:r w:rsidR="001315E1" w:rsidRPr="00282E71">
              <w:t>may</w:t>
            </w:r>
            <w:r w:rsidRPr="00282E71">
              <w:t xml:space="preserve"> process most claims for additional benefits for dependents </w:t>
            </w:r>
            <w:r w:rsidRPr="00282E71">
              <w:rPr>
                <w:i/>
              </w:rPr>
              <w:t>without</w:t>
            </w:r>
            <w:r w:rsidRPr="00282E71">
              <w:t xml:space="preserve"> review of the claims folder.</w:t>
            </w:r>
          </w:p>
        </w:tc>
        <w:tc>
          <w:tcPr>
            <w:tcW w:w="1110" w:type="pct"/>
            <w:shd w:val="clear" w:color="auto" w:fill="auto"/>
          </w:tcPr>
          <w:p w14:paraId="65DDAFD3" w14:textId="77777777" w:rsidR="00E555B4" w:rsidRPr="00282E71" w:rsidRDefault="00E555B4" w:rsidP="00933BDB">
            <w:pPr>
              <w:pStyle w:val="TableText"/>
            </w:pPr>
            <w:r w:rsidRPr="00282E71">
              <w:lastRenderedPageBreak/>
              <w:t>III.iii.5.A.2.b</w:t>
            </w:r>
          </w:p>
        </w:tc>
      </w:tr>
      <w:tr w:rsidR="00E555B4" w:rsidRPr="00282E71" w14:paraId="47443620" w14:textId="77777777" w:rsidTr="003D60AC">
        <w:trPr>
          <w:trHeight w:val="180"/>
        </w:trPr>
        <w:tc>
          <w:tcPr>
            <w:tcW w:w="3890" w:type="pct"/>
            <w:shd w:val="clear" w:color="auto" w:fill="auto"/>
          </w:tcPr>
          <w:p w14:paraId="4FAACE76" w14:textId="58D28607" w:rsidR="00E555B4" w:rsidRPr="00282E71" w:rsidRDefault="00E555B4" w:rsidP="00365D1A">
            <w:pPr>
              <w:pStyle w:val="TableText"/>
            </w:pPr>
            <w:r w:rsidRPr="00282E71">
              <w:lastRenderedPageBreak/>
              <w:t xml:space="preserve">To delete the </w:t>
            </w:r>
            <w:r w:rsidRPr="00282E71">
              <w:rPr>
                <w:i/>
              </w:rPr>
              <w:t>additional</w:t>
            </w:r>
            <w:r w:rsidRPr="00282E71">
              <w:t xml:space="preserve"> examples of questions of fact, as the block already contains one example that is clear and adequate.</w:t>
            </w:r>
          </w:p>
        </w:tc>
        <w:tc>
          <w:tcPr>
            <w:tcW w:w="1110" w:type="pct"/>
            <w:shd w:val="clear" w:color="auto" w:fill="auto"/>
          </w:tcPr>
          <w:p w14:paraId="66BF7748" w14:textId="0048FC18" w:rsidR="00E555B4" w:rsidRPr="00282E71" w:rsidRDefault="00E555B4" w:rsidP="00933BDB">
            <w:pPr>
              <w:pStyle w:val="TableText"/>
            </w:pPr>
            <w:r w:rsidRPr="00282E71">
              <w:t>III.iii.5.A.3.a</w:t>
            </w:r>
          </w:p>
        </w:tc>
      </w:tr>
      <w:tr w:rsidR="00E555B4" w:rsidRPr="00282E71" w14:paraId="65DDAFD9" w14:textId="77777777" w:rsidTr="003D60AC">
        <w:trPr>
          <w:trHeight w:val="180"/>
        </w:trPr>
        <w:tc>
          <w:tcPr>
            <w:tcW w:w="3890" w:type="pct"/>
            <w:shd w:val="clear" w:color="auto" w:fill="auto"/>
          </w:tcPr>
          <w:p w14:paraId="65DDAFD6" w14:textId="77777777" w:rsidR="00E555B4" w:rsidRPr="00282E71" w:rsidRDefault="00E555B4" w:rsidP="00933BDB">
            <w:pPr>
              <w:pStyle w:val="TableText"/>
            </w:pPr>
            <w:r w:rsidRPr="00282E71">
              <w:t>To add instructions for submitting a request for a legal opinion to Regional Counsel when an RO is processing the corresponding claim in a paperless environment.</w:t>
            </w:r>
          </w:p>
        </w:tc>
        <w:tc>
          <w:tcPr>
            <w:tcW w:w="1110" w:type="pct"/>
            <w:shd w:val="clear" w:color="auto" w:fill="auto"/>
          </w:tcPr>
          <w:p w14:paraId="65DDAFD7" w14:textId="77777777" w:rsidR="00E555B4" w:rsidRPr="00282E71" w:rsidRDefault="00E555B4" w:rsidP="00933BDB">
            <w:pPr>
              <w:pStyle w:val="TableText"/>
            </w:pPr>
            <w:r w:rsidRPr="00282E71">
              <w:t>III.iii.5.A.3.e</w:t>
            </w:r>
          </w:p>
        </w:tc>
      </w:tr>
      <w:tr w:rsidR="00E555B4" w:rsidRPr="00282E71" w14:paraId="65DDAFDD" w14:textId="77777777" w:rsidTr="003D60AC">
        <w:trPr>
          <w:trHeight w:val="180"/>
        </w:trPr>
        <w:tc>
          <w:tcPr>
            <w:tcW w:w="3890" w:type="pct"/>
            <w:shd w:val="clear" w:color="auto" w:fill="auto"/>
          </w:tcPr>
          <w:p w14:paraId="2664108D" w14:textId="66BB95BA" w:rsidR="00E555B4" w:rsidRPr="00282E71" w:rsidRDefault="001315E1" w:rsidP="002F7CFB">
            <w:pPr>
              <w:pStyle w:val="BulletText1"/>
            </w:pPr>
            <w:r w:rsidRPr="00282E71">
              <w:t>To delete instructions to contact a claimant by telephone, e-mail, or fax for the purpose of obtaining information that a claimant failed to enter on a prescribed form.</w:t>
            </w:r>
          </w:p>
          <w:p w14:paraId="67DBAE10" w14:textId="77777777" w:rsidR="002F7CFB" w:rsidRPr="00282E71" w:rsidRDefault="002F7CFB" w:rsidP="002F7CFB">
            <w:pPr>
              <w:pStyle w:val="BulletText1"/>
            </w:pPr>
            <w:r w:rsidRPr="00282E71">
              <w:t>To add the following as forms a claimant may use to initiate the process of adding a dependent to his/her award:</w:t>
            </w:r>
          </w:p>
          <w:p w14:paraId="51EF5C7A" w14:textId="77777777" w:rsidR="002F7CFB" w:rsidRPr="00282E71" w:rsidRDefault="002F7CFB" w:rsidP="002F7CFB">
            <w:pPr>
              <w:pStyle w:val="BulletText2"/>
            </w:pPr>
            <w:r w:rsidRPr="00282E71">
              <w:rPr>
                <w:i/>
              </w:rPr>
              <w:t>VA Form 21P-509, Statement of Dependency of Parent(s)</w:t>
            </w:r>
            <w:r w:rsidRPr="00282E71">
              <w:t>, and</w:t>
            </w:r>
          </w:p>
          <w:p w14:paraId="65DDAFDA" w14:textId="08EADF83" w:rsidR="00836404" w:rsidRPr="00282E71" w:rsidRDefault="00836404" w:rsidP="00EF3B8E">
            <w:pPr>
              <w:pStyle w:val="BulletText2"/>
            </w:pPr>
            <w:r w:rsidRPr="00282E71">
              <w:rPr>
                <w:i/>
              </w:rPr>
              <w:t>VA Form 21-0538, Status of Dependents Questionnaire</w:t>
            </w:r>
            <w:r w:rsidRPr="00282E71">
              <w:t>.</w:t>
            </w:r>
          </w:p>
        </w:tc>
        <w:tc>
          <w:tcPr>
            <w:tcW w:w="1110" w:type="pct"/>
            <w:shd w:val="clear" w:color="auto" w:fill="auto"/>
          </w:tcPr>
          <w:p w14:paraId="65DDAFDB" w14:textId="395DEF5D" w:rsidR="00E555B4" w:rsidRPr="00282E71" w:rsidRDefault="001315E1" w:rsidP="00933BDB">
            <w:pPr>
              <w:pStyle w:val="TableText"/>
            </w:pPr>
            <w:r w:rsidRPr="00282E71">
              <w:t>III.iii.5.A.4.a</w:t>
            </w:r>
          </w:p>
        </w:tc>
      </w:tr>
      <w:tr w:rsidR="001315E1" w:rsidRPr="00282E71" w14:paraId="03D61630" w14:textId="77777777" w:rsidTr="003D60AC">
        <w:trPr>
          <w:trHeight w:val="180"/>
        </w:trPr>
        <w:tc>
          <w:tcPr>
            <w:tcW w:w="3890" w:type="pct"/>
            <w:shd w:val="clear" w:color="auto" w:fill="auto"/>
          </w:tcPr>
          <w:p w14:paraId="5C9ABCB0" w14:textId="471DF319" w:rsidR="001315E1" w:rsidRPr="00282E71" w:rsidRDefault="001315E1" w:rsidP="001315E1">
            <w:pPr>
              <w:pStyle w:val="TableText"/>
            </w:pPr>
            <w:r w:rsidRPr="00282E71">
              <w:t>To add a block that discusses how to handle forms that are incomplete.</w:t>
            </w:r>
          </w:p>
        </w:tc>
        <w:tc>
          <w:tcPr>
            <w:tcW w:w="1110" w:type="pct"/>
            <w:shd w:val="clear" w:color="auto" w:fill="auto"/>
          </w:tcPr>
          <w:p w14:paraId="3745979C" w14:textId="6303E0BE" w:rsidR="001315E1" w:rsidRPr="00282E71" w:rsidRDefault="001315E1" w:rsidP="00933BDB">
            <w:pPr>
              <w:pStyle w:val="TableText"/>
            </w:pPr>
            <w:r w:rsidRPr="00282E71">
              <w:t>III.iii.5.A.4.b</w:t>
            </w:r>
          </w:p>
        </w:tc>
      </w:tr>
      <w:tr w:rsidR="00E555B4" w:rsidRPr="00282E71" w14:paraId="65DDAFE1" w14:textId="77777777" w:rsidTr="003D60AC">
        <w:trPr>
          <w:trHeight w:val="180"/>
        </w:trPr>
        <w:tc>
          <w:tcPr>
            <w:tcW w:w="3890" w:type="pct"/>
            <w:shd w:val="clear" w:color="auto" w:fill="auto"/>
          </w:tcPr>
          <w:p w14:paraId="65DDAFDE" w14:textId="73359E1F" w:rsidR="00E555B4" w:rsidRPr="00282E71" w:rsidRDefault="00410AD3" w:rsidP="00252D21">
            <w:pPr>
              <w:pStyle w:val="TableText"/>
            </w:pPr>
            <w:r w:rsidRPr="00282E71">
              <w:t xml:space="preserve">To </w:t>
            </w:r>
            <w:r w:rsidR="002A2E05" w:rsidRPr="00282E71">
              <w:t>move</w:t>
            </w:r>
            <w:r w:rsidRPr="00282E71">
              <w:t xml:space="preserve"> information about </w:t>
            </w:r>
            <w:r w:rsidR="002A2E05" w:rsidRPr="00282E71">
              <w:t xml:space="preserve">contacting a claimant by telephone from III.iii.5.A.4.a to </w:t>
            </w:r>
            <w:r w:rsidR="00252D21" w:rsidRPr="00282E71">
              <w:t>its own, separate block.</w:t>
            </w:r>
          </w:p>
        </w:tc>
        <w:tc>
          <w:tcPr>
            <w:tcW w:w="1110" w:type="pct"/>
            <w:shd w:val="clear" w:color="auto" w:fill="auto"/>
          </w:tcPr>
          <w:p w14:paraId="65DDAFDF" w14:textId="19BB6A2D" w:rsidR="00E555B4" w:rsidRPr="00282E71" w:rsidRDefault="002A2E05" w:rsidP="00933BDB">
            <w:pPr>
              <w:pStyle w:val="TableText"/>
            </w:pPr>
            <w:r w:rsidRPr="00282E71">
              <w:t>III.iii.5.A.</w:t>
            </w:r>
            <w:r w:rsidR="00252D21" w:rsidRPr="00282E71">
              <w:t>4.c</w:t>
            </w:r>
          </w:p>
        </w:tc>
      </w:tr>
      <w:tr w:rsidR="00E555B4" w:rsidRPr="00282E71" w14:paraId="65DDAFE5" w14:textId="77777777" w:rsidTr="003D60AC">
        <w:trPr>
          <w:trHeight w:val="180"/>
        </w:trPr>
        <w:tc>
          <w:tcPr>
            <w:tcW w:w="3890" w:type="pct"/>
            <w:shd w:val="clear" w:color="auto" w:fill="auto"/>
          </w:tcPr>
          <w:p w14:paraId="65DDAFE2" w14:textId="2E6F95DD" w:rsidR="00E555B4" w:rsidRPr="00282E71" w:rsidRDefault="00252D21" w:rsidP="00810B2C">
            <w:pPr>
              <w:pStyle w:val="TableText"/>
              <w:rPr>
                <w:color w:val="auto"/>
              </w:rPr>
            </w:pPr>
            <w:r w:rsidRPr="00282E71">
              <w:rPr>
                <w:color w:val="auto"/>
              </w:rPr>
              <w:t>To move the “Important” note at the bottom of III.iii.5.A.4.a to a more logical location.</w:t>
            </w:r>
          </w:p>
        </w:tc>
        <w:tc>
          <w:tcPr>
            <w:tcW w:w="1110" w:type="pct"/>
            <w:shd w:val="clear" w:color="auto" w:fill="auto"/>
          </w:tcPr>
          <w:p w14:paraId="65DDAFE3" w14:textId="09D51528" w:rsidR="00E555B4" w:rsidRPr="00282E71" w:rsidRDefault="00252D21" w:rsidP="00933BDB">
            <w:pPr>
              <w:pStyle w:val="TableText"/>
              <w:rPr>
                <w:color w:val="auto"/>
              </w:rPr>
            </w:pPr>
            <w:r w:rsidRPr="00282E71">
              <w:rPr>
                <w:color w:val="auto"/>
              </w:rPr>
              <w:t>III.iii.5.A.4.d</w:t>
            </w:r>
          </w:p>
        </w:tc>
      </w:tr>
      <w:tr w:rsidR="00E555B4" w:rsidRPr="00282E71" w14:paraId="18EADA51" w14:textId="77777777" w:rsidTr="003D60AC">
        <w:trPr>
          <w:trHeight w:val="180"/>
        </w:trPr>
        <w:tc>
          <w:tcPr>
            <w:tcW w:w="3890" w:type="pct"/>
            <w:shd w:val="clear" w:color="auto" w:fill="auto"/>
          </w:tcPr>
          <w:p w14:paraId="7D166630" w14:textId="246D2C90" w:rsidR="00E555B4" w:rsidRPr="00282E71" w:rsidRDefault="00E555B4" w:rsidP="00CF7C05">
            <w:pPr>
              <w:pStyle w:val="TableText"/>
              <w:rPr>
                <w:color w:val="auto"/>
              </w:rPr>
            </w:pPr>
            <w:r w:rsidRPr="00282E71">
              <w:rPr>
                <w:color w:val="auto"/>
              </w:rPr>
              <w:t xml:space="preserve">To create a new block that discusses the acceptability of </w:t>
            </w:r>
            <w:r w:rsidRPr="00282E71">
              <w:rPr>
                <w:i/>
                <w:color w:val="auto"/>
              </w:rPr>
              <w:t>VA Form 21-686c, Declaration of Dependents</w:t>
            </w:r>
            <w:r w:rsidRPr="00282E71">
              <w:rPr>
                <w:color w:val="auto"/>
              </w:rPr>
              <w:t xml:space="preserve">, from a </w:t>
            </w:r>
            <w:r w:rsidR="00CF7C05" w:rsidRPr="00282E71">
              <w:rPr>
                <w:color w:val="auto"/>
              </w:rPr>
              <w:t>VA-recognized representative</w:t>
            </w:r>
            <w:r w:rsidRPr="00282E71">
              <w:rPr>
                <w:color w:val="auto"/>
              </w:rPr>
              <w:t>.</w:t>
            </w:r>
          </w:p>
        </w:tc>
        <w:tc>
          <w:tcPr>
            <w:tcW w:w="1110" w:type="pct"/>
            <w:shd w:val="clear" w:color="auto" w:fill="auto"/>
          </w:tcPr>
          <w:p w14:paraId="5F5B2DF5" w14:textId="7C480D5D" w:rsidR="00E555B4" w:rsidRPr="00282E71" w:rsidRDefault="00410AD3" w:rsidP="00252D21">
            <w:pPr>
              <w:pStyle w:val="TableText"/>
              <w:rPr>
                <w:color w:val="auto"/>
              </w:rPr>
            </w:pPr>
            <w:r w:rsidRPr="00282E71">
              <w:rPr>
                <w:color w:val="auto"/>
              </w:rPr>
              <w:t>III.iii.5.A.4.</w:t>
            </w:r>
            <w:r w:rsidR="00252D21" w:rsidRPr="00282E71">
              <w:rPr>
                <w:color w:val="auto"/>
              </w:rPr>
              <w:t>g</w:t>
            </w:r>
          </w:p>
        </w:tc>
      </w:tr>
      <w:tr w:rsidR="005E2E28" w:rsidRPr="00282E71" w14:paraId="02E7D486" w14:textId="77777777" w:rsidTr="003D60AC">
        <w:trPr>
          <w:trHeight w:val="180"/>
        </w:trPr>
        <w:tc>
          <w:tcPr>
            <w:tcW w:w="3890" w:type="pct"/>
            <w:shd w:val="clear" w:color="auto" w:fill="auto"/>
          </w:tcPr>
          <w:p w14:paraId="5AA3F298" w14:textId="329B624C" w:rsidR="005E2E28" w:rsidRPr="00282E71" w:rsidRDefault="005E2E28" w:rsidP="00D9219C">
            <w:pPr>
              <w:pStyle w:val="TableText"/>
              <w:rPr>
                <w:color w:val="auto"/>
              </w:rPr>
            </w:pPr>
            <w:r w:rsidRPr="00282E71">
              <w:rPr>
                <w:color w:val="auto"/>
              </w:rPr>
              <w:t>To relocate V.i.3.E, which discusses the requirement for claimants and beneficiaries to provide VA with their Social Security number (SSN) and the SSNs of their dependents, to a more logical location in M21-1.</w:t>
            </w:r>
          </w:p>
        </w:tc>
        <w:tc>
          <w:tcPr>
            <w:tcW w:w="1110" w:type="pct"/>
            <w:shd w:val="clear" w:color="auto" w:fill="auto"/>
          </w:tcPr>
          <w:p w14:paraId="5E9E8882" w14:textId="0E16C9F7" w:rsidR="005E2E28" w:rsidRPr="00282E71" w:rsidRDefault="005E2E28" w:rsidP="00252D21">
            <w:pPr>
              <w:pStyle w:val="TableText"/>
              <w:rPr>
                <w:color w:val="auto"/>
              </w:rPr>
            </w:pPr>
            <w:r w:rsidRPr="00282E71">
              <w:rPr>
                <w:color w:val="auto"/>
              </w:rPr>
              <w:t>III.iii.5.A.5</w:t>
            </w:r>
          </w:p>
        </w:tc>
      </w:tr>
      <w:tr w:rsidR="00B3567E" w:rsidRPr="00282E71" w14:paraId="044BE2C4" w14:textId="77777777" w:rsidTr="003D60AC">
        <w:trPr>
          <w:trHeight w:val="180"/>
        </w:trPr>
        <w:tc>
          <w:tcPr>
            <w:tcW w:w="3890" w:type="pct"/>
            <w:shd w:val="clear" w:color="auto" w:fill="auto"/>
          </w:tcPr>
          <w:p w14:paraId="10E959D3" w14:textId="69594B43" w:rsidR="00B3567E" w:rsidRPr="00282E71" w:rsidRDefault="00B3567E" w:rsidP="00B53BC3">
            <w:pPr>
              <w:pStyle w:val="TableText"/>
              <w:rPr>
                <w:color w:val="auto"/>
              </w:rPr>
            </w:pPr>
            <w:r w:rsidRPr="00282E71">
              <w:rPr>
                <w:color w:val="auto"/>
              </w:rPr>
              <w:t xml:space="preserve">To state that SSNs are important because they allow VA to independently verify a claimant’s income using Federal </w:t>
            </w:r>
            <w:r w:rsidR="00B53BC3" w:rsidRPr="00282E71">
              <w:rPr>
                <w:color w:val="auto"/>
              </w:rPr>
              <w:t>t</w:t>
            </w:r>
            <w:r w:rsidRPr="00282E71">
              <w:rPr>
                <w:color w:val="auto"/>
              </w:rPr>
              <w:t xml:space="preserve">ax </w:t>
            </w:r>
            <w:r w:rsidR="00B53BC3" w:rsidRPr="00282E71">
              <w:rPr>
                <w:color w:val="auto"/>
              </w:rPr>
              <w:t>i</w:t>
            </w:r>
            <w:r w:rsidRPr="00282E71">
              <w:rPr>
                <w:color w:val="auto"/>
              </w:rPr>
              <w:t>nformation (FTI).</w:t>
            </w:r>
          </w:p>
        </w:tc>
        <w:tc>
          <w:tcPr>
            <w:tcW w:w="1110" w:type="pct"/>
            <w:shd w:val="clear" w:color="auto" w:fill="auto"/>
          </w:tcPr>
          <w:p w14:paraId="6327AE05" w14:textId="0E7DE07C" w:rsidR="00B3567E" w:rsidRPr="00282E71" w:rsidRDefault="00A25BD8" w:rsidP="00252D21">
            <w:pPr>
              <w:pStyle w:val="TableText"/>
              <w:rPr>
                <w:color w:val="auto"/>
              </w:rPr>
            </w:pPr>
            <w:r w:rsidRPr="00282E71">
              <w:rPr>
                <w:color w:val="auto"/>
              </w:rPr>
              <w:t>III.iii.5.A.5.b</w:t>
            </w:r>
          </w:p>
        </w:tc>
      </w:tr>
      <w:tr w:rsidR="007472EB" w:rsidRPr="00282E71" w14:paraId="3B2DDF55" w14:textId="77777777" w:rsidTr="003D60AC">
        <w:trPr>
          <w:trHeight w:val="180"/>
        </w:trPr>
        <w:tc>
          <w:tcPr>
            <w:tcW w:w="3890" w:type="pct"/>
            <w:shd w:val="clear" w:color="auto" w:fill="auto"/>
          </w:tcPr>
          <w:p w14:paraId="06015BEC" w14:textId="2549404E" w:rsidR="007472EB" w:rsidRPr="00282E71" w:rsidRDefault="0075358B" w:rsidP="0075358B">
            <w:pPr>
              <w:pStyle w:val="TableText"/>
              <w:rPr>
                <w:color w:val="auto"/>
              </w:rPr>
            </w:pPr>
            <w:r w:rsidRPr="00282E71">
              <w:rPr>
                <w:color w:val="auto"/>
              </w:rPr>
              <w:t>To differentiate between the guidelines for requesting SSNs when VA is already paying benefits to or for an individual who has no SSN and the guidelines for requesting an SSN when a beneficiary or claimant fails to provide an SSN on an application for benefits.</w:t>
            </w:r>
          </w:p>
        </w:tc>
        <w:tc>
          <w:tcPr>
            <w:tcW w:w="1110" w:type="pct"/>
            <w:shd w:val="clear" w:color="auto" w:fill="auto"/>
          </w:tcPr>
          <w:p w14:paraId="7D3025FA" w14:textId="0634C9E1" w:rsidR="007472EB" w:rsidRPr="00282E71" w:rsidRDefault="0075358B" w:rsidP="00252D21">
            <w:pPr>
              <w:pStyle w:val="TableText"/>
              <w:rPr>
                <w:color w:val="auto"/>
              </w:rPr>
            </w:pPr>
            <w:r w:rsidRPr="00282E71">
              <w:rPr>
                <w:color w:val="auto"/>
              </w:rPr>
              <w:t>III.iii.5.A.5.d</w:t>
            </w:r>
          </w:p>
        </w:tc>
      </w:tr>
      <w:tr w:rsidR="005E2E28" w:rsidRPr="00282E71" w14:paraId="0B2C8340" w14:textId="77777777" w:rsidTr="003D60AC">
        <w:trPr>
          <w:trHeight w:val="180"/>
        </w:trPr>
        <w:tc>
          <w:tcPr>
            <w:tcW w:w="3890" w:type="pct"/>
            <w:shd w:val="clear" w:color="auto" w:fill="auto"/>
          </w:tcPr>
          <w:p w14:paraId="0A82AB3F" w14:textId="336274B8" w:rsidR="005E2E28" w:rsidRPr="00282E71" w:rsidRDefault="005E2E28" w:rsidP="00D9219C">
            <w:pPr>
              <w:pStyle w:val="TableText"/>
              <w:rPr>
                <w:color w:val="auto"/>
              </w:rPr>
            </w:pPr>
            <w:r w:rsidRPr="00282E71">
              <w:rPr>
                <w:color w:val="auto"/>
              </w:rPr>
              <w:t>To add a new topic that discusses the action to take upon discovering, through review of a Veteran’s medical records, that the Veteran has a spouse or child that has not been added to the Veteran’s award.</w:t>
            </w:r>
          </w:p>
        </w:tc>
        <w:tc>
          <w:tcPr>
            <w:tcW w:w="1110" w:type="pct"/>
            <w:shd w:val="clear" w:color="auto" w:fill="auto"/>
          </w:tcPr>
          <w:p w14:paraId="51F04FA6" w14:textId="0EDF095D" w:rsidR="005E2E28" w:rsidRPr="00282E71" w:rsidRDefault="005E2E28" w:rsidP="00B2636D">
            <w:pPr>
              <w:pStyle w:val="TableText"/>
              <w:rPr>
                <w:color w:val="auto"/>
              </w:rPr>
            </w:pPr>
            <w:r w:rsidRPr="00282E71">
              <w:rPr>
                <w:color w:val="auto"/>
              </w:rPr>
              <w:t>III.iii.5.A.6</w:t>
            </w:r>
          </w:p>
        </w:tc>
      </w:tr>
      <w:tr w:rsidR="005E2E28" w:rsidRPr="00282E71" w14:paraId="65DDAFE9" w14:textId="77777777" w:rsidTr="003D60AC">
        <w:trPr>
          <w:trHeight w:val="180"/>
        </w:trPr>
        <w:tc>
          <w:tcPr>
            <w:tcW w:w="3890" w:type="pct"/>
            <w:shd w:val="clear" w:color="auto" w:fill="auto"/>
          </w:tcPr>
          <w:p w14:paraId="65DDAFE6" w14:textId="7A8C9423" w:rsidR="005E2E28" w:rsidRPr="00282E71" w:rsidRDefault="005E2E28" w:rsidP="004742CA">
            <w:pPr>
              <w:pStyle w:val="TableText"/>
            </w:pPr>
            <w:r w:rsidRPr="00282E71">
              <w:t>To delete (old) III.iii.5.A.2.a, as the information in this block is discussed elsewhere in this section.  Furthermore, the instructions in this block could lead readers to overdevelop claims for additional benefits for a dependent.</w:t>
            </w:r>
          </w:p>
        </w:tc>
        <w:tc>
          <w:tcPr>
            <w:tcW w:w="1110" w:type="pct"/>
            <w:shd w:val="clear" w:color="auto" w:fill="auto"/>
          </w:tcPr>
          <w:p w14:paraId="65DDAFE7" w14:textId="77777777" w:rsidR="005E2E28" w:rsidRPr="00282E71" w:rsidRDefault="005E2E28" w:rsidP="004742CA">
            <w:pPr>
              <w:pStyle w:val="TableText"/>
              <w:jc w:val="center"/>
            </w:pPr>
            <w:r w:rsidRPr="00282E71">
              <w:t>---</w:t>
            </w:r>
          </w:p>
        </w:tc>
      </w:tr>
      <w:tr w:rsidR="005E2E28" w:rsidRPr="00282E71" w14:paraId="7E2B54A0" w14:textId="77777777" w:rsidTr="003D60AC">
        <w:trPr>
          <w:trHeight w:val="180"/>
        </w:trPr>
        <w:tc>
          <w:tcPr>
            <w:tcW w:w="3890" w:type="pct"/>
            <w:shd w:val="clear" w:color="auto" w:fill="auto"/>
          </w:tcPr>
          <w:p w14:paraId="3EC3BFAC" w14:textId="5F5A819F" w:rsidR="005E2E28" w:rsidRPr="00282E71" w:rsidRDefault="005E2E28" w:rsidP="004742CA">
            <w:pPr>
              <w:pStyle w:val="TableText"/>
            </w:pPr>
            <w:r w:rsidRPr="00282E71">
              <w:t>To delete (old) III.iii.5.A.4.d, as the information contained therein is either obsolete or discussed elsewhere in Topic 4.</w:t>
            </w:r>
          </w:p>
        </w:tc>
        <w:tc>
          <w:tcPr>
            <w:tcW w:w="1110" w:type="pct"/>
            <w:shd w:val="clear" w:color="auto" w:fill="auto"/>
          </w:tcPr>
          <w:p w14:paraId="769CF336" w14:textId="2E2BA893" w:rsidR="005E2E28" w:rsidRPr="00282E71" w:rsidRDefault="005E2E28" w:rsidP="004742CA">
            <w:pPr>
              <w:pStyle w:val="TableText"/>
              <w:jc w:val="center"/>
            </w:pPr>
            <w:r w:rsidRPr="00282E71">
              <w:t>---</w:t>
            </w:r>
          </w:p>
        </w:tc>
      </w:tr>
    </w:tbl>
    <w:p w14:paraId="65DDAFEA" w14:textId="77777777" w:rsidR="00504F80" w:rsidRPr="00282E71"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282E71" w14:paraId="65DDAFED" w14:textId="77777777" w:rsidTr="00237C22">
        <w:tc>
          <w:tcPr>
            <w:tcW w:w="1728" w:type="dxa"/>
          </w:tcPr>
          <w:p w14:paraId="65DDAFEB" w14:textId="77777777" w:rsidR="00504F80" w:rsidRPr="00282E71" w:rsidRDefault="00504F80" w:rsidP="00237C22">
            <w:pPr>
              <w:pStyle w:val="Heading5"/>
              <w:rPr>
                <w:sz w:val="24"/>
              </w:rPr>
            </w:pPr>
            <w:r w:rsidRPr="00282E71">
              <w:rPr>
                <w:sz w:val="24"/>
              </w:rPr>
              <w:t>Rescissions</w:t>
            </w:r>
          </w:p>
        </w:tc>
        <w:tc>
          <w:tcPr>
            <w:tcW w:w="7740" w:type="dxa"/>
          </w:tcPr>
          <w:p w14:paraId="65DDAFEC" w14:textId="77777777" w:rsidR="00504F80" w:rsidRPr="00282E71" w:rsidRDefault="00504F80" w:rsidP="00237C22">
            <w:pPr>
              <w:pStyle w:val="BlockText"/>
            </w:pPr>
            <w:r w:rsidRPr="00282E71">
              <w:t>None</w:t>
            </w:r>
          </w:p>
        </w:tc>
      </w:tr>
    </w:tbl>
    <w:p w14:paraId="65DDAFEE" w14:textId="77777777" w:rsidR="00504F80" w:rsidRPr="00282E71" w:rsidRDefault="00504F80" w:rsidP="00504F80">
      <w:pPr>
        <w:pStyle w:val="BlockLine"/>
      </w:pPr>
      <w:r w:rsidRPr="00282E71">
        <w:t xml:space="preserve"> </w:t>
      </w:r>
    </w:p>
    <w:tbl>
      <w:tblPr>
        <w:tblW w:w="0" w:type="auto"/>
        <w:tblLayout w:type="fixed"/>
        <w:tblLook w:val="0000" w:firstRow="0" w:lastRow="0" w:firstColumn="0" w:lastColumn="0" w:noHBand="0" w:noVBand="0"/>
      </w:tblPr>
      <w:tblGrid>
        <w:gridCol w:w="1728"/>
        <w:gridCol w:w="7740"/>
      </w:tblGrid>
      <w:tr w:rsidR="00504F80" w:rsidRPr="00282E71" w14:paraId="65DDAFF1" w14:textId="77777777" w:rsidTr="00237C22">
        <w:tc>
          <w:tcPr>
            <w:tcW w:w="1728" w:type="dxa"/>
          </w:tcPr>
          <w:p w14:paraId="65DDAFEF" w14:textId="77777777" w:rsidR="00504F80" w:rsidRPr="00282E71" w:rsidRDefault="00504F80" w:rsidP="00237C22">
            <w:pPr>
              <w:pStyle w:val="Heading5"/>
              <w:rPr>
                <w:sz w:val="24"/>
              </w:rPr>
            </w:pPr>
            <w:r w:rsidRPr="00282E71">
              <w:rPr>
                <w:sz w:val="24"/>
              </w:rPr>
              <w:t>Authority</w:t>
            </w:r>
          </w:p>
        </w:tc>
        <w:tc>
          <w:tcPr>
            <w:tcW w:w="7740" w:type="dxa"/>
          </w:tcPr>
          <w:p w14:paraId="65DDAFF0" w14:textId="77777777" w:rsidR="00504F80" w:rsidRPr="00282E71" w:rsidRDefault="00504F80" w:rsidP="00237C22">
            <w:pPr>
              <w:pStyle w:val="BlockText"/>
            </w:pPr>
            <w:r w:rsidRPr="00282E71">
              <w:t>By Direction of the Under Secretary for Benefits</w:t>
            </w:r>
          </w:p>
        </w:tc>
      </w:tr>
    </w:tbl>
    <w:p w14:paraId="65DDAFF2" w14:textId="77777777" w:rsidR="00504F80" w:rsidRPr="00282E71" w:rsidRDefault="00504F80" w:rsidP="00504F80">
      <w:pPr>
        <w:pStyle w:val="ContinuedOnNextPa"/>
      </w:pPr>
      <w:r w:rsidRPr="00282E71">
        <w:lastRenderedPageBreak/>
        <w:t xml:space="preserve"> </w:t>
      </w:r>
    </w:p>
    <w:tbl>
      <w:tblPr>
        <w:tblW w:w="0" w:type="auto"/>
        <w:tblLayout w:type="fixed"/>
        <w:tblLook w:val="0000" w:firstRow="0" w:lastRow="0" w:firstColumn="0" w:lastColumn="0" w:noHBand="0" w:noVBand="0"/>
      </w:tblPr>
      <w:tblGrid>
        <w:gridCol w:w="1728"/>
        <w:gridCol w:w="7740"/>
      </w:tblGrid>
      <w:tr w:rsidR="00504F80" w:rsidRPr="00282E71" w14:paraId="65DDAFF8" w14:textId="77777777" w:rsidTr="00237C22">
        <w:tc>
          <w:tcPr>
            <w:tcW w:w="1728" w:type="dxa"/>
          </w:tcPr>
          <w:p w14:paraId="65DDAFF3" w14:textId="77777777" w:rsidR="00504F80" w:rsidRPr="00282E71" w:rsidRDefault="00504F80" w:rsidP="00237C22">
            <w:pPr>
              <w:pStyle w:val="Heading5"/>
              <w:rPr>
                <w:sz w:val="24"/>
              </w:rPr>
            </w:pPr>
            <w:r w:rsidRPr="00282E71">
              <w:rPr>
                <w:sz w:val="24"/>
              </w:rPr>
              <w:t>Signature</w:t>
            </w:r>
          </w:p>
        </w:tc>
        <w:tc>
          <w:tcPr>
            <w:tcW w:w="7740" w:type="dxa"/>
          </w:tcPr>
          <w:p w14:paraId="65DDAFF4" w14:textId="77777777" w:rsidR="00504F80" w:rsidRPr="00282E71" w:rsidRDefault="00504F80" w:rsidP="00237C22">
            <w:pPr>
              <w:pStyle w:val="BlockText"/>
            </w:pPr>
          </w:p>
          <w:p w14:paraId="65DDAFF5" w14:textId="77777777" w:rsidR="00504F80" w:rsidRPr="00282E71" w:rsidRDefault="00504F80" w:rsidP="00237C22">
            <w:pPr>
              <w:pStyle w:val="MemoLine"/>
              <w:ind w:left="-18" w:right="612"/>
            </w:pPr>
          </w:p>
          <w:p w14:paraId="65DDAFF6" w14:textId="77777777" w:rsidR="00504F80" w:rsidRPr="00282E71" w:rsidRDefault="00504F80" w:rsidP="00237C22">
            <w:pPr>
              <w:rPr>
                <w:szCs w:val="20"/>
              </w:rPr>
            </w:pPr>
            <w:r w:rsidRPr="00282E71">
              <w:t>Thomas J. Murphy, Director</w:t>
            </w:r>
          </w:p>
          <w:p w14:paraId="65DDAFF7" w14:textId="77777777" w:rsidR="00504F80" w:rsidRPr="00282E71" w:rsidRDefault="00504F80" w:rsidP="00237C22">
            <w:pPr>
              <w:pStyle w:val="BlockText"/>
            </w:pPr>
            <w:r w:rsidRPr="00282E71">
              <w:t>Compensation Service</w:t>
            </w:r>
          </w:p>
        </w:tc>
      </w:tr>
    </w:tbl>
    <w:p w14:paraId="65DDAFF9" w14:textId="77777777" w:rsidR="00504F80" w:rsidRPr="00282E71" w:rsidRDefault="00504F80" w:rsidP="00504F80">
      <w:pPr>
        <w:pStyle w:val="BlockLine"/>
      </w:pPr>
      <w:r w:rsidRPr="00282E71">
        <w:t xml:space="preserve"> </w:t>
      </w:r>
    </w:p>
    <w:tbl>
      <w:tblPr>
        <w:tblW w:w="0" w:type="auto"/>
        <w:tblLayout w:type="fixed"/>
        <w:tblLook w:val="0000" w:firstRow="0" w:lastRow="0" w:firstColumn="0" w:lastColumn="0" w:noHBand="0" w:noVBand="0"/>
      </w:tblPr>
      <w:tblGrid>
        <w:gridCol w:w="1728"/>
        <w:gridCol w:w="7740"/>
      </w:tblGrid>
      <w:tr w:rsidR="00504F80" w:rsidRPr="00282E71" w14:paraId="65DDAFFC" w14:textId="77777777" w:rsidTr="00237C22">
        <w:tc>
          <w:tcPr>
            <w:tcW w:w="1728" w:type="dxa"/>
          </w:tcPr>
          <w:p w14:paraId="65DDAFFA" w14:textId="77777777" w:rsidR="00504F80" w:rsidRPr="00282E71" w:rsidRDefault="00504F80" w:rsidP="00237C22">
            <w:pPr>
              <w:pStyle w:val="Heading5"/>
              <w:rPr>
                <w:sz w:val="24"/>
              </w:rPr>
            </w:pPr>
            <w:r w:rsidRPr="00282E71">
              <w:rPr>
                <w:sz w:val="24"/>
              </w:rPr>
              <w:t>Distribution</w:t>
            </w:r>
          </w:p>
        </w:tc>
        <w:tc>
          <w:tcPr>
            <w:tcW w:w="7740" w:type="dxa"/>
          </w:tcPr>
          <w:p w14:paraId="65DDAFFB" w14:textId="77777777" w:rsidR="00504F80" w:rsidRPr="00282E71" w:rsidRDefault="00504F80" w:rsidP="00237C22">
            <w:pPr>
              <w:pStyle w:val="BlockText"/>
              <w:jc w:val="center"/>
            </w:pPr>
            <w:r w:rsidRPr="00282E71">
              <w:t>LOCAL REPRODUCTION AUTHORIZED</w:t>
            </w:r>
          </w:p>
        </w:tc>
      </w:tr>
    </w:tbl>
    <w:p w14:paraId="65DDAFFD" w14:textId="71A73765" w:rsidR="00504F80" w:rsidRDefault="001C40A2" w:rsidP="00504F80">
      <w:pPr>
        <w:pStyle w:val="BlockLine"/>
      </w:pPr>
      <w:r w:rsidRPr="00282E71">
        <w:fldChar w:fldCharType="begin">
          <w:fldData xml:space="preserve">RABvAGMAVABlAG0AcAAxAFYAYQByAFQAcgBhAGQAaQB0AGkAbwBuAGEAbAA=
</w:fldData>
        </w:fldChar>
      </w:r>
      <w:r w:rsidRPr="00282E71">
        <w:instrText xml:space="preserve"> ADDIN  \* MERGEFORMAT </w:instrText>
      </w:r>
      <w:r w:rsidRPr="00282E71">
        <w:fldChar w:fldCharType="end"/>
      </w:r>
      <w:r w:rsidRPr="00282E71">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AG4AdABTAGUAdABGAG8AbgB0AFMAZQB0AEYAbwBuAHQAUwBlAHQAaQBtAGkAcwB0AHkAbABlAHMA
LgB4AG0AbAA=
</w:fldData>
        </w:fldChar>
      </w:r>
      <w:r w:rsidRPr="00282E71">
        <w:instrText xml:space="preserve"> ADDIN  \* MERGEFORMAT </w:instrText>
      </w:r>
      <w:r w:rsidRPr="00282E71">
        <w:fldChar w:fldCharType="end"/>
      </w:r>
      <w:r w:rsidR="009B7508" w:rsidRPr="00282E71">
        <w:fldChar w:fldCharType="begin">
          <w:fldData xml:space="preserve">RABvAGMAVABlAG0AcAAxAFYAYQByAFQAcgBhAGQAaQB0AGkAbwBuAGEAbAA=
</w:fldData>
        </w:fldChar>
      </w:r>
      <w:r w:rsidR="009B7508" w:rsidRPr="00282E71">
        <w:instrText xml:space="preserve"> ADDIN  \* MERGEFORMAT </w:instrText>
      </w:r>
      <w:r w:rsidR="009B7508" w:rsidRPr="00282E71">
        <w:fldChar w:fldCharType="end"/>
      </w:r>
      <w:r w:rsidR="009B7508" w:rsidRPr="00282E71">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AG4AdABTAGUAdABGAG8AbgB0AFMAZQB0AEYAbwBuAHQAUwBlAHQARgBvAG4AdABTAGUAdABpAG0A
aQBzAHQAeQBsAGUAcwAuAHgAbQBsAA==
</w:fldData>
        </w:fldChar>
      </w:r>
      <w:r w:rsidR="009B7508" w:rsidRPr="00282E71">
        <w:instrText xml:space="preserve"> ADDIN  \* MERGEFORMAT </w:instrText>
      </w:r>
      <w:r w:rsidR="009B7508" w:rsidRPr="00282E71">
        <w:fldChar w:fldCharType="end"/>
      </w:r>
    </w:p>
    <w:sectPr w:rsidR="00504F80" w:rsidSect="00237C22">
      <w:footerReference w:type="even" r:id="rId12"/>
      <w:footerReference w:type="default" r:id="rId13"/>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DB000" w14:textId="77777777" w:rsidR="009618EA" w:rsidRDefault="009618EA" w:rsidP="00C765C7">
      <w:r>
        <w:separator/>
      </w:r>
    </w:p>
  </w:endnote>
  <w:endnote w:type="continuationSeparator" w:id="0">
    <w:p w14:paraId="65DDB001" w14:textId="77777777" w:rsidR="009618EA" w:rsidRDefault="009618EA"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DB002"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DB003"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DB004"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E71">
      <w:rPr>
        <w:rStyle w:val="PageNumber"/>
        <w:noProof/>
      </w:rPr>
      <w:t>i</w:t>
    </w:r>
    <w:r>
      <w:rPr>
        <w:rStyle w:val="PageNumber"/>
      </w:rPr>
      <w:fldChar w:fldCharType="end"/>
    </w:r>
  </w:p>
  <w:p w14:paraId="65DDB005"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DAFFE" w14:textId="77777777" w:rsidR="009618EA" w:rsidRDefault="009618EA" w:rsidP="00C765C7">
      <w:r>
        <w:separator/>
      </w:r>
    </w:p>
  </w:footnote>
  <w:footnote w:type="continuationSeparator" w:id="0">
    <w:p w14:paraId="65DDAFFF" w14:textId="77777777" w:rsidR="009618EA" w:rsidRDefault="009618EA"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F22C65"/>
    <w:multiLevelType w:val="hybridMultilevel"/>
    <w:tmpl w:val="C1FC668E"/>
    <w:lvl w:ilvl="0" w:tplc="FF480A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4">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5">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8">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6"/>
  </w:num>
  <w:num w:numId="3">
    <w:abstractNumId w:val="0"/>
  </w:num>
  <w:num w:numId="4">
    <w:abstractNumId w:val="8"/>
  </w:num>
  <w:num w:numId="5">
    <w:abstractNumId w:val="5"/>
  </w:num>
  <w:num w:numId="6">
    <w:abstractNumId w:val="4"/>
  </w:num>
  <w:num w:numId="7">
    <w:abstractNumId w:val="9"/>
  </w:num>
  <w:num w:numId="8">
    <w:abstractNumId w:val="3"/>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FontSetFontSetFontSetFontSetFontSetFontSetFontSetFontSetFontSetFontSetFontSetFontSetFontSetFontSetFontSetimistyles.xml"/>
  </w:docVars>
  <w:rsids>
    <w:rsidRoot w:val="00AF1C11"/>
    <w:rsid w:val="00002A1E"/>
    <w:rsid w:val="00011157"/>
    <w:rsid w:val="00014A89"/>
    <w:rsid w:val="000252C6"/>
    <w:rsid w:val="000256FB"/>
    <w:rsid w:val="00043146"/>
    <w:rsid w:val="00075F01"/>
    <w:rsid w:val="00093228"/>
    <w:rsid w:val="000A7776"/>
    <w:rsid w:val="000B2853"/>
    <w:rsid w:val="000F1FD2"/>
    <w:rsid w:val="00100433"/>
    <w:rsid w:val="0010215F"/>
    <w:rsid w:val="00106EEF"/>
    <w:rsid w:val="00117B00"/>
    <w:rsid w:val="00123973"/>
    <w:rsid w:val="001253ED"/>
    <w:rsid w:val="00125E5F"/>
    <w:rsid w:val="001315E1"/>
    <w:rsid w:val="00186D46"/>
    <w:rsid w:val="001C3AE3"/>
    <w:rsid w:val="001C3EB5"/>
    <w:rsid w:val="001C40A2"/>
    <w:rsid w:val="001F38B7"/>
    <w:rsid w:val="002041BE"/>
    <w:rsid w:val="00237C22"/>
    <w:rsid w:val="00240624"/>
    <w:rsid w:val="00252D21"/>
    <w:rsid w:val="00282E71"/>
    <w:rsid w:val="002A2E05"/>
    <w:rsid w:val="002B7A7E"/>
    <w:rsid w:val="002E0825"/>
    <w:rsid w:val="002E6E5F"/>
    <w:rsid w:val="002F5B21"/>
    <w:rsid w:val="002F7397"/>
    <w:rsid w:val="002F7CFB"/>
    <w:rsid w:val="00332B80"/>
    <w:rsid w:val="00332E41"/>
    <w:rsid w:val="00341981"/>
    <w:rsid w:val="00365D1A"/>
    <w:rsid w:val="00366D36"/>
    <w:rsid w:val="00386999"/>
    <w:rsid w:val="003B2927"/>
    <w:rsid w:val="003D47AF"/>
    <w:rsid w:val="003D60AC"/>
    <w:rsid w:val="003F3021"/>
    <w:rsid w:val="003F6048"/>
    <w:rsid w:val="003F672A"/>
    <w:rsid w:val="004000E7"/>
    <w:rsid w:val="00401EAD"/>
    <w:rsid w:val="0040351B"/>
    <w:rsid w:val="0041026E"/>
    <w:rsid w:val="00410AD3"/>
    <w:rsid w:val="00421403"/>
    <w:rsid w:val="00422836"/>
    <w:rsid w:val="00435BA5"/>
    <w:rsid w:val="00450FD6"/>
    <w:rsid w:val="00455EF7"/>
    <w:rsid w:val="004562CC"/>
    <w:rsid w:val="00471ECA"/>
    <w:rsid w:val="004742CA"/>
    <w:rsid w:val="00482FA3"/>
    <w:rsid w:val="0048559D"/>
    <w:rsid w:val="004906E8"/>
    <w:rsid w:val="0049168D"/>
    <w:rsid w:val="00494175"/>
    <w:rsid w:val="004F375E"/>
    <w:rsid w:val="00504F80"/>
    <w:rsid w:val="00506485"/>
    <w:rsid w:val="00513DA7"/>
    <w:rsid w:val="00516C82"/>
    <w:rsid w:val="00547E45"/>
    <w:rsid w:val="00563EF2"/>
    <w:rsid w:val="00594258"/>
    <w:rsid w:val="005C03C3"/>
    <w:rsid w:val="005D510E"/>
    <w:rsid w:val="005E2E28"/>
    <w:rsid w:val="005E4363"/>
    <w:rsid w:val="00600DC7"/>
    <w:rsid w:val="00604737"/>
    <w:rsid w:val="0062068D"/>
    <w:rsid w:val="006317AA"/>
    <w:rsid w:val="006433D0"/>
    <w:rsid w:val="00643EA7"/>
    <w:rsid w:val="006473C3"/>
    <w:rsid w:val="00660988"/>
    <w:rsid w:val="006708D7"/>
    <w:rsid w:val="00671738"/>
    <w:rsid w:val="00674E37"/>
    <w:rsid w:val="006837E0"/>
    <w:rsid w:val="006900B6"/>
    <w:rsid w:val="006B1CC2"/>
    <w:rsid w:val="006B7262"/>
    <w:rsid w:val="006C3E5F"/>
    <w:rsid w:val="006C48FF"/>
    <w:rsid w:val="006D10E5"/>
    <w:rsid w:val="006D52FE"/>
    <w:rsid w:val="006F6D37"/>
    <w:rsid w:val="00705500"/>
    <w:rsid w:val="00724248"/>
    <w:rsid w:val="00732186"/>
    <w:rsid w:val="00737049"/>
    <w:rsid w:val="007472EB"/>
    <w:rsid w:val="0075358B"/>
    <w:rsid w:val="007737DA"/>
    <w:rsid w:val="007A0C5F"/>
    <w:rsid w:val="007C04DF"/>
    <w:rsid w:val="007D5B97"/>
    <w:rsid w:val="007E5515"/>
    <w:rsid w:val="007F2749"/>
    <w:rsid w:val="0080590C"/>
    <w:rsid w:val="00810B2C"/>
    <w:rsid w:val="008127BA"/>
    <w:rsid w:val="008144E7"/>
    <w:rsid w:val="00822A16"/>
    <w:rsid w:val="00836404"/>
    <w:rsid w:val="00840713"/>
    <w:rsid w:val="0086475B"/>
    <w:rsid w:val="00875AFA"/>
    <w:rsid w:val="0088609E"/>
    <w:rsid w:val="008A2B85"/>
    <w:rsid w:val="008A46E2"/>
    <w:rsid w:val="008B3363"/>
    <w:rsid w:val="008B4CB5"/>
    <w:rsid w:val="008C723F"/>
    <w:rsid w:val="008D12C3"/>
    <w:rsid w:val="008D458B"/>
    <w:rsid w:val="008E22CF"/>
    <w:rsid w:val="008E5824"/>
    <w:rsid w:val="008E589A"/>
    <w:rsid w:val="008F14EA"/>
    <w:rsid w:val="008F1D5B"/>
    <w:rsid w:val="00916AE6"/>
    <w:rsid w:val="00933BDB"/>
    <w:rsid w:val="00945950"/>
    <w:rsid w:val="009618EA"/>
    <w:rsid w:val="009769CD"/>
    <w:rsid w:val="00997D98"/>
    <w:rsid w:val="009B7508"/>
    <w:rsid w:val="009E6E1A"/>
    <w:rsid w:val="00A25BD8"/>
    <w:rsid w:val="00A315CB"/>
    <w:rsid w:val="00A32707"/>
    <w:rsid w:val="00A3579D"/>
    <w:rsid w:val="00A52D4C"/>
    <w:rsid w:val="00A55356"/>
    <w:rsid w:val="00A557BB"/>
    <w:rsid w:val="00A6522C"/>
    <w:rsid w:val="00A8510D"/>
    <w:rsid w:val="00A8520D"/>
    <w:rsid w:val="00AC2993"/>
    <w:rsid w:val="00AE69BF"/>
    <w:rsid w:val="00AF1C11"/>
    <w:rsid w:val="00AF2CD6"/>
    <w:rsid w:val="00B221F7"/>
    <w:rsid w:val="00B2636D"/>
    <w:rsid w:val="00B30D2F"/>
    <w:rsid w:val="00B3567E"/>
    <w:rsid w:val="00B50AD7"/>
    <w:rsid w:val="00B53BC3"/>
    <w:rsid w:val="00B93A3C"/>
    <w:rsid w:val="00B96287"/>
    <w:rsid w:val="00BB3345"/>
    <w:rsid w:val="00BC17D3"/>
    <w:rsid w:val="00BC2B9D"/>
    <w:rsid w:val="00BF7FE3"/>
    <w:rsid w:val="00C10120"/>
    <w:rsid w:val="00C152C8"/>
    <w:rsid w:val="00C24D50"/>
    <w:rsid w:val="00C25054"/>
    <w:rsid w:val="00C31657"/>
    <w:rsid w:val="00C765C7"/>
    <w:rsid w:val="00CD2D08"/>
    <w:rsid w:val="00CE3984"/>
    <w:rsid w:val="00CF7C05"/>
    <w:rsid w:val="00D33A6E"/>
    <w:rsid w:val="00D36508"/>
    <w:rsid w:val="00D57B91"/>
    <w:rsid w:val="00D61497"/>
    <w:rsid w:val="00D77146"/>
    <w:rsid w:val="00D823AF"/>
    <w:rsid w:val="00D9207B"/>
    <w:rsid w:val="00D9219C"/>
    <w:rsid w:val="00DA11C2"/>
    <w:rsid w:val="00DB074F"/>
    <w:rsid w:val="00DB2902"/>
    <w:rsid w:val="00DB743E"/>
    <w:rsid w:val="00DC7DFF"/>
    <w:rsid w:val="00DE0E35"/>
    <w:rsid w:val="00DF44AC"/>
    <w:rsid w:val="00E17843"/>
    <w:rsid w:val="00E2529E"/>
    <w:rsid w:val="00E3060D"/>
    <w:rsid w:val="00E35EA8"/>
    <w:rsid w:val="00E36906"/>
    <w:rsid w:val="00E555B4"/>
    <w:rsid w:val="00E648E9"/>
    <w:rsid w:val="00E840A5"/>
    <w:rsid w:val="00E94A0E"/>
    <w:rsid w:val="00E964FD"/>
    <w:rsid w:val="00EA61DF"/>
    <w:rsid w:val="00ED4D5E"/>
    <w:rsid w:val="00EF08F3"/>
    <w:rsid w:val="00EF3B8E"/>
    <w:rsid w:val="00F006B2"/>
    <w:rsid w:val="00F43DFA"/>
    <w:rsid w:val="00F71BEE"/>
    <w:rsid w:val="00F7594A"/>
    <w:rsid w:val="00F87670"/>
    <w:rsid w:val="00F90609"/>
    <w:rsid w:val="00FB5A3E"/>
    <w:rsid w:val="00FB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D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2.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3.xml><?xml version="1.0" encoding="utf-8"?>
<ds:datastoreItem xmlns:ds="http://schemas.openxmlformats.org/officeDocument/2006/customXml" ds:itemID="{59A8371C-C782-4FC9-8D3E-5BEAF510570C}">
  <ds:schemaRefs>
    <ds:schemaRef ds:uri="http://schemas.microsoft.com/office/2006/documentManagement/types"/>
    <ds:schemaRef ds:uri="http://purl.org/dc/dcmitype/"/>
    <ds:schemaRef ds:uri="b438dcf7-3998-4283-b7fc-0ec6fa8e430f"/>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DB19E7B-11B5-461D-8AC8-614372280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FSPro</Template>
  <TotalTime>285</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Kimberly Martin-Butler</cp:lastModifiedBy>
  <cp:revision>52</cp:revision>
  <dcterms:created xsi:type="dcterms:W3CDTF">2014-03-07T19:28:00Z</dcterms:created>
  <dcterms:modified xsi:type="dcterms:W3CDTF">2015-06-08T19:25:00Z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