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02A1B" w14:textId="77777777"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t xml:space="preserve">M21-1MR, Part </w:t>
      </w:r>
      <w:r w:rsidR="00945950">
        <w:rPr>
          <w:rFonts w:ascii="Times New Roman" w:hAnsi="Times New Roman"/>
          <w:sz w:val="20"/>
        </w:rPr>
        <w:t>III</w:t>
      </w:r>
      <w:r>
        <w:rPr>
          <w:rFonts w:ascii="Times New Roman" w:hAnsi="Times New Roman"/>
          <w:sz w:val="20"/>
        </w:rPr>
        <w:t xml:space="preserve">, Subpart </w:t>
      </w:r>
      <w:r w:rsidR="00945950">
        <w:rPr>
          <w:rFonts w:ascii="Times New Roman" w:hAnsi="Times New Roman"/>
          <w:sz w:val="20"/>
        </w:rPr>
        <w:t>ii</w:t>
      </w:r>
      <w:r>
        <w:rPr>
          <w:rFonts w:ascii="Times New Roman" w:hAnsi="Times New Roman"/>
          <w:sz w:val="20"/>
        </w:rPr>
        <w:t>i</w:t>
      </w:r>
    </w:p>
    <w:p w14:paraId="564C2699" w14:textId="2D7EBE82"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AF0900">
        <w:rPr>
          <w:b/>
          <w:bCs/>
          <w:sz w:val="20"/>
        </w:rPr>
        <w:t xml:space="preserve">                    </w:t>
      </w:r>
      <w:bookmarkStart w:id="0" w:name="_GoBack"/>
      <w:bookmarkEnd w:id="0"/>
      <w:r w:rsidR="00AF0900">
        <w:rPr>
          <w:b/>
          <w:bCs/>
          <w:sz w:val="20"/>
        </w:rPr>
        <w:t>September 19, 2014</w:t>
      </w:r>
      <w:r>
        <w:rPr>
          <w:b/>
          <w:bCs/>
          <w:sz w:val="20"/>
        </w:rPr>
        <w:tab/>
      </w:r>
    </w:p>
    <w:p w14:paraId="42719ECA" w14:textId="77777777" w:rsidR="00504F80" w:rsidRDefault="00504F80" w:rsidP="00504F80">
      <w:pPr>
        <w:rPr>
          <w:b/>
          <w:bCs/>
          <w:sz w:val="20"/>
        </w:rPr>
      </w:pPr>
      <w:r>
        <w:rPr>
          <w:b/>
          <w:bCs/>
          <w:sz w:val="20"/>
        </w:rPr>
        <w:t>Washington, DC  20420</w:t>
      </w:r>
    </w:p>
    <w:p w14:paraId="1BE571BE" w14:textId="77777777" w:rsidR="00504F80" w:rsidRDefault="00504F80" w:rsidP="00504F80">
      <w:pPr>
        <w:rPr>
          <w:b/>
          <w:bCs/>
          <w:sz w:val="20"/>
        </w:rPr>
      </w:pPr>
    </w:p>
    <w:p w14:paraId="4C494F01" w14:textId="77777777" w:rsidR="00504F80" w:rsidRDefault="00504F80" w:rsidP="00504F80">
      <w:pPr>
        <w:pStyle w:val="Heading4"/>
      </w:pPr>
      <w:r>
        <w:t xml:space="preserve">Transmittal Sheet </w:t>
      </w:r>
    </w:p>
    <w:p w14:paraId="3368B00E"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37601CEB" w14:textId="77777777" w:rsidTr="00C24D50">
        <w:tc>
          <w:tcPr>
            <w:tcW w:w="1728" w:type="dxa"/>
          </w:tcPr>
          <w:p w14:paraId="5236E8FE" w14:textId="77777777" w:rsidR="00504F80" w:rsidRDefault="00504F80" w:rsidP="00237C22">
            <w:pPr>
              <w:pStyle w:val="Heading5"/>
            </w:pPr>
            <w:r>
              <w:t>Changes Included in This Revision</w:t>
            </w:r>
          </w:p>
        </w:tc>
        <w:tc>
          <w:tcPr>
            <w:tcW w:w="7740" w:type="dxa"/>
          </w:tcPr>
          <w:p w14:paraId="1F95454C" w14:textId="77777777" w:rsidR="00504F80" w:rsidRDefault="00504F80" w:rsidP="00237C22">
            <w:pPr>
              <w:pStyle w:val="BlockText"/>
            </w:pPr>
            <w:r>
              <w:t xml:space="preserve">The table below describes the changes included in this revision of Veterans Benefits Manual M21-1MR, Part </w:t>
            </w:r>
            <w:r w:rsidR="00BB3345">
              <w:t>III</w:t>
            </w:r>
            <w:r>
              <w:t>, “</w:t>
            </w:r>
            <w:r w:rsidR="00BB3345">
              <w:t>General Claims Process</w:t>
            </w:r>
            <w:r>
              <w:t xml:space="preserve">,” Subpart </w:t>
            </w:r>
            <w:r w:rsidR="00BB3345">
              <w:t>ii</w:t>
            </w:r>
            <w:r>
              <w:t>i, “</w:t>
            </w:r>
            <w:r w:rsidR="00BB3345">
              <w:t xml:space="preserve">General </w:t>
            </w:r>
            <w:r>
              <w:t>Development</w:t>
            </w:r>
            <w:r w:rsidR="00BB3345">
              <w:t xml:space="preserve"> and Dependency Issues</w:t>
            </w:r>
            <w:r>
              <w:t>.”</w:t>
            </w:r>
          </w:p>
          <w:p w14:paraId="7E41A4E7" w14:textId="60951C5B" w:rsidR="00504F80" w:rsidRPr="00EA3A57" w:rsidRDefault="00504F80" w:rsidP="0034071C">
            <w:pPr>
              <w:pStyle w:val="BulletText1"/>
              <w:numPr>
                <w:ilvl w:val="0"/>
                <w:numId w:val="0"/>
              </w:numPr>
            </w:pPr>
          </w:p>
        </w:tc>
      </w:tr>
    </w:tbl>
    <w:p w14:paraId="7D422588" w14:textId="77777777" w:rsidR="00C24D50" w:rsidRDefault="00C24D50" w:rsidP="00C24D50"/>
    <w:tbl>
      <w:tblPr>
        <w:tblW w:w="95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73"/>
        <w:gridCol w:w="2344"/>
        <w:gridCol w:w="987"/>
      </w:tblGrid>
      <w:tr w:rsidR="00C24D50" w14:paraId="2D42090E" w14:textId="77777777" w:rsidTr="00EB1D7E">
        <w:trPr>
          <w:trHeight w:val="180"/>
        </w:trPr>
        <w:tc>
          <w:tcPr>
            <w:tcW w:w="3248" w:type="pct"/>
            <w:shd w:val="clear" w:color="auto" w:fill="auto"/>
          </w:tcPr>
          <w:p w14:paraId="6DA6BB27" w14:textId="77777777" w:rsidR="00C24D50" w:rsidRPr="00C24D50" w:rsidRDefault="00C24D50" w:rsidP="002F7397">
            <w:pPr>
              <w:pStyle w:val="TableHeaderText"/>
            </w:pPr>
            <w:r w:rsidRPr="00C24D50">
              <w:t>Reason(s) for the Change</w:t>
            </w:r>
          </w:p>
        </w:tc>
        <w:tc>
          <w:tcPr>
            <w:tcW w:w="1233" w:type="pct"/>
            <w:shd w:val="clear" w:color="auto" w:fill="auto"/>
          </w:tcPr>
          <w:p w14:paraId="3066C4D3" w14:textId="77777777" w:rsidR="00C24D50" w:rsidRPr="00C24D50" w:rsidRDefault="00C24D50" w:rsidP="002F7397">
            <w:pPr>
              <w:pStyle w:val="TableHeaderText"/>
            </w:pPr>
            <w:r w:rsidRPr="00C24D50">
              <w:t>Citation</w:t>
            </w:r>
          </w:p>
        </w:tc>
        <w:tc>
          <w:tcPr>
            <w:tcW w:w="519" w:type="pct"/>
            <w:shd w:val="clear" w:color="auto" w:fill="auto"/>
          </w:tcPr>
          <w:p w14:paraId="71999DA7" w14:textId="77777777" w:rsidR="00C24D50" w:rsidRDefault="00C24D50" w:rsidP="002F7397">
            <w:pPr>
              <w:pStyle w:val="TableHeaderText"/>
            </w:pPr>
            <w:r>
              <w:t>Page(s)</w:t>
            </w:r>
          </w:p>
        </w:tc>
      </w:tr>
      <w:tr w:rsidR="00C24D50" w14:paraId="1FD96E2E" w14:textId="77777777" w:rsidTr="00EB1D7E">
        <w:trPr>
          <w:trHeight w:val="180"/>
        </w:trPr>
        <w:tc>
          <w:tcPr>
            <w:tcW w:w="3248" w:type="pct"/>
            <w:shd w:val="clear" w:color="auto" w:fill="auto"/>
          </w:tcPr>
          <w:p w14:paraId="59621B73" w14:textId="775CB315" w:rsidR="00C24D50" w:rsidRPr="00C24D50" w:rsidRDefault="00B97805" w:rsidP="00DA09A9">
            <w:pPr>
              <w:pStyle w:val="TableText"/>
            </w:pPr>
            <w:r>
              <w:t>To explain that the dependent should be removed from the award effective the first of the month following the month for which the Department of Veterans Affairs last paid the beneficiary in situations where a change in dependency status is noted, but the date of change is unknown.</w:t>
            </w:r>
          </w:p>
        </w:tc>
        <w:tc>
          <w:tcPr>
            <w:tcW w:w="1233" w:type="pct"/>
            <w:shd w:val="clear" w:color="auto" w:fill="auto"/>
          </w:tcPr>
          <w:p w14:paraId="23C401EA" w14:textId="2ACFC1C7" w:rsidR="00C24D50" w:rsidRPr="00C24D50" w:rsidRDefault="00DA09A9" w:rsidP="00DA09A9">
            <w:pPr>
              <w:pStyle w:val="TableText"/>
            </w:pPr>
            <w:r>
              <w:t>M21-1MR, Part III, Subpart iii, Chapter 5, Section K</w:t>
            </w:r>
            <w:r w:rsidR="0034071C">
              <w:t>, Topic 64, Block d</w:t>
            </w:r>
            <w:r w:rsidR="0095695E">
              <w:t xml:space="preserve"> (III.iii.5.K</w:t>
            </w:r>
            <w:r w:rsidR="0034071C">
              <w:t>.64.d</w:t>
            </w:r>
            <w:r w:rsidR="0095695E">
              <w:t>)</w:t>
            </w:r>
          </w:p>
        </w:tc>
        <w:tc>
          <w:tcPr>
            <w:tcW w:w="519" w:type="pct"/>
            <w:shd w:val="clear" w:color="auto" w:fill="auto"/>
          </w:tcPr>
          <w:p w14:paraId="318A4081" w14:textId="3A4F1C7F" w:rsidR="00C24D50" w:rsidRDefault="00DA09A9" w:rsidP="002F7397">
            <w:pPr>
              <w:pStyle w:val="TableText"/>
            </w:pPr>
            <w:r>
              <w:t>5-K-1</w:t>
            </w:r>
            <w:r w:rsidR="00B97805">
              <w:t>0</w:t>
            </w:r>
          </w:p>
        </w:tc>
      </w:tr>
      <w:tr w:rsidR="00422836" w14:paraId="7E7C3824" w14:textId="77777777" w:rsidTr="00EB1D7E">
        <w:trPr>
          <w:trHeight w:val="180"/>
        </w:trPr>
        <w:tc>
          <w:tcPr>
            <w:tcW w:w="3248" w:type="pct"/>
            <w:shd w:val="clear" w:color="auto" w:fill="auto"/>
          </w:tcPr>
          <w:p w14:paraId="46198141" w14:textId="77777777" w:rsidR="00422836" w:rsidRDefault="001A51C1" w:rsidP="00B97805">
            <w:pPr>
              <w:pStyle w:val="TableText"/>
              <w:numPr>
                <w:ilvl w:val="0"/>
                <w:numId w:val="12"/>
              </w:numPr>
              <w:ind w:left="216" w:hanging="180"/>
            </w:pPr>
            <w:r>
              <w:t xml:space="preserve">To clarify that the only dependents that are subject to certification are dependents on the Veteran’s award at the time the </w:t>
            </w:r>
            <w:r w:rsidRPr="001A51C1">
              <w:rPr>
                <w:i/>
              </w:rPr>
              <w:t>VA Form 21-0538</w:t>
            </w:r>
            <w:r w:rsidR="00B97805">
              <w:rPr>
                <w:i/>
              </w:rPr>
              <w:t>, Status of Dependents Questionnaire,</w:t>
            </w:r>
            <w:r>
              <w:t xml:space="preserve"> was sent to the Veteran.</w:t>
            </w:r>
          </w:p>
          <w:p w14:paraId="646409FE" w14:textId="77777777" w:rsidR="00B97805" w:rsidRDefault="00B97805" w:rsidP="00B97805">
            <w:pPr>
              <w:pStyle w:val="TableText"/>
              <w:numPr>
                <w:ilvl w:val="0"/>
                <w:numId w:val="12"/>
              </w:numPr>
              <w:ind w:left="216" w:hanging="180"/>
            </w:pPr>
            <w:r>
              <w:t>To clarify that the suspension of benefits should be processed under the pending end product 600 if a discontinuance is in order under Step 7.</w:t>
            </w:r>
          </w:p>
          <w:p w14:paraId="7364A1F7" w14:textId="6CE049EF" w:rsidR="00B97805" w:rsidRPr="00C24D50" w:rsidRDefault="00B97805" w:rsidP="00B97805">
            <w:pPr>
              <w:pStyle w:val="TableText"/>
              <w:numPr>
                <w:ilvl w:val="0"/>
                <w:numId w:val="12"/>
              </w:numPr>
              <w:ind w:left="216" w:hanging="180"/>
            </w:pPr>
            <w:r>
              <w:t>To explain that the diary at issue in Step 8 is the diary that was established as part of Step 7.</w:t>
            </w:r>
          </w:p>
        </w:tc>
        <w:tc>
          <w:tcPr>
            <w:tcW w:w="1233" w:type="pct"/>
            <w:shd w:val="clear" w:color="auto" w:fill="auto"/>
          </w:tcPr>
          <w:p w14:paraId="76A676F7" w14:textId="77777777" w:rsidR="00422836" w:rsidRPr="00C24D50" w:rsidRDefault="001A51C1" w:rsidP="002F7397">
            <w:pPr>
              <w:pStyle w:val="TableText"/>
            </w:pPr>
            <w:r>
              <w:t>III.iii.5.K.65.a</w:t>
            </w:r>
          </w:p>
        </w:tc>
        <w:tc>
          <w:tcPr>
            <w:tcW w:w="519" w:type="pct"/>
            <w:shd w:val="clear" w:color="auto" w:fill="auto"/>
          </w:tcPr>
          <w:p w14:paraId="6B2ED3B2" w14:textId="31CC48DF" w:rsidR="00422836" w:rsidRDefault="001A51C1" w:rsidP="002F7397">
            <w:pPr>
              <w:pStyle w:val="TableText"/>
            </w:pPr>
            <w:r>
              <w:t>5-K-11</w:t>
            </w:r>
            <w:r w:rsidR="0038741D">
              <w:t xml:space="preserve"> and 5-</w:t>
            </w:r>
            <w:proofErr w:type="spellStart"/>
            <w:r w:rsidR="0038741D">
              <w:t>K</w:t>
            </w:r>
            <w:r w:rsidR="00B97805">
              <w:t>14</w:t>
            </w:r>
            <w:proofErr w:type="spellEnd"/>
          </w:p>
        </w:tc>
      </w:tr>
      <w:tr w:rsidR="00422836" w14:paraId="23FA94D4" w14:textId="77777777" w:rsidTr="00EB1D7E">
        <w:trPr>
          <w:trHeight w:val="180"/>
        </w:trPr>
        <w:tc>
          <w:tcPr>
            <w:tcW w:w="3248" w:type="pct"/>
            <w:shd w:val="clear" w:color="auto" w:fill="auto"/>
          </w:tcPr>
          <w:p w14:paraId="6CF86F39" w14:textId="77777777" w:rsidR="00422836" w:rsidRPr="00C24D50" w:rsidRDefault="0095695E" w:rsidP="0095695E">
            <w:pPr>
              <w:pStyle w:val="TableText"/>
            </w:pPr>
            <w:r>
              <w:t xml:space="preserve">To remove Topic 70 </w:t>
            </w:r>
            <w:proofErr w:type="gramStart"/>
            <w:r>
              <w:t>which describes reporting requirements that are no longer applicable.</w:t>
            </w:r>
            <w:proofErr w:type="gramEnd"/>
          </w:p>
        </w:tc>
        <w:tc>
          <w:tcPr>
            <w:tcW w:w="1233" w:type="pct"/>
            <w:shd w:val="clear" w:color="auto" w:fill="auto"/>
          </w:tcPr>
          <w:p w14:paraId="11CFD4FF" w14:textId="05146DAE" w:rsidR="00422836" w:rsidRPr="00C24D50" w:rsidRDefault="0034071C" w:rsidP="00933BDB">
            <w:pPr>
              <w:pStyle w:val="TableText"/>
            </w:pPr>
            <w:r>
              <w:t>-</w:t>
            </w:r>
            <w:r w:rsidR="00053326">
              <w:t>-</w:t>
            </w:r>
          </w:p>
        </w:tc>
        <w:tc>
          <w:tcPr>
            <w:tcW w:w="519" w:type="pct"/>
            <w:shd w:val="clear" w:color="auto" w:fill="auto"/>
          </w:tcPr>
          <w:p w14:paraId="7412F32E" w14:textId="7BC05771" w:rsidR="00422836" w:rsidRDefault="0034071C" w:rsidP="00933BDB">
            <w:pPr>
              <w:pStyle w:val="TableText"/>
            </w:pPr>
            <w:r>
              <w:t>-</w:t>
            </w:r>
            <w:r w:rsidR="00053326">
              <w:t>-</w:t>
            </w:r>
          </w:p>
          <w:p w14:paraId="6D2AF4B4" w14:textId="77777777" w:rsidR="001207BB" w:rsidRDefault="001207BB" w:rsidP="00933BDB">
            <w:pPr>
              <w:pStyle w:val="TableText"/>
            </w:pPr>
          </w:p>
        </w:tc>
      </w:tr>
    </w:tbl>
    <w:p w14:paraId="5F2C5105"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0CD4B19F" w14:textId="77777777" w:rsidTr="00237C22">
        <w:tc>
          <w:tcPr>
            <w:tcW w:w="1728" w:type="dxa"/>
          </w:tcPr>
          <w:p w14:paraId="422D1C03" w14:textId="77777777" w:rsidR="00504F80" w:rsidRPr="00B4163A" w:rsidRDefault="00504F80" w:rsidP="00237C22">
            <w:pPr>
              <w:pStyle w:val="Heading5"/>
              <w:rPr>
                <w:sz w:val="24"/>
              </w:rPr>
            </w:pPr>
            <w:r w:rsidRPr="00B4163A">
              <w:rPr>
                <w:sz w:val="24"/>
              </w:rPr>
              <w:t>Rescissions</w:t>
            </w:r>
          </w:p>
        </w:tc>
        <w:tc>
          <w:tcPr>
            <w:tcW w:w="7740" w:type="dxa"/>
          </w:tcPr>
          <w:p w14:paraId="579867D8" w14:textId="77777777" w:rsidR="00504F80" w:rsidRPr="00B4163A" w:rsidRDefault="00504F80" w:rsidP="00237C22">
            <w:pPr>
              <w:pStyle w:val="BlockText"/>
            </w:pPr>
            <w:r w:rsidRPr="00B4163A">
              <w:t>None</w:t>
            </w:r>
          </w:p>
        </w:tc>
      </w:tr>
    </w:tbl>
    <w:p w14:paraId="56AEE6AB"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13031AAD" w14:textId="77777777" w:rsidTr="00237C22">
        <w:tc>
          <w:tcPr>
            <w:tcW w:w="1728" w:type="dxa"/>
          </w:tcPr>
          <w:p w14:paraId="0ED41A05" w14:textId="77777777" w:rsidR="00504F80" w:rsidRPr="00B4163A" w:rsidRDefault="00504F80" w:rsidP="00237C22">
            <w:pPr>
              <w:pStyle w:val="Heading5"/>
              <w:rPr>
                <w:sz w:val="24"/>
              </w:rPr>
            </w:pPr>
            <w:r w:rsidRPr="00B4163A">
              <w:rPr>
                <w:sz w:val="24"/>
              </w:rPr>
              <w:t>Authority</w:t>
            </w:r>
          </w:p>
        </w:tc>
        <w:tc>
          <w:tcPr>
            <w:tcW w:w="7740" w:type="dxa"/>
          </w:tcPr>
          <w:p w14:paraId="79F6FADE" w14:textId="77777777" w:rsidR="00504F80" w:rsidRPr="00B4163A" w:rsidRDefault="00504F80" w:rsidP="00237C22">
            <w:pPr>
              <w:pStyle w:val="BlockText"/>
            </w:pPr>
            <w:r w:rsidRPr="00B4163A">
              <w:t>By Direction of the Under Secretary for Benefits</w:t>
            </w:r>
          </w:p>
        </w:tc>
      </w:tr>
    </w:tbl>
    <w:p w14:paraId="79231445"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2860A63D" w14:textId="77777777" w:rsidTr="00237C22">
        <w:tc>
          <w:tcPr>
            <w:tcW w:w="1728" w:type="dxa"/>
          </w:tcPr>
          <w:p w14:paraId="51CD8876" w14:textId="77777777" w:rsidR="00504F80" w:rsidRPr="00B4163A" w:rsidRDefault="00504F80" w:rsidP="00237C22">
            <w:pPr>
              <w:pStyle w:val="Heading5"/>
              <w:rPr>
                <w:sz w:val="24"/>
              </w:rPr>
            </w:pPr>
            <w:r w:rsidRPr="00B4163A">
              <w:rPr>
                <w:sz w:val="24"/>
              </w:rPr>
              <w:t>Signature</w:t>
            </w:r>
          </w:p>
        </w:tc>
        <w:tc>
          <w:tcPr>
            <w:tcW w:w="7740" w:type="dxa"/>
          </w:tcPr>
          <w:p w14:paraId="54F8F833" w14:textId="77777777" w:rsidR="00504F80" w:rsidRPr="00B4163A" w:rsidRDefault="00504F80" w:rsidP="00237C22">
            <w:pPr>
              <w:pStyle w:val="BlockText"/>
            </w:pPr>
          </w:p>
          <w:p w14:paraId="6E56947E" w14:textId="77777777" w:rsidR="00504F80" w:rsidRPr="00B4163A" w:rsidRDefault="00504F80" w:rsidP="00237C22">
            <w:pPr>
              <w:pStyle w:val="MemoLine"/>
              <w:ind w:left="-18" w:right="612"/>
            </w:pPr>
          </w:p>
          <w:p w14:paraId="0A8B890F" w14:textId="77777777" w:rsidR="00504F80" w:rsidRPr="00B4163A" w:rsidRDefault="00504F80" w:rsidP="00237C22">
            <w:pPr>
              <w:rPr>
                <w:szCs w:val="20"/>
              </w:rPr>
            </w:pPr>
            <w:r w:rsidRPr="00B4163A">
              <w:t>Thomas J. Murphy, Director</w:t>
            </w:r>
          </w:p>
          <w:p w14:paraId="2615AB7D" w14:textId="77777777" w:rsidR="00504F80" w:rsidRPr="00B4163A" w:rsidRDefault="00504F80" w:rsidP="00237C22">
            <w:pPr>
              <w:pStyle w:val="BlockText"/>
            </w:pPr>
            <w:r w:rsidRPr="00B4163A">
              <w:t>Compensation Service</w:t>
            </w:r>
          </w:p>
        </w:tc>
      </w:tr>
    </w:tbl>
    <w:p w14:paraId="1ED6451C"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504FE4F2" w14:textId="77777777" w:rsidTr="00237C22">
        <w:tc>
          <w:tcPr>
            <w:tcW w:w="1728" w:type="dxa"/>
          </w:tcPr>
          <w:p w14:paraId="1D25F993" w14:textId="77777777" w:rsidR="00504F80" w:rsidRPr="00B4163A" w:rsidRDefault="00504F80" w:rsidP="00237C22">
            <w:pPr>
              <w:pStyle w:val="Heading5"/>
              <w:rPr>
                <w:sz w:val="24"/>
              </w:rPr>
            </w:pPr>
            <w:r w:rsidRPr="00B4163A">
              <w:rPr>
                <w:sz w:val="24"/>
              </w:rPr>
              <w:t>Distribution</w:t>
            </w:r>
          </w:p>
        </w:tc>
        <w:tc>
          <w:tcPr>
            <w:tcW w:w="7740" w:type="dxa"/>
          </w:tcPr>
          <w:p w14:paraId="54E42AEF" w14:textId="77777777" w:rsidR="00504F80" w:rsidRDefault="00504F80" w:rsidP="00237C22">
            <w:pPr>
              <w:pStyle w:val="BlockText"/>
              <w:jc w:val="center"/>
            </w:pPr>
            <w:r w:rsidRPr="00B4163A">
              <w:t>LOCAL REPRODUCTION AUTHORIZED</w:t>
            </w:r>
          </w:p>
        </w:tc>
      </w:tr>
    </w:tbl>
    <w:p w14:paraId="240EF4C1"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6CD0459C" w14:textId="045CE34D"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CC798D">
        <w:fldChar w:fldCharType="begin">
          <w:fldData xml:space="preserve">RABvAGMAVABlAG0AcAAxAFYAYQByAFQAcgBhAGQAaQB0AGkAbwBuAGEAbAA=
</w:fldData>
        </w:fldChar>
      </w:r>
      <w:r w:rsidR="00CC798D">
        <w:instrText xml:space="preserve"> ADDIN  \* MERGEFORMAT </w:instrText>
      </w:r>
      <w:r w:rsidR="00CC798D">
        <w:fldChar w:fldCharType="end"/>
      </w:r>
      <w:r w:rsidR="00CC798D">
        <w:fldChar w:fldCharType="begin">
          <w:fldData xml:space="preserve">RgBvAG4AdABTAGUAdABpAG0AaQBzAHQAeQBsAGUAcwAuAHgAbQBsAA==
</w:fldData>
        </w:fldChar>
      </w:r>
      <w:r w:rsidR="00CC798D">
        <w:instrText xml:space="preserve"> ADDIN  \* MERGEFORMAT </w:instrText>
      </w:r>
      <w:r w:rsidR="00CC798D">
        <w:fldChar w:fldCharType="end"/>
      </w:r>
    </w:p>
    <w:sectPr w:rsidR="007D5B97" w:rsidSect="00237C22">
      <w:footerReference w:type="even" r:id="rId12"/>
      <w:footerReference w:type="default" r:id="rId13"/>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584EE" w14:textId="77777777" w:rsidR="005B43CB" w:rsidRDefault="005B43CB" w:rsidP="00C765C7">
      <w:r>
        <w:separator/>
      </w:r>
    </w:p>
  </w:endnote>
  <w:endnote w:type="continuationSeparator" w:id="0">
    <w:p w14:paraId="6D395BD3" w14:textId="77777777" w:rsidR="005B43CB" w:rsidRDefault="005B43CB"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6448F"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90DAE5" w14:textId="77777777" w:rsidR="00237C22" w:rsidRDefault="00237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4CA79"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0900">
      <w:rPr>
        <w:rStyle w:val="PageNumber"/>
        <w:noProof/>
      </w:rPr>
      <w:t>i</w:t>
    </w:r>
    <w:r>
      <w:rPr>
        <w:rStyle w:val="PageNumber"/>
      </w:rPr>
      <w:fldChar w:fldCharType="end"/>
    </w:r>
  </w:p>
  <w:p w14:paraId="76586D87" w14:textId="77777777" w:rsidR="00237C22" w:rsidRDefault="00237C22"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ED1B3" w14:textId="77777777" w:rsidR="005B43CB" w:rsidRDefault="005B43CB" w:rsidP="00C765C7">
      <w:r>
        <w:separator/>
      </w:r>
    </w:p>
  </w:footnote>
  <w:footnote w:type="continuationSeparator" w:id="0">
    <w:p w14:paraId="6B6F8B07" w14:textId="77777777" w:rsidR="005B43CB" w:rsidRDefault="005B43CB"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12pt;height:12pt" o:bullet="t">
        <v:imagedata r:id="rId1" o:title="fspro_2columns"/>
      </v:shape>
    </w:pict>
  </w:numPicBullet>
  <w:numPicBullet w:numPicBulletId="1">
    <w:pict>
      <v:shape id="_x0000_i1128" type="#_x0000_t75" style="width:12pt;height:12pt" o:bullet="t">
        <v:imagedata r:id="rId2" o:title="advanced"/>
      </v:shape>
    </w:pict>
  </w:numPicBullet>
  <w:numPicBullet w:numPicBulletId="2">
    <w:pict>
      <v:shape id="_x0000_i1129" type="#_x0000_t75" style="width:12pt;height:12pt" o:bullet="t">
        <v:imagedata r:id="rId3" o:title="continue"/>
      </v:shape>
    </w:pict>
  </w:numPicBullet>
  <w:numPicBullet w:numPicBulletId="3">
    <w:pict>
      <v:shape id="_x0000_i1130"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8242F3"/>
    <w:multiLevelType w:val="hybridMultilevel"/>
    <w:tmpl w:val="481E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4">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5">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6">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8">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0">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6"/>
  </w:num>
  <w:num w:numId="3">
    <w:abstractNumId w:val="0"/>
  </w:num>
  <w:num w:numId="4">
    <w:abstractNumId w:val="8"/>
  </w:num>
  <w:num w:numId="5">
    <w:abstractNumId w:val="5"/>
  </w:num>
  <w:num w:numId="6">
    <w:abstractNumId w:val="4"/>
  </w:num>
  <w:num w:numId="7">
    <w:abstractNumId w:val="9"/>
  </w:num>
  <w:num w:numId="8">
    <w:abstractNumId w:val="3"/>
  </w:num>
  <w:num w:numId="9">
    <w:abstractNumId w:val="2"/>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FF26A6"/>
    <w:rsid w:val="00002A1E"/>
    <w:rsid w:val="00014A89"/>
    <w:rsid w:val="000252C6"/>
    <w:rsid w:val="000256FB"/>
    <w:rsid w:val="00053326"/>
    <w:rsid w:val="00093228"/>
    <w:rsid w:val="000A7776"/>
    <w:rsid w:val="00100433"/>
    <w:rsid w:val="0010215F"/>
    <w:rsid w:val="00106EEF"/>
    <w:rsid w:val="001207BB"/>
    <w:rsid w:val="00123973"/>
    <w:rsid w:val="001253ED"/>
    <w:rsid w:val="00186D46"/>
    <w:rsid w:val="001A51C1"/>
    <w:rsid w:val="001C3AE3"/>
    <w:rsid w:val="001C3EB5"/>
    <w:rsid w:val="002041BE"/>
    <w:rsid w:val="00237C22"/>
    <w:rsid w:val="00240624"/>
    <w:rsid w:val="002B7A7E"/>
    <w:rsid w:val="002F5B21"/>
    <w:rsid w:val="002F7397"/>
    <w:rsid w:val="00332B80"/>
    <w:rsid w:val="0034071C"/>
    <w:rsid w:val="00341981"/>
    <w:rsid w:val="00366D36"/>
    <w:rsid w:val="00386999"/>
    <w:rsid w:val="0038741D"/>
    <w:rsid w:val="003B2927"/>
    <w:rsid w:val="003D47AF"/>
    <w:rsid w:val="003E2CA2"/>
    <w:rsid w:val="003F3021"/>
    <w:rsid w:val="003F6048"/>
    <w:rsid w:val="003F672A"/>
    <w:rsid w:val="00401EAD"/>
    <w:rsid w:val="0040351B"/>
    <w:rsid w:val="0041026E"/>
    <w:rsid w:val="00421403"/>
    <w:rsid w:val="00422836"/>
    <w:rsid w:val="00435BA5"/>
    <w:rsid w:val="00450FD6"/>
    <w:rsid w:val="00455EF7"/>
    <w:rsid w:val="004562CC"/>
    <w:rsid w:val="00471ECA"/>
    <w:rsid w:val="00482FA3"/>
    <w:rsid w:val="0048559D"/>
    <w:rsid w:val="00494175"/>
    <w:rsid w:val="004F375E"/>
    <w:rsid w:val="00504F80"/>
    <w:rsid w:val="00506485"/>
    <w:rsid w:val="00513DA7"/>
    <w:rsid w:val="00516C82"/>
    <w:rsid w:val="00594258"/>
    <w:rsid w:val="005B43CB"/>
    <w:rsid w:val="005E4363"/>
    <w:rsid w:val="00600DC7"/>
    <w:rsid w:val="0062068D"/>
    <w:rsid w:val="006317AA"/>
    <w:rsid w:val="006473C3"/>
    <w:rsid w:val="006708D7"/>
    <w:rsid w:val="006837E0"/>
    <w:rsid w:val="006B7262"/>
    <w:rsid w:val="006C3E5F"/>
    <w:rsid w:val="006C48FF"/>
    <w:rsid w:val="006D10E5"/>
    <w:rsid w:val="006D52FE"/>
    <w:rsid w:val="006F6D37"/>
    <w:rsid w:val="00724248"/>
    <w:rsid w:val="00732186"/>
    <w:rsid w:val="00737049"/>
    <w:rsid w:val="007A0C5F"/>
    <w:rsid w:val="007D5B97"/>
    <w:rsid w:val="007E5515"/>
    <w:rsid w:val="0080590C"/>
    <w:rsid w:val="008144E7"/>
    <w:rsid w:val="00822A16"/>
    <w:rsid w:val="008417B2"/>
    <w:rsid w:val="00846A5E"/>
    <w:rsid w:val="0086475B"/>
    <w:rsid w:val="00875AFA"/>
    <w:rsid w:val="0088609E"/>
    <w:rsid w:val="008A1A5F"/>
    <w:rsid w:val="008B4CB5"/>
    <w:rsid w:val="008C723F"/>
    <w:rsid w:val="008D12C3"/>
    <w:rsid w:val="008D458B"/>
    <w:rsid w:val="008E22CF"/>
    <w:rsid w:val="008E5824"/>
    <w:rsid w:val="008E589A"/>
    <w:rsid w:val="008F14EA"/>
    <w:rsid w:val="008F1D5B"/>
    <w:rsid w:val="00916AE6"/>
    <w:rsid w:val="00933BDB"/>
    <w:rsid w:val="00945950"/>
    <w:rsid w:val="0095695E"/>
    <w:rsid w:val="009769CD"/>
    <w:rsid w:val="00997D98"/>
    <w:rsid w:val="009C22C8"/>
    <w:rsid w:val="009E6E1A"/>
    <w:rsid w:val="00A315CB"/>
    <w:rsid w:val="00A3579D"/>
    <w:rsid w:val="00A55356"/>
    <w:rsid w:val="00A557BB"/>
    <w:rsid w:val="00A8520D"/>
    <w:rsid w:val="00AC2993"/>
    <w:rsid w:val="00AF0900"/>
    <w:rsid w:val="00AF2CD6"/>
    <w:rsid w:val="00B26985"/>
    <w:rsid w:val="00B30D2F"/>
    <w:rsid w:val="00B50AD7"/>
    <w:rsid w:val="00B64F2F"/>
    <w:rsid w:val="00B93A3C"/>
    <w:rsid w:val="00B96287"/>
    <w:rsid w:val="00B97805"/>
    <w:rsid w:val="00BB0318"/>
    <w:rsid w:val="00BB3345"/>
    <w:rsid w:val="00BF7FE3"/>
    <w:rsid w:val="00C0404B"/>
    <w:rsid w:val="00C24D50"/>
    <w:rsid w:val="00C346CD"/>
    <w:rsid w:val="00C765C7"/>
    <w:rsid w:val="00CC798D"/>
    <w:rsid w:val="00CD2D08"/>
    <w:rsid w:val="00D33A6E"/>
    <w:rsid w:val="00D36508"/>
    <w:rsid w:val="00D57B91"/>
    <w:rsid w:val="00D61497"/>
    <w:rsid w:val="00D77146"/>
    <w:rsid w:val="00D823AF"/>
    <w:rsid w:val="00D87741"/>
    <w:rsid w:val="00D9207B"/>
    <w:rsid w:val="00DA09A9"/>
    <w:rsid w:val="00DA11C2"/>
    <w:rsid w:val="00DB074F"/>
    <w:rsid w:val="00DB2902"/>
    <w:rsid w:val="00DB743E"/>
    <w:rsid w:val="00DE0E35"/>
    <w:rsid w:val="00DF44AC"/>
    <w:rsid w:val="00E2529E"/>
    <w:rsid w:val="00E36906"/>
    <w:rsid w:val="00E648E9"/>
    <w:rsid w:val="00E964FD"/>
    <w:rsid w:val="00EB1D7E"/>
    <w:rsid w:val="00ED4D5E"/>
    <w:rsid w:val="00F006B2"/>
    <w:rsid w:val="00F43DFA"/>
    <w:rsid w:val="00F87670"/>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6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86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c12b2768c8e4029759d13a5a5b3dfa4c">
  <xsd:schema xmlns:xsd="http://www.w3.org/2001/XMLSchema" xmlns:xs="http://www.w3.org/2001/XMLSchema" xmlns:p="http://schemas.microsoft.com/office/2006/metadata/properties" xmlns:ns2="b438dcf7-3998-4283-b7fc-0ec6fa8e430f" targetNamespace="http://schemas.microsoft.com/office/2006/metadata/properties" ma:root="true" ma:fieldsID="a81d78088bb395a281ca6ac745992e25"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B3262-7E72-4827-AF20-6F4868708AA5}">
  <ds:schemaRefs>
    <ds:schemaRef ds:uri="http://schemas.microsoft.com/office/infopath/2007/PartnerControl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b438dcf7-3998-4283-b7fc-0ec6fa8e430f"/>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4.xml><?xml version="1.0" encoding="utf-8"?>
<ds:datastoreItem xmlns:ds="http://schemas.openxmlformats.org/officeDocument/2006/customXml" ds:itemID="{E5ACC544-0725-4151-BC82-AA5902AEE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Transmittal Sheet.dot</Template>
  <TotalTime>47</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Mazar, Leah B., VBAVACO</cp:lastModifiedBy>
  <cp:revision>12</cp:revision>
  <dcterms:created xsi:type="dcterms:W3CDTF">2014-06-19T14:58:00Z</dcterms:created>
  <dcterms:modified xsi:type="dcterms:W3CDTF">2014-09-23T17:47:00Z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