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64ADE" w14:textId="70369CE3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</w:r>
      <w:r w:rsidR="00C006B2"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z w:val="20"/>
        </w:rPr>
        <w:t xml:space="preserve">M21-1,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r w:rsidR="00945950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>i</w:t>
      </w:r>
    </w:p>
    <w:p w14:paraId="57C64ADF" w14:textId="271F20B6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C006B2">
        <w:rPr>
          <w:b/>
          <w:bCs/>
          <w:sz w:val="20"/>
        </w:rPr>
        <w:tab/>
      </w:r>
      <w:r w:rsidR="00C006B2">
        <w:rPr>
          <w:b/>
          <w:bCs/>
          <w:sz w:val="20"/>
        </w:rPr>
        <w:tab/>
        <w:t xml:space="preserve">      July 21, 2015</w:t>
      </w:r>
      <w:r>
        <w:rPr>
          <w:b/>
          <w:bCs/>
          <w:sz w:val="20"/>
        </w:rPr>
        <w:tab/>
      </w:r>
    </w:p>
    <w:p w14:paraId="57C64AE0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57C64AE1" w14:textId="77777777" w:rsidR="00504F80" w:rsidRDefault="00504F80" w:rsidP="00504F80">
      <w:pPr>
        <w:rPr>
          <w:b/>
          <w:bCs/>
          <w:sz w:val="20"/>
        </w:rPr>
      </w:pPr>
    </w:p>
    <w:p w14:paraId="57C64AE2" w14:textId="77777777" w:rsidR="00504F80" w:rsidRDefault="00504F80" w:rsidP="00504F80">
      <w:pPr>
        <w:pStyle w:val="Heading4"/>
      </w:pPr>
      <w:r>
        <w:t xml:space="preserve">Transmittal Sheet </w:t>
      </w:r>
    </w:p>
    <w:p w14:paraId="57C64AE3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57C64AF5" w14:textId="77777777" w:rsidTr="00C24D50">
        <w:tc>
          <w:tcPr>
            <w:tcW w:w="1728" w:type="dxa"/>
          </w:tcPr>
          <w:p w14:paraId="57C64AE4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57C64AE5" w14:textId="4AFE755D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Subpart </w:t>
            </w:r>
            <w:r w:rsidR="00BB3345">
              <w:t>ii</w:t>
            </w:r>
            <w:r>
              <w:t>i, “</w:t>
            </w:r>
            <w:r w:rsidR="00BB3345">
              <w:t xml:space="preserve">General </w:t>
            </w:r>
            <w:r>
              <w:t>Development</w:t>
            </w:r>
            <w:r w:rsidR="00BB3345">
              <w:t xml:space="preserve"> and Dependency Issues</w:t>
            </w:r>
            <w:r>
              <w:t>.”</w:t>
            </w:r>
          </w:p>
          <w:p w14:paraId="57C64AE6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57C64AEA" w14:textId="74300C7B" w:rsidR="00504F80" w:rsidRDefault="00504F80" w:rsidP="007E3C96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Minor editorial changes have also been made to </w:t>
            </w:r>
          </w:p>
          <w:p w14:paraId="57C64AF1" w14:textId="2E1F9B91" w:rsidR="003E2CA2" w:rsidRDefault="003E2CA2" w:rsidP="007E3C96">
            <w:pPr>
              <w:numPr>
                <w:ilvl w:val="0"/>
                <w:numId w:val="11"/>
              </w:numPr>
              <w:ind w:left="158" w:hanging="187"/>
            </w:pPr>
            <w:r>
              <w:t>reassign alphabetical designations to individual blocks, where necessary, to account for new and/or deleted blocks within a topic</w:t>
            </w:r>
          </w:p>
          <w:p w14:paraId="57C64AF2" w14:textId="08F0D5CE" w:rsidR="00A557BB" w:rsidRDefault="00A557BB" w:rsidP="007E3C96">
            <w:pPr>
              <w:numPr>
                <w:ilvl w:val="0"/>
                <w:numId w:val="11"/>
              </w:numPr>
              <w:ind w:left="158" w:hanging="187"/>
            </w:pPr>
            <w:r>
              <w:t>update section and topic titles to more accurately reflect their content</w:t>
            </w:r>
            <w:r w:rsidR="007E3C96">
              <w:t>, and</w:t>
            </w:r>
          </w:p>
          <w:p w14:paraId="57C64AF4" w14:textId="4C8DBA47" w:rsidR="00504F80" w:rsidRPr="00EA3A57" w:rsidRDefault="00504F80" w:rsidP="007E3C96">
            <w:pPr>
              <w:numPr>
                <w:ilvl w:val="0"/>
                <w:numId w:val="11"/>
              </w:numPr>
              <w:ind w:left="158" w:hanging="187"/>
            </w:pPr>
            <w:r>
              <w:t xml:space="preserve">clarify </w:t>
            </w:r>
            <w:r w:rsidR="002041BE">
              <w:t>b</w:t>
            </w:r>
            <w:r w:rsidR="00D61497">
              <w:t xml:space="preserve">lock labels and/or </w:t>
            </w:r>
            <w:r w:rsidR="002041BE">
              <w:t>b</w:t>
            </w:r>
            <w:r>
              <w:t>lock text.</w:t>
            </w:r>
          </w:p>
        </w:tc>
        <w:bookmarkStart w:id="0" w:name="_GoBack"/>
        <w:bookmarkEnd w:id="0"/>
      </w:tr>
    </w:tbl>
    <w:p w14:paraId="57C64AF6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9"/>
        <w:gridCol w:w="1981"/>
      </w:tblGrid>
      <w:tr w:rsidR="002A1D3E" w14:paraId="57C64AFA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57C64AF7" w14:textId="77777777"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058" w:type="pct"/>
            <w:shd w:val="clear" w:color="auto" w:fill="auto"/>
          </w:tcPr>
          <w:p w14:paraId="57C64AF8" w14:textId="77777777"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2A1D3E" w14:paraId="57C64AFE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0D4DA2F0" w14:textId="3FBB2107" w:rsidR="007E3C96" w:rsidRDefault="007E3C96" w:rsidP="002F7397">
            <w:pPr>
              <w:numPr>
                <w:ilvl w:val="0"/>
                <w:numId w:val="13"/>
              </w:numPr>
              <w:ind w:left="158" w:hanging="187"/>
            </w:pPr>
            <w:r>
              <w:t xml:space="preserve">To incorporate </w:t>
            </w:r>
            <w:r w:rsidR="0052579C">
              <w:t>a</w:t>
            </w:r>
            <w:r>
              <w:t xml:space="preserve"> new requirement to undertake any development necessary to establish entitlement to additional disability compensation for dependents </w:t>
            </w:r>
            <w:r w:rsidRPr="00EE1BDC">
              <w:rPr>
                <w:i/>
              </w:rPr>
              <w:t>concurrent with</w:t>
            </w:r>
            <w:r>
              <w:t xml:space="preserve"> initial development of</w:t>
            </w:r>
          </w:p>
          <w:p w14:paraId="30DAFC01" w14:textId="77777777" w:rsidR="007E3C96" w:rsidRDefault="007E3C96" w:rsidP="00EE1BDC">
            <w:pPr>
              <w:numPr>
                <w:ilvl w:val="0"/>
                <w:numId w:val="14"/>
              </w:numPr>
              <w:ind w:left="346" w:hanging="187"/>
            </w:pPr>
            <w:r>
              <w:t>an original or reopened claim for disability compensation, or</w:t>
            </w:r>
          </w:p>
          <w:p w14:paraId="0C2FDC6B" w14:textId="77777777" w:rsidR="007E3C96" w:rsidRDefault="007E3C96" w:rsidP="00EE1BDC">
            <w:pPr>
              <w:numPr>
                <w:ilvl w:val="0"/>
                <w:numId w:val="14"/>
              </w:numPr>
              <w:ind w:left="346" w:hanging="187"/>
            </w:pPr>
            <w:r>
              <w:t>a claim for increased disability compensation.</w:t>
            </w:r>
          </w:p>
          <w:p w14:paraId="78CC1C60" w14:textId="77777777" w:rsidR="00EE1BDC" w:rsidRDefault="00EE1BDC" w:rsidP="00EE1BDC">
            <w:pPr>
              <w:numPr>
                <w:ilvl w:val="0"/>
                <w:numId w:val="15"/>
              </w:numPr>
              <w:ind w:left="158" w:hanging="187"/>
            </w:pPr>
            <w:r>
              <w:t>To provide instructions for handling a claim for additional disability compensation for a dependent when it is received while an end product (EP) 110 or 010 is pending.</w:t>
            </w:r>
          </w:p>
          <w:p w14:paraId="775EB5BF" w14:textId="45513FF1" w:rsidR="00EE1BDC" w:rsidRDefault="00EE1BDC" w:rsidP="00EE1BDC">
            <w:pPr>
              <w:numPr>
                <w:ilvl w:val="0"/>
                <w:numId w:val="15"/>
              </w:numPr>
              <w:ind w:left="158" w:hanging="187"/>
            </w:pPr>
            <w:r>
              <w:t>To instruct reader</w:t>
            </w:r>
            <w:r w:rsidR="002606C4">
              <w:t>s</w:t>
            </w:r>
            <w:r>
              <w:t xml:space="preserve"> to follow the instructions in III.iii.5.L.1.e if upfront development to establish entitlement to additional disability compensation for dependents is mistakenly overlooked during initial development of</w:t>
            </w:r>
          </w:p>
          <w:p w14:paraId="138E2A1B" w14:textId="77777777" w:rsidR="00EE1BDC" w:rsidRDefault="00EE1BDC" w:rsidP="00EE1BDC">
            <w:pPr>
              <w:numPr>
                <w:ilvl w:val="0"/>
                <w:numId w:val="14"/>
              </w:numPr>
              <w:ind w:left="346" w:hanging="187"/>
            </w:pPr>
            <w:r>
              <w:t>an original or reopened claim for disability compensation, or</w:t>
            </w:r>
          </w:p>
          <w:p w14:paraId="57C64AFB" w14:textId="4FF206C1" w:rsidR="00EE1BDC" w:rsidRPr="00C24D50" w:rsidRDefault="00EE1BDC" w:rsidP="00EE1BDC">
            <w:pPr>
              <w:numPr>
                <w:ilvl w:val="0"/>
                <w:numId w:val="16"/>
              </w:numPr>
              <w:ind w:left="346" w:hanging="187"/>
            </w:pPr>
            <w:r>
              <w:t>a claim for increased disability compensation.</w:t>
            </w:r>
          </w:p>
        </w:tc>
        <w:tc>
          <w:tcPr>
            <w:tcW w:w="1058" w:type="pct"/>
            <w:shd w:val="clear" w:color="auto" w:fill="auto"/>
          </w:tcPr>
          <w:p w14:paraId="57C64AFC" w14:textId="0534BD10" w:rsidR="002A1D3E" w:rsidRPr="00C24D50" w:rsidRDefault="00EE1BDC" w:rsidP="002F7397">
            <w:pPr>
              <w:pStyle w:val="TableText"/>
            </w:pPr>
            <w:r>
              <w:t>M21-1, Part III, Subpart iii, Chapter 5, Section A, Topic 1, Block h (III.iii.5.A.1.h)</w:t>
            </w:r>
          </w:p>
        </w:tc>
      </w:tr>
      <w:tr w:rsidR="002A1D3E" w14:paraId="57C64B02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505D2514" w14:textId="491CA00B" w:rsidR="00675266" w:rsidRDefault="00675266" w:rsidP="00E95204">
            <w:pPr>
              <w:numPr>
                <w:ilvl w:val="0"/>
                <w:numId w:val="17"/>
              </w:numPr>
              <w:ind w:left="158" w:hanging="187"/>
            </w:pPr>
            <w:r>
              <w:t xml:space="preserve">To clarify that a claim to add a dependent to a claimant’s award that the Department of Veterans Affairs (VA) receives on </w:t>
            </w:r>
            <w:r w:rsidRPr="00675266">
              <w:t xml:space="preserve">VA Form 21-0538, </w:t>
            </w:r>
            <w:r w:rsidRPr="00675266">
              <w:rPr>
                <w:i/>
              </w:rPr>
              <w:t>Status of Dependents Questionnaire</w:t>
            </w:r>
            <w:r w:rsidRPr="00675266">
              <w:t>,</w:t>
            </w:r>
            <w:r w:rsidR="00293719">
              <w:t xml:space="preserve"> is acceptable only if VA receives the form </w:t>
            </w:r>
            <w:r w:rsidR="00293719" w:rsidRPr="00293719">
              <w:t xml:space="preserve">as part of the verification process described in </w:t>
            </w:r>
            <w:r w:rsidR="00293719">
              <w:t>III.iii.</w:t>
            </w:r>
            <w:r w:rsidR="00293719" w:rsidRPr="00293719">
              <w:t>5.K</w:t>
            </w:r>
            <w:r w:rsidR="00293719">
              <w:t>.</w:t>
            </w:r>
          </w:p>
          <w:p w14:paraId="30F7E965" w14:textId="10D2A87D" w:rsidR="00E95204" w:rsidRDefault="00EE1BDC" w:rsidP="00E95204">
            <w:pPr>
              <w:numPr>
                <w:ilvl w:val="0"/>
                <w:numId w:val="17"/>
              </w:numPr>
              <w:ind w:left="158" w:hanging="187"/>
            </w:pPr>
            <w:r>
              <w:t xml:space="preserve">To delete the following as prescribed forms for </w:t>
            </w:r>
            <w:r w:rsidR="00E95204">
              <w:t>claiming additional disability compensation for dependents, because the forms contain no blocks for the entry of information about dependents that is required to determine entitlement.</w:t>
            </w:r>
          </w:p>
          <w:p w14:paraId="4A588E48" w14:textId="67ACBF7B" w:rsidR="00E95204" w:rsidRPr="00E95204" w:rsidRDefault="00E95204" w:rsidP="00E95204">
            <w:pPr>
              <w:numPr>
                <w:ilvl w:val="0"/>
                <w:numId w:val="18"/>
              </w:numPr>
              <w:ind w:left="346" w:hanging="187"/>
            </w:pPr>
            <w:r w:rsidRPr="00E95204">
              <w:t xml:space="preserve">VA Form 21-526b, </w:t>
            </w:r>
            <w:r w:rsidRPr="00E95204">
              <w:rPr>
                <w:i/>
              </w:rPr>
              <w:t>Veteran's Supplemental Claim for Compensation</w:t>
            </w:r>
            <w:r>
              <w:t>, and</w:t>
            </w:r>
          </w:p>
          <w:p w14:paraId="7C966C51" w14:textId="77777777" w:rsidR="00E95204" w:rsidRDefault="00E95204" w:rsidP="00E95204">
            <w:pPr>
              <w:numPr>
                <w:ilvl w:val="0"/>
                <w:numId w:val="18"/>
              </w:numPr>
              <w:ind w:left="346" w:hanging="187"/>
            </w:pPr>
            <w:r w:rsidRPr="00E95204">
              <w:t xml:space="preserve">VA Form 21-526EZ, </w:t>
            </w:r>
            <w:r w:rsidRPr="00E95204">
              <w:rPr>
                <w:i/>
              </w:rPr>
              <w:t>Application for Disability Compensation and Related Compensation Benefits</w:t>
            </w:r>
            <w:r>
              <w:t>.</w:t>
            </w:r>
          </w:p>
          <w:p w14:paraId="32E270BF" w14:textId="77777777" w:rsidR="00E95204" w:rsidRDefault="00E95204" w:rsidP="003A0694">
            <w:pPr>
              <w:numPr>
                <w:ilvl w:val="0"/>
                <w:numId w:val="19"/>
              </w:numPr>
              <w:ind w:left="158" w:hanging="187"/>
            </w:pPr>
            <w:r>
              <w:t xml:space="preserve">To refer readers to the instructions in III.iii.5.A.4.c </w:t>
            </w:r>
            <w:r w:rsidR="003A0694">
              <w:t xml:space="preserve">upon receipt of a claim for benefits for a dependent that a claimant submits on anything other than a </w:t>
            </w:r>
            <w:r>
              <w:t>prescribed form.</w:t>
            </w:r>
          </w:p>
          <w:p w14:paraId="57C64AFF" w14:textId="29084992" w:rsidR="003A0694" w:rsidRPr="00E95204" w:rsidRDefault="003A0694" w:rsidP="002606C4">
            <w:pPr>
              <w:numPr>
                <w:ilvl w:val="0"/>
                <w:numId w:val="19"/>
              </w:numPr>
              <w:ind w:left="158" w:hanging="187"/>
            </w:pPr>
            <w:r>
              <w:t>To delete a note that referred reader</w:t>
            </w:r>
            <w:r w:rsidR="002606C4">
              <w:t>s</w:t>
            </w:r>
            <w:r>
              <w:t xml:space="preserve"> to III.ii.2.D.1.n for handling </w:t>
            </w:r>
            <w:r>
              <w:lastRenderedPageBreak/>
              <w:t>unsigned forms, as instructions for handling such forms were added to the next block in Topic 4 (III.iii.5.A.4.b).</w:t>
            </w:r>
          </w:p>
        </w:tc>
        <w:tc>
          <w:tcPr>
            <w:tcW w:w="1058" w:type="pct"/>
            <w:shd w:val="clear" w:color="auto" w:fill="auto"/>
          </w:tcPr>
          <w:p w14:paraId="57C64B00" w14:textId="7598133C" w:rsidR="002A1D3E" w:rsidRPr="00C24D50" w:rsidRDefault="00E95204" w:rsidP="002F7397">
            <w:pPr>
              <w:pStyle w:val="TableText"/>
            </w:pPr>
            <w:r>
              <w:lastRenderedPageBreak/>
              <w:t>III.iii.5.A.4.a</w:t>
            </w:r>
          </w:p>
        </w:tc>
      </w:tr>
      <w:tr w:rsidR="002A1D3E" w14:paraId="57C64B06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4ED8F174" w14:textId="40B7DA80" w:rsidR="002A1D3E" w:rsidRDefault="003A0694" w:rsidP="0014470D">
            <w:pPr>
              <w:numPr>
                <w:ilvl w:val="0"/>
                <w:numId w:val="20"/>
              </w:numPr>
              <w:ind w:left="158" w:hanging="187"/>
            </w:pPr>
            <w:r>
              <w:lastRenderedPageBreak/>
              <w:t xml:space="preserve">To update the instructions for handling incomplete forms, to include elimination of the </w:t>
            </w:r>
            <w:r w:rsidR="0014470D">
              <w:t>policy that prohibited telephone contact with a claimant to obtain information the claimant failed to enter on a form.</w:t>
            </w:r>
          </w:p>
          <w:p w14:paraId="23B1EC90" w14:textId="77777777" w:rsidR="0014470D" w:rsidRDefault="0014470D" w:rsidP="0014470D">
            <w:pPr>
              <w:numPr>
                <w:ilvl w:val="0"/>
                <w:numId w:val="20"/>
              </w:numPr>
              <w:ind w:left="158" w:hanging="187"/>
            </w:pPr>
            <w:r>
              <w:t xml:space="preserve">To inform readers that </w:t>
            </w:r>
          </w:p>
          <w:p w14:paraId="3E6195AD" w14:textId="77777777" w:rsidR="0014470D" w:rsidRDefault="0014470D" w:rsidP="0014470D">
            <w:pPr>
              <w:numPr>
                <w:ilvl w:val="0"/>
                <w:numId w:val="21"/>
              </w:numPr>
              <w:ind w:left="346" w:hanging="187"/>
            </w:pPr>
            <w:r>
              <w:t xml:space="preserve">completion of blocks 6, 8, and 14J on </w:t>
            </w:r>
            <w:r w:rsidRPr="0014470D">
              <w:rPr>
                <w:lang w:bidi="en-US"/>
              </w:rPr>
              <w:t xml:space="preserve">VA Form 21-686c, </w:t>
            </w:r>
            <w:r w:rsidRPr="0014470D">
              <w:rPr>
                <w:i/>
                <w:lang w:bidi="en-US"/>
              </w:rPr>
              <w:t>Declaration of Status of Dependents</w:t>
            </w:r>
            <w:r>
              <w:rPr>
                <w:lang w:bidi="en-US"/>
              </w:rPr>
              <w:t>, is optional, and</w:t>
            </w:r>
          </w:p>
          <w:p w14:paraId="385F1E5A" w14:textId="4CFD30B0" w:rsidR="0014470D" w:rsidRDefault="0014470D" w:rsidP="0014470D">
            <w:pPr>
              <w:numPr>
                <w:ilvl w:val="0"/>
                <w:numId w:val="21"/>
              </w:numPr>
              <w:ind w:left="346" w:hanging="187"/>
            </w:pPr>
            <w:r>
              <w:rPr>
                <w:lang w:bidi="en-US"/>
              </w:rPr>
              <w:t xml:space="preserve">a Veteran is not required to provide </w:t>
            </w:r>
            <w:r w:rsidR="00293719">
              <w:rPr>
                <w:lang w:bidi="en-US"/>
              </w:rPr>
              <w:t xml:space="preserve">to VA </w:t>
            </w:r>
            <w:r w:rsidR="00697E39">
              <w:rPr>
                <w:lang w:bidi="en-US"/>
              </w:rPr>
              <w:t>the last name of his/her current spouse</w:t>
            </w:r>
            <w:r>
              <w:rPr>
                <w:lang w:bidi="en-US"/>
              </w:rPr>
              <w:t>.</w:t>
            </w:r>
          </w:p>
          <w:p w14:paraId="57C64B03" w14:textId="1C05B6E2" w:rsidR="0014470D" w:rsidRPr="00C24D50" w:rsidRDefault="0014470D" w:rsidP="00697E39">
            <w:pPr>
              <w:numPr>
                <w:ilvl w:val="0"/>
                <w:numId w:val="22"/>
              </w:numPr>
              <w:ind w:left="158" w:hanging="187"/>
            </w:pPr>
            <w:r>
              <w:t xml:space="preserve">To remind readers </w:t>
            </w:r>
            <w:r w:rsidR="007C406B">
              <w:t xml:space="preserve">that when </w:t>
            </w:r>
            <w:r w:rsidR="00697E39">
              <w:t>VA denies a claimant’s request for</w:t>
            </w:r>
            <w:r w:rsidR="007C406B">
              <w:t xml:space="preserve"> benefits for a dependent</w:t>
            </w:r>
            <w:r w:rsidR="00697E39">
              <w:t>, the evidence VA considered when making its decision must be cited in</w:t>
            </w:r>
            <w:r w:rsidR="007C406B">
              <w:t xml:space="preserve"> the corresponding </w:t>
            </w:r>
            <w:r>
              <w:t>decision notice.</w:t>
            </w:r>
          </w:p>
        </w:tc>
        <w:tc>
          <w:tcPr>
            <w:tcW w:w="1058" w:type="pct"/>
            <w:shd w:val="clear" w:color="auto" w:fill="auto"/>
          </w:tcPr>
          <w:p w14:paraId="57C64B04" w14:textId="682D994D" w:rsidR="002A1D3E" w:rsidRPr="00C24D50" w:rsidRDefault="0014470D" w:rsidP="002F7397">
            <w:pPr>
              <w:pStyle w:val="TableText"/>
            </w:pPr>
            <w:r>
              <w:t>III.iii.5.A.4.b</w:t>
            </w:r>
          </w:p>
        </w:tc>
      </w:tr>
      <w:tr w:rsidR="002A1D3E" w14:paraId="57C64B0A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57C64B07" w14:textId="0E694BFC" w:rsidR="002A1D3E" w:rsidRPr="00C24D50" w:rsidRDefault="002D5F28" w:rsidP="002F7397">
            <w:pPr>
              <w:pStyle w:val="TableText"/>
            </w:pPr>
            <w:r>
              <w:t>To add to the sample letter a paragraph regarding unmarried children that are older than 18 but under the age of 23.</w:t>
            </w:r>
          </w:p>
        </w:tc>
        <w:tc>
          <w:tcPr>
            <w:tcW w:w="1058" w:type="pct"/>
            <w:shd w:val="clear" w:color="auto" w:fill="auto"/>
          </w:tcPr>
          <w:p w14:paraId="57C64B08" w14:textId="7894B51F" w:rsidR="002A1D3E" w:rsidRPr="00C24D50" w:rsidRDefault="002D5F28" w:rsidP="002F7397">
            <w:pPr>
              <w:pStyle w:val="TableText"/>
            </w:pPr>
            <w:r>
              <w:t>III.iii.5.A.4.c</w:t>
            </w:r>
          </w:p>
        </w:tc>
      </w:tr>
      <w:tr w:rsidR="002A1D3E" w14:paraId="57C64B0E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57C64B0B" w14:textId="2B6E89AF" w:rsidR="002A1D3E" w:rsidRPr="00C24D50" w:rsidRDefault="002606C4" w:rsidP="002606C4">
            <w:pPr>
              <w:pStyle w:val="TableText"/>
            </w:pPr>
            <w:r>
              <w:t xml:space="preserve">To instruct readers to send a letter that asks a beneficiary or claimant to </w:t>
            </w:r>
            <w:r w:rsidR="003E2A46">
              <w:t>provide a missing Social Security number (SSN) within 30 days, when the beneficiary or claimant informs VA that he/she has requested an SSN but the Social Security Administration has not yet assigned one.</w:t>
            </w:r>
          </w:p>
        </w:tc>
        <w:tc>
          <w:tcPr>
            <w:tcW w:w="1058" w:type="pct"/>
            <w:shd w:val="clear" w:color="auto" w:fill="auto"/>
          </w:tcPr>
          <w:p w14:paraId="57C64B0C" w14:textId="35652CB0" w:rsidR="002A1D3E" w:rsidRPr="00C24D50" w:rsidRDefault="002606C4" w:rsidP="00933BDB">
            <w:pPr>
              <w:pStyle w:val="TableText"/>
            </w:pPr>
            <w:r>
              <w:t>III.iii.5.A.5.d</w:t>
            </w:r>
          </w:p>
        </w:tc>
      </w:tr>
      <w:tr w:rsidR="002A1D3E" w14:paraId="57C64B1A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57C64B17" w14:textId="0B8B2FCA" w:rsidR="002A1D3E" w:rsidRPr="00C24D50" w:rsidRDefault="00697E39" w:rsidP="00697E39">
            <w:pPr>
              <w:pStyle w:val="TableText"/>
            </w:pPr>
            <w:r>
              <w:t>To delete (old) III.iii.5.A.4.c, as the instructions contained therein (regarding the propriety of obtaining information from a claimant by telephone) are no longer accurate.</w:t>
            </w:r>
          </w:p>
        </w:tc>
        <w:tc>
          <w:tcPr>
            <w:tcW w:w="1058" w:type="pct"/>
            <w:shd w:val="clear" w:color="auto" w:fill="auto"/>
          </w:tcPr>
          <w:p w14:paraId="57C64B18" w14:textId="75B50AA8" w:rsidR="002A1D3E" w:rsidRPr="00C24D50" w:rsidRDefault="00697E39" w:rsidP="00697E39">
            <w:pPr>
              <w:pStyle w:val="TableText"/>
              <w:jc w:val="center"/>
            </w:pPr>
            <w:r>
              <w:t>---</w:t>
            </w:r>
          </w:p>
        </w:tc>
      </w:tr>
    </w:tbl>
    <w:p w14:paraId="57C64B1F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2" w14:textId="77777777" w:rsidTr="00237C22">
        <w:tc>
          <w:tcPr>
            <w:tcW w:w="1728" w:type="dxa"/>
          </w:tcPr>
          <w:p w14:paraId="57C64B20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57C64B21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57C64B23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6" w14:textId="77777777" w:rsidTr="00237C22">
        <w:tc>
          <w:tcPr>
            <w:tcW w:w="1728" w:type="dxa"/>
          </w:tcPr>
          <w:p w14:paraId="57C64B24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57C64B25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57C64B27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D" w14:textId="77777777" w:rsidTr="00237C22">
        <w:tc>
          <w:tcPr>
            <w:tcW w:w="1728" w:type="dxa"/>
          </w:tcPr>
          <w:p w14:paraId="57C64B28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57C64B29" w14:textId="77777777" w:rsidR="00504F80" w:rsidRPr="00B4163A" w:rsidRDefault="00504F80" w:rsidP="00237C22">
            <w:pPr>
              <w:pStyle w:val="BlockText"/>
            </w:pPr>
          </w:p>
          <w:p w14:paraId="57C64B2A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57C64B2B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57C64B2C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57C64B2E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57C64B31" w14:textId="77777777" w:rsidTr="00237C22">
        <w:tc>
          <w:tcPr>
            <w:tcW w:w="1728" w:type="dxa"/>
          </w:tcPr>
          <w:p w14:paraId="57C64B2F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57C64B30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57C64B32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57C64B33" w14:textId="45F104E0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E67135">
        <w:fldChar w:fldCharType="begin">
          <w:fldData xml:space="preserve">RABvAGMAVABlAG0AcAAxAFYAYQByAFQAcgBhAGQAaQB0AGkAbwBuAGEAbAA=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135">
        <w:fldChar w:fldCharType="begin">
          <w:fldData xml:space="preserve">RgBvAG4AdABTAGUAdABpAG0AaQBzAHQAeQBsAGUAcwAuAHgAbQBsAA==
</w:fldData>
        </w:fldChar>
      </w:r>
      <w:r w:rsidR="00E67135">
        <w:instrText xml:space="preserve"> ADDIN  \* MERGEFORMAT </w:instrText>
      </w:r>
      <w:r w:rsidR="00E67135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32069" w14:textId="77777777" w:rsidR="00695455" w:rsidRDefault="00695455" w:rsidP="00C765C7">
      <w:r>
        <w:separator/>
      </w:r>
    </w:p>
  </w:endnote>
  <w:endnote w:type="continuationSeparator" w:id="0">
    <w:p w14:paraId="146DDF97" w14:textId="77777777" w:rsidR="00695455" w:rsidRDefault="00695455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8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64B39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A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06B2">
      <w:rPr>
        <w:rStyle w:val="PageNumber"/>
        <w:noProof/>
      </w:rPr>
      <w:t>ii</w:t>
    </w:r>
    <w:r>
      <w:rPr>
        <w:rStyle w:val="PageNumber"/>
      </w:rPr>
      <w:fldChar w:fldCharType="end"/>
    </w:r>
  </w:p>
  <w:p w14:paraId="57C64B3B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AF1DFC" w14:textId="77777777" w:rsidR="00695455" w:rsidRDefault="00695455" w:rsidP="00C765C7">
      <w:r>
        <w:separator/>
      </w:r>
    </w:p>
  </w:footnote>
  <w:footnote w:type="continuationSeparator" w:id="0">
    <w:p w14:paraId="6AF4622A" w14:textId="77777777" w:rsidR="00695455" w:rsidRDefault="00695455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D222F8"/>
    <w:multiLevelType w:val="hybridMultilevel"/>
    <w:tmpl w:val="86284582"/>
    <w:lvl w:ilvl="0" w:tplc="B3D46E68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23E90"/>
    <w:multiLevelType w:val="hybridMultilevel"/>
    <w:tmpl w:val="9072F67C"/>
    <w:lvl w:ilvl="0" w:tplc="638C46A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4316B"/>
    <w:multiLevelType w:val="hybridMultilevel"/>
    <w:tmpl w:val="26E441BC"/>
    <w:lvl w:ilvl="0" w:tplc="09E27D60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731EF"/>
    <w:multiLevelType w:val="hybridMultilevel"/>
    <w:tmpl w:val="BD62F3E0"/>
    <w:lvl w:ilvl="0" w:tplc="CC4CF30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3453469"/>
    <w:multiLevelType w:val="hybridMultilevel"/>
    <w:tmpl w:val="AD62F60C"/>
    <w:lvl w:ilvl="0" w:tplc="F6A4A38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D8215E3"/>
    <w:multiLevelType w:val="hybridMultilevel"/>
    <w:tmpl w:val="BEFA0D6E"/>
    <w:lvl w:ilvl="0" w:tplc="638C46A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7B2C8A"/>
    <w:multiLevelType w:val="hybridMultilevel"/>
    <w:tmpl w:val="BCDAADA8"/>
    <w:lvl w:ilvl="0" w:tplc="895041D4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3256BD"/>
    <w:multiLevelType w:val="hybridMultilevel"/>
    <w:tmpl w:val="D30275DA"/>
    <w:lvl w:ilvl="0" w:tplc="6836722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15">
    <w:nsid w:val="6EA46603"/>
    <w:multiLevelType w:val="hybridMultilevel"/>
    <w:tmpl w:val="9E244352"/>
    <w:lvl w:ilvl="0" w:tplc="464E8CE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5A476B"/>
    <w:multiLevelType w:val="hybridMultilevel"/>
    <w:tmpl w:val="2EA86174"/>
    <w:lvl w:ilvl="0" w:tplc="F6A4A38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766F5774"/>
    <w:multiLevelType w:val="hybridMultilevel"/>
    <w:tmpl w:val="B01EF60A"/>
    <w:lvl w:ilvl="0" w:tplc="F6A4A38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DCB2512"/>
    <w:multiLevelType w:val="hybridMultilevel"/>
    <w:tmpl w:val="941A3D64"/>
    <w:lvl w:ilvl="0" w:tplc="AD5AE83C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0"/>
  </w:num>
  <w:num w:numId="4">
    <w:abstractNumId w:val="16"/>
  </w:num>
  <w:num w:numId="5">
    <w:abstractNumId w:val="9"/>
  </w:num>
  <w:num w:numId="6">
    <w:abstractNumId w:val="8"/>
  </w:num>
  <w:num w:numId="7">
    <w:abstractNumId w:val="18"/>
  </w:num>
  <w:num w:numId="8">
    <w:abstractNumId w:val="6"/>
  </w:num>
  <w:num w:numId="9">
    <w:abstractNumId w:val="5"/>
  </w:num>
  <w:num w:numId="10">
    <w:abstractNumId w:val="14"/>
  </w:num>
  <w:num w:numId="11">
    <w:abstractNumId w:val="17"/>
  </w:num>
  <w:num w:numId="12">
    <w:abstractNumId w:val="19"/>
  </w:num>
  <w:num w:numId="13">
    <w:abstractNumId w:val="7"/>
  </w:num>
  <w:num w:numId="14">
    <w:abstractNumId w:val="1"/>
  </w:num>
  <w:num w:numId="15">
    <w:abstractNumId w:val="15"/>
  </w:num>
  <w:num w:numId="16">
    <w:abstractNumId w:val="21"/>
  </w:num>
  <w:num w:numId="17">
    <w:abstractNumId w:val="4"/>
  </w:num>
  <w:num w:numId="18">
    <w:abstractNumId w:val="11"/>
  </w:num>
  <w:num w:numId="19">
    <w:abstractNumId w:val="2"/>
  </w:num>
  <w:num w:numId="20">
    <w:abstractNumId w:val="10"/>
  </w:num>
  <w:num w:numId="21">
    <w:abstractNumId w:val="3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93228"/>
    <w:rsid w:val="000A7776"/>
    <w:rsid w:val="000D23B9"/>
    <w:rsid w:val="000E320F"/>
    <w:rsid w:val="00100433"/>
    <w:rsid w:val="0010215F"/>
    <w:rsid w:val="00106EEF"/>
    <w:rsid w:val="00120103"/>
    <w:rsid w:val="00123973"/>
    <w:rsid w:val="001253ED"/>
    <w:rsid w:val="0014470D"/>
    <w:rsid w:val="00186D46"/>
    <w:rsid w:val="001B3F58"/>
    <w:rsid w:val="001C3AE3"/>
    <w:rsid w:val="001C3EB5"/>
    <w:rsid w:val="002041BE"/>
    <w:rsid w:val="00205C50"/>
    <w:rsid w:val="002220F1"/>
    <w:rsid w:val="00237C22"/>
    <w:rsid w:val="00240624"/>
    <w:rsid w:val="002606C4"/>
    <w:rsid w:val="00264204"/>
    <w:rsid w:val="00271962"/>
    <w:rsid w:val="0027298D"/>
    <w:rsid w:val="00293719"/>
    <w:rsid w:val="002A1D3E"/>
    <w:rsid w:val="002B7A7E"/>
    <w:rsid w:val="002D5F28"/>
    <w:rsid w:val="002F5B21"/>
    <w:rsid w:val="002F7397"/>
    <w:rsid w:val="00332B80"/>
    <w:rsid w:val="00341981"/>
    <w:rsid w:val="00366D36"/>
    <w:rsid w:val="00386999"/>
    <w:rsid w:val="003A0694"/>
    <w:rsid w:val="003B2927"/>
    <w:rsid w:val="003D47AF"/>
    <w:rsid w:val="003E2A46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A0832"/>
    <w:rsid w:val="004E3AF3"/>
    <w:rsid w:val="004F375E"/>
    <w:rsid w:val="00504F80"/>
    <w:rsid w:val="00506485"/>
    <w:rsid w:val="00513DA7"/>
    <w:rsid w:val="00516C82"/>
    <w:rsid w:val="005238CB"/>
    <w:rsid w:val="0052579C"/>
    <w:rsid w:val="00526F0E"/>
    <w:rsid w:val="0055453E"/>
    <w:rsid w:val="00594258"/>
    <w:rsid w:val="005E4363"/>
    <w:rsid w:val="00600DC7"/>
    <w:rsid w:val="0062068D"/>
    <w:rsid w:val="006317AA"/>
    <w:rsid w:val="006473C3"/>
    <w:rsid w:val="006708D7"/>
    <w:rsid w:val="00675266"/>
    <w:rsid w:val="006837E0"/>
    <w:rsid w:val="00695455"/>
    <w:rsid w:val="00697E39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A0C5F"/>
    <w:rsid w:val="007C406B"/>
    <w:rsid w:val="007D5B97"/>
    <w:rsid w:val="007E3C96"/>
    <w:rsid w:val="007E5515"/>
    <w:rsid w:val="0080590C"/>
    <w:rsid w:val="008144E7"/>
    <w:rsid w:val="00822A16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769CD"/>
    <w:rsid w:val="00997D98"/>
    <w:rsid w:val="009C22C8"/>
    <w:rsid w:val="009C6B2E"/>
    <w:rsid w:val="009E6E1A"/>
    <w:rsid w:val="00A2703B"/>
    <w:rsid w:val="00A315CB"/>
    <w:rsid w:val="00A3579D"/>
    <w:rsid w:val="00A55356"/>
    <w:rsid w:val="00A557BB"/>
    <w:rsid w:val="00A8520D"/>
    <w:rsid w:val="00AC2993"/>
    <w:rsid w:val="00AC43CF"/>
    <w:rsid w:val="00AD0EDC"/>
    <w:rsid w:val="00AF2CD6"/>
    <w:rsid w:val="00B0548B"/>
    <w:rsid w:val="00B30D2F"/>
    <w:rsid w:val="00B50AD7"/>
    <w:rsid w:val="00B64F2F"/>
    <w:rsid w:val="00B93A3C"/>
    <w:rsid w:val="00B96287"/>
    <w:rsid w:val="00BB3345"/>
    <w:rsid w:val="00BF7FE3"/>
    <w:rsid w:val="00C006B2"/>
    <w:rsid w:val="00C0404B"/>
    <w:rsid w:val="00C24D50"/>
    <w:rsid w:val="00C273AD"/>
    <w:rsid w:val="00C765C7"/>
    <w:rsid w:val="00CD2D08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C2E36"/>
    <w:rsid w:val="00DE0E35"/>
    <w:rsid w:val="00DF44AC"/>
    <w:rsid w:val="00E2529E"/>
    <w:rsid w:val="00E36906"/>
    <w:rsid w:val="00E648E9"/>
    <w:rsid w:val="00E67135"/>
    <w:rsid w:val="00E77596"/>
    <w:rsid w:val="00E95204"/>
    <w:rsid w:val="00E964FD"/>
    <w:rsid w:val="00ED4D5E"/>
    <w:rsid w:val="00ED71C8"/>
    <w:rsid w:val="00EE1BDC"/>
    <w:rsid w:val="00F006B2"/>
    <w:rsid w:val="00F43DFA"/>
    <w:rsid w:val="00F87670"/>
    <w:rsid w:val="00F87F72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6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qFormat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BB3262-7E72-4827-AF20-6F4868708AA5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b438dcf7-3998-4283-b7fc-0ec6fa8e430f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8F95778-311A-40C4-8921-AF2A92316C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76</TotalTime>
  <Pages>2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Kimberly Martin-Butler</cp:lastModifiedBy>
  <cp:revision>8</cp:revision>
  <dcterms:created xsi:type="dcterms:W3CDTF">2015-07-14T15:37:00Z</dcterms:created>
  <dcterms:modified xsi:type="dcterms:W3CDTF">2015-07-21T19:37:00Z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