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78D6" w14:textId="77777777" w:rsidR="00504F80" w:rsidRDefault="00504F80" w:rsidP="007308F1">
      <w:pPr>
        <w:pStyle w:val="Heading4"/>
        <w:tabs>
          <w:tab w:val="left" w:pos="4500"/>
          <w:tab w:val="left" w:pos="6840"/>
        </w:tabs>
        <w:spacing w:after="0"/>
        <w:ind w:right="-720"/>
        <w:rPr>
          <w:rFonts w:ascii="Times New Roman" w:hAnsi="Times New Roman"/>
          <w:sz w:val="20"/>
        </w:rPr>
      </w:pPr>
      <w:bookmarkStart w:id="0" w:name="_GoBack"/>
      <w:bookmarkEnd w:id="0"/>
      <w:r>
        <w:rPr>
          <w:rFonts w:ascii="Times New Roman" w:hAnsi="Times New Roman"/>
          <w:sz w:val="20"/>
        </w:rPr>
        <w:t>Department of Veterans Affairs</w:t>
      </w:r>
      <w:r w:rsidR="007308F1">
        <w:rPr>
          <w:rFonts w:ascii="Times New Roman" w:hAnsi="Times New Roman"/>
          <w:sz w:val="20"/>
        </w:rPr>
        <w:tab/>
      </w:r>
      <w:r>
        <w:rPr>
          <w:rFonts w:ascii="Times New Roman" w:hAnsi="Times New Roman"/>
          <w:sz w:val="20"/>
        </w:rPr>
        <w:t xml:space="preserve">M21-1MR, </w:t>
      </w:r>
      <w:r w:rsidR="007308F1">
        <w:rPr>
          <w:rFonts w:ascii="Times New Roman" w:hAnsi="Times New Roman"/>
          <w:sz w:val="20"/>
        </w:rPr>
        <w:t>Part III, Supart iii, Chapter 2, Section F</w:t>
      </w:r>
    </w:p>
    <w:p w14:paraId="694878D7" w14:textId="3B9565CC" w:rsidR="00504F80" w:rsidRDefault="00504F80" w:rsidP="00F54736">
      <w:pPr>
        <w:tabs>
          <w:tab w:val="left" w:pos="7290"/>
        </w:tabs>
        <w:rPr>
          <w:b/>
          <w:bCs/>
          <w:sz w:val="20"/>
        </w:rPr>
      </w:pPr>
      <w:r>
        <w:rPr>
          <w:b/>
          <w:bCs/>
          <w:sz w:val="20"/>
        </w:rPr>
        <w:t>Veterans Benefits Administration</w:t>
      </w:r>
      <w:r w:rsidR="00F54736">
        <w:rPr>
          <w:b/>
          <w:bCs/>
          <w:sz w:val="20"/>
        </w:rPr>
        <w:tab/>
        <w:t>December 27, 2013</w:t>
      </w:r>
    </w:p>
    <w:p w14:paraId="694878D8" w14:textId="77777777" w:rsidR="00504F80" w:rsidRDefault="00504F80" w:rsidP="00504F80">
      <w:pPr>
        <w:rPr>
          <w:b/>
          <w:bCs/>
          <w:sz w:val="20"/>
        </w:rPr>
      </w:pPr>
      <w:r>
        <w:rPr>
          <w:b/>
          <w:bCs/>
          <w:sz w:val="20"/>
        </w:rPr>
        <w:t>Washington, DC  20420</w:t>
      </w:r>
    </w:p>
    <w:p w14:paraId="694878D9" w14:textId="77777777" w:rsidR="00504F80" w:rsidRDefault="00504F80" w:rsidP="00504F80">
      <w:pPr>
        <w:rPr>
          <w:b/>
          <w:bCs/>
          <w:sz w:val="20"/>
        </w:rPr>
      </w:pPr>
    </w:p>
    <w:p w14:paraId="694878DA" w14:textId="77777777" w:rsidR="00504F80" w:rsidRDefault="00504F80" w:rsidP="00504F80">
      <w:pPr>
        <w:pStyle w:val="Heading4"/>
      </w:pPr>
      <w:r>
        <w:t xml:space="preserve">Transmittal Sheet </w:t>
      </w:r>
    </w:p>
    <w:p w14:paraId="694878DB"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694878E6" w14:textId="77777777" w:rsidTr="00C24D50">
        <w:tc>
          <w:tcPr>
            <w:tcW w:w="1728" w:type="dxa"/>
          </w:tcPr>
          <w:p w14:paraId="694878DC" w14:textId="77777777" w:rsidR="00504F80" w:rsidRDefault="00504F80" w:rsidP="00237C22">
            <w:pPr>
              <w:pStyle w:val="Heading5"/>
            </w:pPr>
            <w:r>
              <w:t>Changes Included in This Revision</w:t>
            </w:r>
          </w:p>
        </w:tc>
        <w:tc>
          <w:tcPr>
            <w:tcW w:w="7740" w:type="dxa"/>
          </w:tcPr>
          <w:p w14:paraId="694878DD" w14:textId="77777777" w:rsidR="00504F80" w:rsidRDefault="00504F80" w:rsidP="00237C22">
            <w:pPr>
              <w:pStyle w:val="BlockText"/>
            </w:pPr>
            <w:r>
              <w:t xml:space="preserve">The table below describes the changes included in this revision of Veterans Benefits Manual M21-1MR, Part </w:t>
            </w:r>
            <w:r w:rsidR="006102B4">
              <w:t>III, General Claims Process, Subpart iii, Chapter 2, Section F, “Merchant Marine Service Records.”</w:t>
            </w:r>
          </w:p>
          <w:p w14:paraId="694878DE" w14:textId="77777777" w:rsidR="00504F80" w:rsidRDefault="00504F80" w:rsidP="00237C22">
            <w:pPr>
              <w:pStyle w:val="BulletText1"/>
              <w:numPr>
                <w:ilvl w:val="0"/>
                <w:numId w:val="0"/>
              </w:numPr>
              <w:rPr>
                <w:b/>
                <w:i/>
              </w:rPr>
            </w:pPr>
          </w:p>
          <w:p w14:paraId="694878DF" w14:textId="77777777" w:rsidR="00504F80" w:rsidRDefault="00504F80" w:rsidP="00237C22">
            <w:pPr>
              <w:pStyle w:val="BulletText1"/>
              <w:numPr>
                <w:ilvl w:val="0"/>
                <w:numId w:val="0"/>
              </w:numPr>
            </w:pPr>
            <w:r>
              <w:rPr>
                <w:b/>
                <w:i/>
              </w:rPr>
              <w:t>Note</w:t>
            </w:r>
            <w:r>
              <w:t xml:space="preserve">:  </w:t>
            </w:r>
          </w:p>
          <w:p w14:paraId="694878E0" w14:textId="77777777" w:rsidR="00504F80" w:rsidRDefault="00504F80" w:rsidP="007308F1">
            <w:pPr>
              <w:pStyle w:val="BlockText"/>
            </w:pPr>
            <w:r>
              <w:t xml:space="preserve">Minor editorial changes have also been made to </w:t>
            </w:r>
          </w:p>
          <w:p w14:paraId="694878E1" w14:textId="77777777" w:rsidR="00504F80" w:rsidRDefault="00504F80" w:rsidP="007308F1">
            <w:pPr>
              <w:pStyle w:val="BulletText1"/>
            </w:pPr>
            <w:r>
              <w:t>update incorrect or obsolete hyperlink references</w:t>
            </w:r>
          </w:p>
          <w:p w14:paraId="694878E2" w14:textId="77777777" w:rsidR="00504F80" w:rsidRDefault="00504F80" w:rsidP="007308F1">
            <w:pPr>
              <w:pStyle w:val="BulletText1"/>
            </w:pPr>
            <w:r>
              <w:t>update the term “veteran” to “Veteran”</w:t>
            </w:r>
          </w:p>
          <w:p w14:paraId="694878E3" w14:textId="77777777" w:rsidR="00504F80" w:rsidRDefault="00504F80" w:rsidP="007308F1">
            <w:pPr>
              <w:pStyle w:val="BulletText1"/>
            </w:pPr>
            <w:r>
              <w:t>update obsolete terminology, where appropriate</w:t>
            </w:r>
          </w:p>
          <w:p w14:paraId="694878E4" w14:textId="77777777" w:rsidR="00504F80" w:rsidRDefault="00504F80" w:rsidP="007308F1">
            <w:pPr>
              <w:pStyle w:val="BulletText1"/>
            </w:pPr>
            <w:r>
              <w:t xml:space="preserve">clarify </w:t>
            </w:r>
            <w:r w:rsidR="00724248">
              <w:t>B</w:t>
            </w:r>
            <w:r w:rsidR="00D61497">
              <w:t>lock labels and/or B</w:t>
            </w:r>
            <w:r>
              <w:t xml:space="preserve">lock text, and </w:t>
            </w:r>
          </w:p>
          <w:p w14:paraId="694878E5" w14:textId="77777777" w:rsidR="00504F80" w:rsidRPr="00EA3A57" w:rsidRDefault="00504F80" w:rsidP="007308F1">
            <w:pPr>
              <w:pStyle w:val="BulletText1"/>
            </w:pPr>
            <w:r>
              <w:t>bring the documents into conformance with M21-1MR standards.</w:t>
            </w:r>
          </w:p>
        </w:tc>
      </w:tr>
    </w:tbl>
    <w:p w14:paraId="694878E7" w14:textId="77777777" w:rsidR="00C24D50" w:rsidRDefault="00C24D50" w:rsidP="00C24D5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3"/>
        <w:gridCol w:w="2699"/>
        <w:gridCol w:w="1082"/>
      </w:tblGrid>
      <w:tr w:rsidR="00C24D50" w14:paraId="694878EB" w14:textId="77777777" w:rsidTr="00CC1F9B">
        <w:trPr>
          <w:trHeight w:val="180"/>
        </w:trPr>
        <w:tc>
          <w:tcPr>
            <w:tcW w:w="3011" w:type="pct"/>
            <w:shd w:val="clear" w:color="auto" w:fill="auto"/>
          </w:tcPr>
          <w:p w14:paraId="694878E8" w14:textId="77777777" w:rsidR="00C24D50" w:rsidRPr="00C24D50" w:rsidRDefault="00C24D50" w:rsidP="002F7397">
            <w:pPr>
              <w:pStyle w:val="TableHeaderText"/>
            </w:pPr>
            <w:r w:rsidRPr="00C24D50">
              <w:t>Reason(s) for the Change</w:t>
            </w:r>
          </w:p>
        </w:tc>
        <w:tc>
          <w:tcPr>
            <w:tcW w:w="1420" w:type="pct"/>
            <w:shd w:val="clear" w:color="auto" w:fill="auto"/>
          </w:tcPr>
          <w:p w14:paraId="694878E9" w14:textId="77777777" w:rsidR="00C24D50" w:rsidRPr="00C24D50" w:rsidRDefault="00C24D50" w:rsidP="002F7397">
            <w:pPr>
              <w:pStyle w:val="TableHeaderText"/>
            </w:pPr>
            <w:r w:rsidRPr="00C24D50">
              <w:t>Citation</w:t>
            </w:r>
            <w:r w:rsidR="00221F07">
              <w:t>(s)</w:t>
            </w:r>
          </w:p>
        </w:tc>
        <w:tc>
          <w:tcPr>
            <w:tcW w:w="569" w:type="pct"/>
            <w:shd w:val="clear" w:color="auto" w:fill="auto"/>
          </w:tcPr>
          <w:p w14:paraId="694878EA" w14:textId="77777777" w:rsidR="00C24D50" w:rsidRDefault="00C24D50" w:rsidP="002F7397">
            <w:pPr>
              <w:pStyle w:val="TableHeaderText"/>
            </w:pPr>
            <w:r>
              <w:t>Page(s)</w:t>
            </w:r>
          </w:p>
        </w:tc>
      </w:tr>
      <w:tr w:rsidR="00323DCC" w14:paraId="694878EF" w14:textId="77777777" w:rsidTr="00CC1F9B">
        <w:trPr>
          <w:trHeight w:val="180"/>
        </w:trPr>
        <w:tc>
          <w:tcPr>
            <w:tcW w:w="3011" w:type="pct"/>
            <w:shd w:val="clear" w:color="auto" w:fill="auto"/>
          </w:tcPr>
          <w:p w14:paraId="071FF285" w14:textId="3EF32D8C" w:rsidR="00323DCC" w:rsidRDefault="00323DCC" w:rsidP="0070286B">
            <w:pPr>
              <w:pStyle w:val="BulletText1"/>
            </w:pPr>
            <w:r>
              <w:t>To emphasize that U.S. Merchant Marine discharge certificates are issued under two different public laws and VSRs and RVSRs must be aware of which public law is involved.</w:t>
            </w:r>
          </w:p>
          <w:p w14:paraId="694878EC" w14:textId="39B4615C" w:rsidR="00323DCC" w:rsidRPr="00C24D50" w:rsidRDefault="00323DCC" w:rsidP="0070286B">
            <w:pPr>
              <w:pStyle w:val="BulletText1"/>
            </w:pPr>
            <w:r>
              <w:t>To renumber Block c as Block a.</w:t>
            </w:r>
          </w:p>
        </w:tc>
        <w:tc>
          <w:tcPr>
            <w:tcW w:w="1420" w:type="pct"/>
            <w:shd w:val="clear" w:color="auto" w:fill="auto"/>
          </w:tcPr>
          <w:p w14:paraId="694878ED" w14:textId="67557A6E" w:rsidR="00323DCC" w:rsidRPr="00C24D50" w:rsidRDefault="00323DCC" w:rsidP="00323DCC">
            <w:pPr>
              <w:pStyle w:val="TableText"/>
            </w:pPr>
            <w:r>
              <w:t>Part III, Subpart iii, Chapter 2, Section F, Topic 36, Block a (Formerly III.iii.2.F.36.c)</w:t>
            </w:r>
          </w:p>
        </w:tc>
        <w:tc>
          <w:tcPr>
            <w:tcW w:w="569" w:type="pct"/>
            <w:shd w:val="clear" w:color="auto" w:fill="auto"/>
          </w:tcPr>
          <w:p w14:paraId="694878EE" w14:textId="5546CF10" w:rsidR="00323DCC" w:rsidRDefault="00323DCC" w:rsidP="00323DCC">
            <w:pPr>
              <w:pStyle w:val="TableText"/>
            </w:pPr>
            <w:r>
              <w:t>2-F-2</w:t>
            </w:r>
          </w:p>
        </w:tc>
      </w:tr>
      <w:tr w:rsidR="00323DCC" w14:paraId="191EB824" w14:textId="77777777" w:rsidTr="00CC1F9B">
        <w:trPr>
          <w:trHeight w:val="180"/>
        </w:trPr>
        <w:tc>
          <w:tcPr>
            <w:tcW w:w="3011" w:type="pct"/>
            <w:shd w:val="clear" w:color="auto" w:fill="auto"/>
          </w:tcPr>
          <w:p w14:paraId="5F1BA433" w14:textId="77777777" w:rsidR="00323DCC" w:rsidRDefault="00323DCC" w:rsidP="0070286B">
            <w:pPr>
              <w:pStyle w:val="BulletText1"/>
            </w:pPr>
            <w:r>
              <w:t>To add clarifying information and a reference pertaining to Merchant Mariners who are eligible for any VA benefit under Public Law 95-202.</w:t>
            </w:r>
          </w:p>
          <w:p w14:paraId="78CD1755" w14:textId="6F2A993F" w:rsidR="00323DCC" w:rsidRDefault="00323DCC" w:rsidP="0070286B">
            <w:pPr>
              <w:pStyle w:val="BulletText1"/>
            </w:pPr>
            <w:r>
              <w:t xml:space="preserve">To renumber Block a as Block b. </w:t>
            </w:r>
          </w:p>
        </w:tc>
        <w:tc>
          <w:tcPr>
            <w:tcW w:w="1420" w:type="pct"/>
            <w:shd w:val="clear" w:color="auto" w:fill="auto"/>
          </w:tcPr>
          <w:p w14:paraId="003493FC" w14:textId="77777777" w:rsidR="00323DCC" w:rsidRDefault="00323DCC" w:rsidP="006102B4">
            <w:pPr>
              <w:pStyle w:val="TableText"/>
            </w:pPr>
            <w:r>
              <w:t>III.iii.2.F.36.b</w:t>
            </w:r>
          </w:p>
          <w:p w14:paraId="6F04FE27" w14:textId="7C1DDD6B" w:rsidR="00323DCC" w:rsidRPr="00C24D50" w:rsidRDefault="00323DCC" w:rsidP="006102B4">
            <w:pPr>
              <w:pStyle w:val="TableText"/>
            </w:pPr>
            <w:r>
              <w:t>(Formerly III.iii.2.F.36.a)</w:t>
            </w:r>
          </w:p>
        </w:tc>
        <w:tc>
          <w:tcPr>
            <w:tcW w:w="569" w:type="pct"/>
            <w:shd w:val="clear" w:color="auto" w:fill="auto"/>
          </w:tcPr>
          <w:p w14:paraId="2D971C20" w14:textId="28790CD9" w:rsidR="00323DCC" w:rsidRDefault="00323DCC" w:rsidP="004B67C3">
            <w:pPr>
              <w:pStyle w:val="TableText"/>
            </w:pPr>
            <w:r>
              <w:t>2-F-3</w:t>
            </w:r>
          </w:p>
        </w:tc>
      </w:tr>
      <w:tr w:rsidR="00323DCC" w14:paraId="694878F3" w14:textId="77777777" w:rsidTr="00CC1F9B">
        <w:trPr>
          <w:trHeight w:val="180"/>
        </w:trPr>
        <w:tc>
          <w:tcPr>
            <w:tcW w:w="3011" w:type="pct"/>
            <w:shd w:val="clear" w:color="auto" w:fill="auto"/>
          </w:tcPr>
          <w:p w14:paraId="46EEA744" w14:textId="6AB77464" w:rsidR="00323DCC" w:rsidRDefault="00323DCC" w:rsidP="0070286B">
            <w:pPr>
              <w:pStyle w:val="BulletText1"/>
            </w:pPr>
            <w:r>
              <w:t>To clarify that qualified service under Section 402 of PL 105-368</w:t>
            </w:r>
            <w:r w:rsidR="004B67C3">
              <w:t xml:space="preserve"> is deemed active duty service for purposes of </w:t>
            </w:r>
            <w:r w:rsidR="004B67C3" w:rsidRPr="00580BD0">
              <w:t xml:space="preserve">all </w:t>
            </w:r>
            <w:r w:rsidR="004B67C3">
              <w:t>VA burial benefits.</w:t>
            </w:r>
          </w:p>
          <w:p w14:paraId="6510FD72" w14:textId="5C70E017" w:rsidR="004B67C3" w:rsidRDefault="00323DCC" w:rsidP="0070286B">
            <w:pPr>
              <w:pStyle w:val="BulletText1"/>
            </w:pPr>
            <w:r>
              <w:t xml:space="preserve">To add a reference pertaining to Merchant Mariners who are eligible </w:t>
            </w:r>
            <w:r w:rsidR="004B67C3">
              <w:t xml:space="preserve">only </w:t>
            </w:r>
            <w:r>
              <w:t xml:space="preserve">for VA burial benefits under </w:t>
            </w:r>
            <w:r w:rsidR="00580BD0">
              <w:t xml:space="preserve">Section 402 of </w:t>
            </w:r>
            <w:r>
              <w:t>Public Law 105-368</w:t>
            </w:r>
            <w:r w:rsidR="004B67C3">
              <w:t>.</w:t>
            </w:r>
          </w:p>
          <w:p w14:paraId="694878F0" w14:textId="55DF9D6A" w:rsidR="00323DCC" w:rsidRDefault="004B67C3" w:rsidP="0070286B">
            <w:pPr>
              <w:pStyle w:val="BulletText1"/>
            </w:pPr>
            <w:r>
              <w:t>To renumber Block b as Block c.</w:t>
            </w:r>
          </w:p>
        </w:tc>
        <w:tc>
          <w:tcPr>
            <w:tcW w:w="1420" w:type="pct"/>
            <w:shd w:val="clear" w:color="auto" w:fill="auto"/>
          </w:tcPr>
          <w:p w14:paraId="485B38F9" w14:textId="7EA6CCC3" w:rsidR="00323DCC" w:rsidRDefault="00323DCC" w:rsidP="00221F07">
            <w:pPr>
              <w:pStyle w:val="TableText"/>
            </w:pPr>
            <w:r>
              <w:t>III.iii.2.F.36.</w:t>
            </w:r>
            <w:r w:rsidR="004B67C3">
              <w:t>c</w:t>
            </w:r>
          </w:p>
          <w:p w14:paraId="694878F1" w14:textId="6EA5842B" w:rsidR="004B67C3" w:rsidRDefault="004B67C3" w:rsidP="00221F07">
            <w:pPr>
              <w:pStyle w:val="TableText"/>
            </w:pPr>
            <w:r>
              <w:t>(Formerly III.iii.2.F.36.b)</w:t>
            </w:r>
          </w:p>
        </w:tc>
        <w:tc>
          <w:tcPr>
            <w:tcW w:w="569" w:type="pct"/>
            <w:shd w:val="clear" w:color="auto" w:fill="auto"/>
          </w:tcPr>
          <w:p w14:paraId="694878F2" w14:textId="77777777" w:rsidR="00323DCC" w:rsidRDefault="00323DCC" w:rsidP="00005F9B">
            <w:pPr>
              <w:pStyle w:val="BulletText1"/>
              <w:numPr>
                <w:ilvl w:val="0"/>
                <w:numId w:val="0"/>
              </w:numPr>
            </w:pPr>
            <w:r>
              <w:t>2-F-3</w:t>
            </w:r>
          </w:p>
        </w:tc>
      </w:tr>
      <w:tr w:rsidR="00323DCC" w14:paraId="694878FD" w14:textId="77777777" w:rsidTr="00CC1F9B">
        <w:trPr>
          <w:trHeight w:val="180"/>
        </w:trPr>
        <w:tc>
          <w:tcPr>
            <w:tcW w:w="3011" w:type="pct"/>
            <w:shd w:val="clear" w:color="auto" w:fill="auto"/>
          </w:tcPr>
          <w:p w14:paraId="694878F8" w14:textId="77777777" w:rsidR="00323DCC" w:rsidRPr="0003213E" w:rsidRDefault="00323DCC" w:rsidP="003222CA">
            <w:pPr>
              <w:pStyle w:val="TableText"/>
              <w:numPr>
                <w:ilvl w:val="0"/>
                <w:numId w:val="2"/>
              </w:numPr>
            </w:pPr>
            <w:r w:rsidRPr="0003213E">
              <w:t>To state that applicants for discharge certificates should submit to the service department any available copies of documentation of sea service.</w:t>
            </w:r>
          </w:p>
          <w:p w14:paraId="694878F9" w14:textId="27B8D093" w:rsidR="00323DCC" w:rsidRPr="0003213E" w:rsidRDefault="00323DCC" w:rsidP="003222CA">
            <w:pPr>
              <w:pStyle w:val="TableText"/>
              <w:numPr>
                <w:ilvl w:val="0"/>
                <w:numId w:val="2"/>
              </w:numPr>
            </w:pPr>
            <w:r w:rsidRPr="0003213E">
              <w:t xml:space="preserve">To clarify that photocopied death certificates, funeral obituaries, or other evidence showing the date of death </w:t>
            </w:r>
            <w:r w:rsidR="00580BD0">
              <w:t>are</w:t>
            </w:r>
            <w:r w:rsidRPr="0003213E">
              <w:t xml:space="preserve"> acceptable.</w:t>
            </w:r>
          </w:p>
          <w:p w14:paraId="694878FA" w14:textId="77777777" w:rsidR="00323DCC" w:rsidRDefault="00323DCC" w:rsidP="003222CA">
            <w:pPr>
              <w:pStyle w:val="BulletText1"/>
            </w:pPr>
            <w:r w:rsidRPr="0003213E">
              <w:t>To state that applicants seeking to verify service under Public Law 105-368 must enclose a $30 check or money order.</w:t>
            </w:r>
          </w:p>
        </w:tc>
        <w:tc>
          <w:tcPr>
            <w:tcW w:w="1420" w:type="pct"/>
            <w:shd w:val="clear" w:color="auto" w:fill="auto"/>
          </w:tcPr>
          <w:p w14:paraId="694878FB" w14:textId="77777777" w:rsidR="00323DCC" w:rsidRDefault="00323DCC" w:rsidP="003222CA">
            <w:pPr>
              <w:pStyle w:val="TableText"/>
            </w:pPr>
            <w:r>
              <w:t>III.iii.2.F.36.d</w:t>
            </w:r>
          </w:p>
        </w:tc>
        <w:tc>
          <w:tcPr>
            <w:tcW w:w="569" w:type="pct"/>
            <w:shd w:val="clear" w:color="auto" w:fill="auto"/>
          </w:tcPr>
          <w:p w14:paraId="694878FC" w14:textId="77777777" w:rsidR="00323DCC" w:rsidRDefault="00323DCC" w:rsidP="003222CA">
            <w:pPr>
              <w:pStyle w:val="BulletText1"/>
              <w:numPr>
                <w:ilvl w:val="0"/>
                <w:numId w:val="0"/>
              </w:numPr>
            </w:pPr>
            <w:r>
              <w:t>2-F-4</w:t>
            </w:r>
          </w:p>
        </w:tc>
      </w:tr>
    </w:tbl>
    <w:p w14:paraId="694878FE" w14:textId="77777777" w:rsidR="00CC1F9B" w:rsidRDefault="00CC1F9B" w:rsidP="00CC1F9B">
      <w:pPr>
        <w:pStyle w:val="ContinuedOnNextPa"/>
      </w:pPr>
      <w:r>
        <w:t>Continued on next page</w:t>
      </w:r>
    </w:p>
    <w:p w14:paraId="694878FF" w14:textId="77777777" w:rsidR="00CC1F9B" w:rsidRDefault="00CC1F9B" w:rsidP="00CC1F9B">
      <w:pPr>
        <w:pStyle w:val="MapTitleContinued"/>
        <w:rPr>
          <w:b w:val="0"/>
          <w:sz w:val="24"/>
        </w:rPr>
      </w:pPr>
      <w:r w:rsidRPr="00CC1F9B">
        <w:br w:type="page"/>
      </w:r>
      <w:fldSimple w:instr=" STYLEREF &quot;Map Title&quot; ">
        <w:r w:rsidRPr="00CC1F9B">
          <w:rPr>
            <w:noProof/>
          </w:rPr>
          <w:t>Transmittal Sheet</w:t>
        </w:r>
      </w:fldSimple>
      <w:r w:rsidRPr="00CC1F9B">
        <w:t xml:space="preserve">, </w:t>
      </w:r>
      <w:r w:rsidRPr="00CC1F9B">
        <w:rPr>
          <w:b w:val="0"/>
          <w:sz w:val="24"/>
        </w:rPr>
        <w:t>Continued</w:t>
      </w:r>
    </w:p>
    <w:p w14:paraId="69487900" w14:textId="77777777" w:rsidR="00CC1F9B" w:rsidRDefault="00CC1F9B" w:rsidP="00CC1F9B">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CC1F9B" w14:paraId="69487902" w14:textId="77777777" w:rsidTr="00CC1F9B">
        <w:tc>
          <w:tcPr>
            <w:tcW w:w="5000" w:type="pct"/>
            <w:shd w:val="clear" w:color="auto" w:fill="auto"/>
          </w:tcPr>
          <w:p w14:paraId="69487901" w14:textId="77777777" w:rsidR="00CC1F9B" w:rsidRDefault="0025500E" w:rsidP="00CC1F9B">
            <w:pPr>
              <w:pStyle w:val="ContinuedTableLabe"/>
            </w:pPr>
            <w:fldSimple w:instr=" STYLEREF &quot;Block Label&quot; ">
              <w:r w:rsidR="00CC1F9B">
                <w:rPr>
                  <w:noProof/>
                </w:rPr>
                <w:t>Changes Included in This Revision</w:t>
              </w:r>
            </w:fldSimple>
            <w:r w:rsidR="00CC1F9B">
              <w:t xml:space="preserve"> </w:t>
            </w:r>
            <w:r w:rsidR="00CC1F9B" w:rsidRPr="00CC1F9B">
              <w:rPr>
                <w:b w:val="0"/>
              </w:rPr>
              <w:t>(continued)</w:t>
            </w:r>
          </w:p>
        </w:tc>
      </w:tr>
    </w:tbl>
    <w:p w14:paraId="69487903" w14:textId="77777777" w:rsidR="00CC1F9B" w:rsidRPr="00CC1F9B" w:rsidRDefault="00CC1F9B" w:rsidP="00CC1F9B"/>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3"/>
        <w:gridCol w:w="2699"/>
        <w:gridCol w:w="1082"/>
      </w:tblGrid>
      <w:tr w:rsidR="00CC1F9B" w14:paraId="69487907" w14:textId="77777777" w:rsidTr="00CC1F9B">
        <w:tc>
          <w:tcPr>
            <w:tcW w:w="3011" w:type="pct"/>
            <w:shd w:val="clear" w:color="auto" w:fill="auto"/>
          </w:tcPr>
          <w:p w14:paraId="69487904" w14:textId="77777777" w:rsidR="00CC1F9B" w:rsidRPr="00C24D50" w:rsidRDefault="00CC1F9B" w:rsidP="006F7303">
            <w:pPr>
              <w:pStyle w:val="TableHeaderText"/>
            </w:pPr>
            <w:r w:rsidRPr="00C24D50">
              <w:t>Reason(s) for the Change</w:t>
            </w:r>
          </w:p>
        </w:tc>
        <w:tc>
          <w:tcPr>
            <w:tcW w:w="1420" w:type="pct"/>
            <w:shd w:val="clear" w:color="auto" w:fill="auto"/>
          </w:tcPr>
          <w:p w14:paraId="69487905" w14:textId="77777777" w:rsidR="00CC1F9B" w:rsidRPr="00C24D50" w:rsidRDefault="00CC1F9B" w:rsidP="006F7303">
            <w:pPr>
              <w:pStyle w:val="TableHeaderText"/>
            </w:pPr>
            <w:r w:rsidRPr="00C24D50">
              <w:t>Citation</w:t>
            </w:r>
            <w:r>
              <w:t>(s)</w:t>
            </w:r>
          </w:p>
        </w:tc>
        <w:tc>
          <w:tcPr>
            <w:tcW w:w="569" w:type="pct"/>
            <w:shd w:val="clear" w:color="auto" w:fill="auto"/>
          </w:tcPr>
          <w:p w14:paraId="69487906" w14:textId="77777777" w:rsidR="00CC1F9B" w:rsidRDefault="00CC1F9B" w:rsidP="006F7303">
            <w:pPr>
              <w:pStyle w:val="TableHeaderText"/>
            </w:pPr>
            <w:r>
              <w:t>Page(s)</w:t>
            </w:r>
          </w:p>
        </w:tc>
      </w:tr>
      <w:tr w:rsidR="00CC1F9B" w14:paraId="6948790E" w14:textId="77777777" w:rsidTr="00005F9B">
        <w:tc>
          <w:tcPr>
            <w:tcW w:w="3011" w:type="pct"/>
            <w:shd w:val="clear" w:color="auto" w:fill="auto"/>
          </w:tcPr>
          <w:p w14:paraId="69487908" w14:textId="77777777" w:rsidR="002F0D71" w:rsidRDefault="00221EF0" w:rsidP="004B67C3">
            <w:pPr>
              <w:pStyle w:val="TableText"/>
            </w:pPr>
            <w:r>
              <w:t>To update and clarify mailing addresses</w:t>
            </w:r>
            <w:r w:rsidR="00DC0936">
              <w:t xml:space="preserve"> to verify service as a civilian for the</w:t>
            </w:r>
          </w:p>
          <w:p w14:paraId="69487909" w14:textId="77777777" w:rsidR="00221EF0" w:rsidRDefault="00DC0936" w:rsidP="004B67C3">
            <w:pPr>
              <w:pStyle w:val="BulletText1"/>
            </w:pPr>
            <w:r>
              <w:t>Army Transport Service (or Army Transportation Corps, Water Division), or</w:t>
            </w:r>
          </w:p>
          <w:p w14:paraId="6948790A" w14:textId="77777777" w:rsidR="00221EF0" w:rsidRDefault="00DC0936" w:rsidP="004B67C3">
            <w:pPr>
              <w:pStyle w:val="BulletText1"/>
            </w:pPr>
            <w:r>
              <w:t>Naval Transportation Service</w:t>
            </w:r>
          </w:p>
        </w:tc>
        <w:tc>
          <w:tcPr>
            <w:tcW w:w="1420" w:type="pct"/>
            <w:shd w:val="clear" w:color="auto" w:fill="auto"/>
          </w:tcPr>
          <w:p w14:paraId="6948790B" w14:textId="77777777" w:rsidR="002F0D71" w:rsidRDefault="00DC0936" w:rsidP="004902AB">
            <w:pPr>
              <w:pStyle w:val="TableText"/>
            </w:pPr>
            <w:r>
              <w:t>III.iii.2.F.36.e</w:t>
            </w:r>
          </w:p>
        </w:tc>
        <w:tc>
          <w:tcPr>
            <w:tcW w:w="569" w:type="pct"/>
            <w:shd w:val="clear" w:color="auto" w:fill="auto"/>
          </w:tcPr>
          <w:p w14:paraId="6948790C" w14:textId="77777777" w:rsidR="002F0D71" w:rsidRDefault="00DC0936" w:rsidP="00C06AB8">
            <w:pPr>
              <w:pStyle w:val="BulletText1"/>
              <w:numPr>
                <w:ilvl w:val="0"/>
                <w:numId w:val="0"/>
              </w:numPr>
            </w:pPr>
            <w:r>
              <w:t>2-F-4</w:t>
            </w:r>
          </w:p>
          <w:p w14:paraId="6948790D" w14:textId="77777777" w:rsidR="00DC0936" w:rsidRDefault="00DC0936" w:rsidP="00C06AB8">
            <w:pPr>
              <w:pStyle w:val="BulletText1"/>
              <w:numPr>
                <w:ilvl w:val="0"/>
                <w:numId w:val="0"/>
              </w:numPr>
            </w:pPr>
            <w:r>
              <w:t>2-F-5</w:t>
            </w:r>
          </w:p>
        </w:tc>
      </w:tr>
      <w:tr w:rsidR="004B67C3" w14:paraId="6023A92D" w14:textId="77777777" w:rsidTr="00005F9B">
        <w:tc>
          <w:tcPr>
            <w:tcW w:w="3011" w:type="pct"/>
            <w:shd w:val="clear" w:color="auto" w:fill="auto"/>
          </w:tcPr>
          <w:p w14:paraId="39A30D44" w14:textId="43E51E63" w:rsidR="004B67C3" w:rsidRDefault="004B67C3" w:rsidP="0070286B">
            <w:pPr>
              <w:pStyle w:val="BulletText1"/>
            </w:pPr>
            <w:r>
              <w:t>To clarify that VA may not pay benefits based on service in the U.S. Merchant Marine without a discharge document</w:t>
            </w:r>
            <w:r w:rsidR="00B65DD5">
              <w:t xml:space="preserve"> and to clarify that the claimant (not VA) must obtain the discharge document.</w:t>
            </w:r>
            <w:r w:rsidR="001C3948">
              <w:t xml:space="preserve">  However, VA is not precluded from </w:t>
            </w:r>
            <w:r w:rsidR="002B1357">
              <w:t>accepting the discharge document from any legitimate source</w:t>
            </w:r>
            <w:r w:rsidR="001C3948">
              <w:t>.</w:t>
            </w:r>
          </w:p>
          <w:p w14:paraId="6C2696DB" w14:textId="33B150A0" w:rsidR="004B67C3" w:rsidRDefault="004B67C3" w:rsidP="0070286B">
            <w:pPr>
              <w:pStyle w:val="BulletText1"/>
            </w:pPr>
            <w:r>
              <w:t>To state that an EP is established when there is a VADS record or a discharge document.</w:t>
            </w:r>
          </w:p>
        </w:tc>
        <w:tc>
          <w:tcPr>
            <w:tcW w:w="1420" w:type="pct"/>
            <w:shd w:val="clear" w:color="auto" w:fill="auto"/>
          </w:tcPr>
          <w:p w14:paraId="1F763371" w14:textId="346ED368" w:rsidR="004B67C3" w:rsidRDefault="004B67C3" w:rsidP="004902AB">
            <w:pPr>
              <w:pStyle w:val="TableText"/>
            </w:pPr>
            <w:r>
              <w:t>III.iii.2.F.7.a</w:t>
            </w:r>
          </w:p>
        </w:tc>
        <w:tc>
          <w:tcPr>
            <w:tcW w:w="569" w:type="pct"/>
            <w:shd w:val="clear" w:color="auto" w:fill="auto"/>
          </w:tcPr>
          <w:p w14:paraId="14A02E7A" w14:textId="1AB108FC" w:rsidR="004B67C3" w:rsidRDefault="004B67C3" w:rsidP="00C06AB8">
            <w:pPr>
              <w:pStyle w:val="BulletText1"/>
              <w:numPr>
                <w:ilvl w:val="0"/>
                <w:numId w:val="0"/>
              </w:numPr>
            </w:pPr>
            <w:r>
              <w:t>2-F-6</w:t>
            </w:r>
          </w:p>
        </w:tc>
      </w:tr>
      <w:tr w:rsidR="002F0D71" w14:paraId="69487912" w14:textId="77777777" w:rsidTr="00005F9B">
        <w:tc>
          <w:tcPr>
            <w:tcW w:w="3011" w:type="pct"/>
            <w:shd w:val="clear" w:color="auto" w:fill="auto"/>
          </w:tcPr>
          <w:p w14:paraId="6948790F" w14:textId="77777777" w:rsidR="0098033F" w:rsidRDefault="005C7093" w:rsidP="00AD4E43">
            <w:pPr>
              <w:pStyle w:val="TableText"/>
            </w:pPr>
            <w:r>
              <w:t>To state that the date of completion on a DD 214 could be December 31, 1946, when service verification under Public Law 105-368 is involved.</w:t>
            </w:r>
          </w:p>
        </w:tc>
        <w:tc>
          <w:tcPr>
            <w:tcW w:w="1420" w:type="pct"/>
            <w:shd w:val="clear" w:color="auto" w:fill="auto"/>
          </w:tcPr>
          <w:p w14:paraId="69487910" w14:textId="77777777" w:rsidR="0098033F" w:rsidRDefault="005C7093" w:rsidP="004902AB">
            <w:pPr>
              <w:pStyle w:val="TableText"/>
            </w:pPr>
            <w:r>
              <w:t>III.iii.2.F.37.b</w:t>
            </w:r>
          </w:p>
        </w:tc>
        <w:tc>
          <w:tcPr>
            <w:tcW w:w="569" w:type="pct"/>
            <w:shd w:val="clear" w:color="auto" w:fill="auto"/>
          </w:tcPr>
          <w:p w14:paraId="69487911" w14:textId="77777777" w:rsidR="0098033F" w:rsidRDefault="005C7093" w:rsidP="00C06AB8">
            <w:pPr>
              <w:pStyle w:val="BulletText1"/>
              <w:numPr>
                <w:ilvl w:val="0"/>
                <w:numId w:val="0"/>
              </w:numPr>
            </w:pPr>
            <w:r>
              <w:t>2-F-7</w:t>
            </w:r>
          </w:p>
        </w:tc>
      </w:tr>
      <w:tr w:rsidR="008B0BC6" w14:paraId="69487916" w14:textId="77777777" w:rsidTr="00005F9B">
        <w:tc>
          <w:tcPr>
            <w:tcW w:w="3011" w:type="pct"/>
            <w:shd w:val="clear" w:color="auto" w:fill="auto"/>
          </w:tcPr>
          <w:p w14:paraId="69487913" w14:textId="4558C281" w:rsidR="008B0BC6" w:rsidRDefault="008B0BC6" w:rsidP="00B05348">
            <w:pPr>
              <w:pStyle w:val="TableText"/>
            </w:pPr>
            <w:r>
              <w:t xml:space="preserve">To state that a DD 1300 is valid even if an equivalent military pay grade is not shown and development is required only </w:t>
            </w:r>
            <w:r w:rsidR="00003017">
              <w:t xml:space="preserve">when </w:t>
            </w:r>
            <w:r>
              <w:t>the pay grade information is necessary but not provided.</w:t>
            </w:r>
          </w:p>
        </w:tc>
        <w:tc>
          <w:tcPr>
            <w:tcW w:w="1420" w:type="pct"/>
            <w:shd w:val="clear" w:color="auto" w:fill="auto"/>
          </w:tcPr>
          <w:p w14:paraId="69487914" w14:textId="77777777" w:rsidR="008B0BC6" w:rsidRDefault="008B0BC6" w:rsidP="00B05348">
            <w:pPr>
              <w:pStyle w:val="TableText"/>
            </w:pPr>
            <w:r>
              <w:t>III.iii.2.F.37.c</w:t>
            </w:r>
          </w:p>
        </w:tc>
        <w:tc>
          <w:tcPr>
            <w:tcW w:w="569" w:type="pct"/>
            <w:shd w:val="clear" w:color="auto" w:fill="auto"/>
          </w:tcPr>
          <w:p w14:paraId="69487915" w14:textId="77777777" w:rsidR="008B0BC6" w:rsidRDefault="008B0BC6" w:rsidP="00B05348">
            <w:pPr>
              <w:pStyle w:val="BulletText1"/>
              <w:numPr>
                <w:ilvl w:val="0"/>
                <w:numId w:val="0"/>
              </w:numPr>
            </w:pPr>
            <w:r>
              <w:t>2-F-7</w:t>
            </w:r>
          </w:p>
        </w:tc>
      </w:tr>
      <w:tr w:rsidR="004B67C3" w14:paraId="2ED062C6" w14:textId="77777777" w:rsidTr="00005F9B">
        <w:tc>
          <w:tcPr>
            <w:tcW w:w="3011" w:type="pct"/>
            <w:shd w:val="clear" w:color="auto" w:fill="auto"/>
          </w:tcPr>
          <w:p w14:paraId="74133FE1" w14:textId="0B6A0459" w:rsidR="004B67C3" w:rsidRDefault="004B67C3" w:rsidP="00B05348">
            <w:pPr>
              <w:pStyle w:val="TableText"/>
            </w:pPr>
            <w:r>
              <w:t>To clarify that it may not be possible to enter voyage information during CEST when voyage information is not yet available.</w:t>
            </w:r>
          </w:p>
        </w:tc>
        <w:tc>
          <w:tcPr>
            <w:tcW w:w="1420" w:type="pct"/>
            <w:shd w:val="clear" w:color="auto" w:fill="auto"/>
          </w:tcPr>
          <w:p w14:paraId="21868942" w14:textId="7D358991" w:rsidR="004B67C3" w:rsidRDefault="004B67C3" w:rsidP="00B05348">
            <w:pPr>
              <w:pStyle w:val="TableText"/>
            </w:pPr>
            <w:r>
              <w:t>III.iii.2.F.37.d</w:t>
            </w:r>
          </w:p>
        </w:tc>
        <w:tc>
          <w:tcPr>
            <w:tcW w:w="569" w:type="pct"/>
            <w:shd w:val="clear" w:color="auto" w:fill="auto"/>
          </w:tcPr>
          <w:p w14:paraId="414C7FD2" w14:textId="09EB8B92" w:rsidR="004B67C3" w:rsidRDefault="004B67C3" w:rsidP="00B05348">
            <w:pPr>
              <w:pStyle w:val="BulletText1"/>
              <w:numPr>
                <w:ilvl w:val="0"/>
                <w:numId w:val="0"/>
              </w:numPr>
            </w:pPr>
            <w:r>
              <w:t>2-F-7</w:t>
            </w:r>
          </w:p>
        </w:tc>
      </w:tr>
      <w:tr w:rsidR="008B0BC6" w14:paraId="6948791B" w14:textId="77777777" w:rsidTr="00005F9B">
        <w:tc>
          <w:tcPr>
            <w:tcW w:w="3011" w:type="pct"/>
            <w:shd w:val="clear" w:color="auto" w:fill="auto"/>
          </w:tcPr>
          <w:p w14:paraId="69487917" w14:textId="600A4C33" w:rsidR="008B0BC6" w:rsidRDefault="008B0BC6" w:rsidP="005C7093">
            <w:pPr>
              <w:pStyle w:val="BulletText1"/>
            </w:pPr>
            <w:r>
              <w:t>To state that the Coast Guard no longer issues DD 214s that contain statements verifying 90 days of qualifying service when there is proof that a mariner sailed on oceangoing vessels, but records are complete</w:t>
            </w:r>
            <w:r w:rsidR="00003017">
              <w:t>,</w:t>
            </w:r>
            <w:r>
              <w:t xml:space="preserve"> and to add a reference to the block </w:t>
            </w:r>
            <w:r w:rsidR="004B67C3">
              <w:t xml:space="preserve">that </w:t>
            </w:r>
            <w:r>
              <w:t>describes what currently issued DD 214s contain.</w:t>
            </w:r>
          </w:p>
          <w:p w14:paraId="69487918" w14:textId="77777777" w:rsidR="008B0BC6" w:rsidRDefault="008B0BC6" w:rsidP="005C7093">
            <w:pPr>
              <w:pStyle w:val="BulletText1"/>
            </w:pPr>
            <w:r>
              <w:t>To remove duplicate information.</w:t>
            </w:r>
          </w:p>
        </w:tc>
        <w:tc>
          <w:tcPr>
            <w:tcW w:w="1420" w:type="pct"/>
            <w:shd w:val="clear" w:color="auto" w:fill="auto"/>
          </w:tcPr>
          <w:p w14:paraId="69487919" w14:textId="77777777" w:rsidR="008B0BC6" w:rsidRDefault="008B0BC6" w:rsidP="004902AB">
            <w:pPr>
              <w:pStyle w:val="TableText"/>
            </w:pPr>
            <w:r>
              <w:t>III.iii.2.F.37.f</w:t>
            </w:r>
          </w:p>
        </w:tc>
        <w:tc>
          <w:tcPr>
            <w:tcW w:w="569" w:type="pct"/>
            <w:shd w:val="clear" w:color="auto" w:fill="auto"/>
          </w:tcPr>
          <w:p w14:paraId="6948791A" w14:textId="77777777" w:rsidR="008B0BC6" w:rsidRDefault="008B0BC6" w:rsidP="00C06AB8">
            <w:pPr>
              <w:pStyle w:val="BulletText1"/>
              <w:numPr>
                <w:ilvl w:val="0"/>
                <w:numId w:val="0"/>
              </w:numPr>
            </w:pPr>
            <w:r>
              <w:t>2-F-8</w:t>
            </w:r>
          </w:p>
        </w:tc>
      </w:tr>
      <w:tr w:rsidR="008B0BC6" w14:paraId="6948791F" w14:textId="77777777" w:rsidTr="00005F9B">
        <w:tc>
          <w:tcPr>
            <w:tcW w:w="3011" w:type="pct"/>
            <w:shd w:val="clear" w:color="auto" w:fill="auto"/>
          </w:tcPr>
          <w:p w14:paraId="6948791C" w14:textId="048798E3" w:rsidR="008B0BC6" w:rsidRDefault="00011915" w:rsidP="00011915">
            <w:pPr>
              <w:pStyle w:val="TableText"/>
            </w:pPr>
            <w:r>
              <w:t xml:space="preserve">To add a clarifying note that the Coast Guard does not issue </w:t>
            </w:r>
            <w:r w:rsidR="004B67C3">
              <w:t xml:space="preserve">U.S. Merchant Marine </w:t>
            </w:r>
            <w:r>
              <w:t>discharge documents for training time with the U.S. Maritime Service.</w:t>
            </w:r>
          </w:p>
        </w:tc>
        <w:tc>
          <w:tcPr>
            <w:tcW w:w="1420" w:type="pct"/>
            <w:shd w:val="clear" w:color="auto" w:fill="auto"/>
          </w:tcPr>
          <w:p w14:paraId="6948791D" w14:textId="061A2802" w:rsidR="008B0BC6" w:rsidRDefault="00011915" w:rsidP="004B67C3">
            <w:pPr>
              <w:pStyle w:val="TableText"/>
            </w:pPr>
            <w:r>
              <w:t>III.iii.2.</w:t>
            </w:r>
            <w:r w:rsidR="004B67C3">
              <w:t>F</w:t>
            </w:r>
            <w:r>
              <w:t>.38.d</w:t>
            </w:r>
          </w:p>
        </w:tc>
        <w:tc>
          <w:tcPr>
            <w:tcW w:w="569" w:type="pct"/>
            <w:shd w:val="clear" w:color="auto" w:fill="auto"/>
          </w:tcPr>
          <w:p w14:paraId="6948791E" w14:textId="77777777" w:rsidR="008B0BC6" w:rsidRDefault="00011915" w:rsidP="00C06AB8">
            <w:pPr>
              <w:pStyle w:val="BulletText1"/>
              <w:numPr>
                <w:ilvl w:val="0"/>
                <w:numId w:val="0"/>
              </w:numPr>
            </w:pPr>
            <w:r>
              <w:t>2-F-10</w:t>
            </w:r>
          </w:p>
        </w:tc>
      </w:tr>
    </w:tbl>
    <w:p w14:paraId="66F4ABE6" w14:textId="46DBC14F" w:rsidR="004B67C3" w:rsidRDefault="004B67C3" w:rsidP="004B67C3">
      <w:pPr>
        <w:pStyle w:val="ContinuedOnNextPa"/>
      </w:pPr>
      <w:r>
        <w:t>Continued on next page</w:t>
      </w:r>
    </w:p>
    <w:p w14:paraId="7793DAA6" w14:textId="5326D555" w:rsidR="004B67C3" w:rsidRDefault="004B67C3" w:rsidP="004B67C3">
      <w:pPr>
        <w:pStyle w:val="MapTitleContinued"/>
        <w:rPr>
          <w:b w:val="0"/>
          <w:sz w:val="24"/>
        </w:rPr>
      </w:pPr>
      <w:r w:rsidRPr="00AD3108">
        <w:br w:type="page"/>
      </w:r>
      <w:r w:rsidR="000654A4">
        <w:lastRenderedPageBreak/>
        <w:fldChar w:fldCharType="begin"/>
      </w:r>
      <w:r w:rsidR="000654A4">
        <w:instrText xml:space="preserve"> STYLEREF "Map Title" </w:instrText>
      </w:r>
      <w:r w:rsidR="000654A4">
        <w:fldChar w:fldCharType="separate"/>
      </w:r>
      <w:r w:rsidRPr="00AD3108">
        <w:rPr>
          <w:noProof/>
        </w:rPr>
        <w:t>Transmittal Sheet</w:t>
      </w:r>
      <w:r w:rsidR="000654A4">
        <w:rPr>
          <w:noProof/>
        </w:rPr>
        <w:fldChar w:fldCharType="end"/>
      </w:r>
      <w:r w:rsidRPr="00AD3108">
        <w:t xml:space="preserve">, </w:t>
      </w:r>
      <w:r w:rsidRPr="00AD3108">
        <w:rPr>
          <w:b w:val="0"/>
          <w:sz w:val="24"/>
        </w:rPr>
        <w:t>Continued</w:t>
      </w:r>
    </w:p>
    <w:p w14:paraId="13D30150" w14:textId="34D8D659" w:rsidR="004B67C3" w:rsidRDefault="004B67C3" w:rsidP="004B67C3">
      <w:pPr>
        <w:pStyle w:val="BlockLine"/>
      </w:pPr>
      <w:r>
        <w:t xml:space="preserve"> </w:t>
      </w:r>
    </w:p>
    <w:tbl>
      <w:tblPr>
        <w:tblW w:w="9320" w:type="dxa"/>
        <w:tblInd w:w="144" w:type="dxa"/>
        <w:tblLayout w:type="fixed"/>
        <w:tblLook w:val="0000" w:firstRow="0" w:lastRow="0" w:firstColumn="0" w:lastColumn="0" w:noHBand="0" w:noVBand="0"/>
      </w:tblPr>
      <w:tblGrid>
        <w:gridCol w:w="9320"/>
      </w:tblGrid>
      <w:tr w:rsidR="004B67C3" w14:paraId="61ADACDB" w14:textId="77777777" w:rsidTr="0070286B">
        <w:tc>
          <w:tcPr>
            <w:tcW w:w="5000" w:type="pct"/>
            <w:shd w:val="clear" w:color="auto" w:fill="auto"/>
          </w:tcPr>
          <w:p w14:paraId="6FC7DE72" w14:textId="4598FB9C" w:rsidR="004B67C3" w:rsidRDefault="000654A4" w:rsidP="0070286B">
            <w:pPr>
              <w:pStyle w:val="ContinuedTableLabe"/>
            </w:pPr>
            <w:r>
              <w:fldChar w:fldCharType="begin"/>
            </w:r>
            <w:r>
              <w:instrText xml:space="preserve"> STYLEREF "Block Label" </w:instrText>
            </w:r>
            <w:r>
              <w:fldChar w:fldCharType="separate"/>
            </w:r>
            <w:r w:rsidR="004B67C3">
              <w:rPr>
                <w:noProof/>
              </w:rPr>
              <w:t>Changes Included in This Revision</w:t>
            </w:r>
            <w:r>
              <w:rPr>
                <w:noProof/>
              </w:rPr>
              <w:fldChar w:fldCharType="end"/>
            </w:r>
            <w:r w:rsidR="004B67C3">
              <w:t xml:space="preserve"> </w:t>
            </w:r>
            <w:r w:rsidR="004B67C3" w:rsidRPr="0070286B">
              <w:rPr>
                <w:b w:val="0"/>
              </w:rPr>
              <w:t>(continued)</w:t>
            </w:r>
          </w:p>
        </w:tc>
      </w:tr>
    </w:tbl>
    <w:p w14:paraId="7DA3EC25" w14:textId="77777777" w:rsidR="004B67C3" w:rsidRPr="00AD3108" w:rsidRDefault="004B67C3" w:rsidP="00AD3108"/>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3"/>
        <w:gridCol w:w="2699"/>
        <w:gridCol w:w="1082"/>
      </w:tblGrid>
      <w:tr w:rsidR="004B67C3" w14:paraId="1D5876E1" w14:textId="77777777" w:rsidTr="0070286B">
        <w:tc>
          <w:tcPr>
            <w:tcW w:w="3011" w:type="pct"/>
            <w:shd w:val="clear" w:color="auto" w:fill="auto"/>
          </w:tcPr>
          <w:p w14:paraId="10EF346B" w14:textId="77777777" w:rsidR="004B67C3" w:rsidRPr="00C24D50" w:rsidRDefault="004B67C3" w:rsidP="00A70CF3">
            <w:pPr>
              <w:pStyle w:val="TableHeaderText"/>
            </w:pPr>
            <w:r w:rsidRPr="00C24D50">
              <w:t>Reason(s) for the Change</w:t>
            </w:r>
          </w:p>
        </w:tc>
        <w:tc>
          <w:tcPr>
            <w:tcW w:w="1420" w:type="pct"/>
            <w:shd w:val="clear" w:color="auto" w:fill="auto"/>
          </w:tcPr>
          <w:p w14:paraId="43BAA0F2" w14:textId="77777777" w:rsidR="004B67C3" w:rsidRPr="00C24D50" w:rsidRDefault="004B67C3" w:rsidP="00A70CF3">
            <w:pPr>
              <w:pStyle w:val="TableHeaderText"/>
            </w:pPr>
            <w:r w:rsidRPr="00C24D50">
              <w:t>Citation</w:t>
            </w:r>
            <w:r>
              <w:t>(s)</w:t>
            </w:r>
          </w:p>
        </w:tc>
        <w:tc>
          <w:tcPr>
            <w:tcW w:w="569" w:type="pct"/>
            <w:shd w:val="clear" w:color="auto" w:fill="auto"/>
          </w:tcPr>
          <w:p w14:paraId="69BD46F8" w14:textId="77777777" w:rsidR="004B67C3" w:rsidRDefault="004B67C3" w:rsidP="00A70CF3">
            <w:pPr>
              <w:pStyle w:val="TableHeaderText"/>
            </w:pPr>
            <w:r>
              <w:t>Page(s)</w:t>
            </w:r>
          </w:p>
        </w:tc>
      </w:tr>
      <w:tr w:rsidR="00A8389E" w14:paraId="69487924" w14:textId="77777777" w:rsidTr="00005F9B">
        <w:tc>
          <w:tcPr>
            <w:tcW w:w="3011" w:type="pct"/>
            <w:shd w:val="clear" w:color="auto" w:fill="auto"/>
          </w:tcPr>
          <w:p w14:paraId="69487920" w14:textId="77777777" w:rsidR="00A8389E" w:rsidRDefault="00A8389E" w:rsidP="00011915">
            <w:pPr>
              <w:pStyle w:val="TableText"/>
            </w:pPr>
            <w:r w:rsidRPr="005044E6">
              <w:t xml:space="preserve">To remove </w:t>
            </w:r>
            <w:r w:rsidR="00F90E5C">
              <w:t xml:space="preserve">(and reserve) </w:t>
            </w:r>
            <w:r w:rsidRPr="005044E6">
              <w:t>Topic</w:t>
            </w:r>
            <w:r w:rsidR="007C274C">
              <w:t>s</w:t>
            </w:r>
            <w:r w:rsidRPr="005044E6">
              <w:t xml:space="preserve"> 39 </w:t>
            </w:r>
            <w:r w:rsidR="007C274C">
              <w:t xml:space="preserve">and 47 </w:t>
            </w:r>
            <w:r w:rsidRPr="005044E6">
              <w:t>because we have received information that the National Personnel Records Center (NPRC) does not have Service Treatment Records (STRs) for</w:t>
            </w:r>
            <w:r>
              <w:t xml:space="preserve"> </w:t>
            </w:r>
            <w:r w:rsidR="005044E6">
              <w:t>civil servants who were employed by the U.S. Army Transport Service (later designated the U.S. Army Transportation Corps, Water Division), or the Naval Transportation Service during World War II.</w:t>
            </w:r>
          </w:p>
        </w:tc>
        <w:tc>
          <w:tcPr>
            <w:tcW w:w="1420" w:type="pct"/>
            <w:shd w:val="clear" w:color="auto" w:fill="auto"/>
          </w:tcPr>
          <w:p w14:paraId="69487921" w14:textId="77777777" w:rsidR="00A8389E" w:rsidRDefault="005044E6" w:rsidP="004902AB">
            <w:pPr>
              <w:pStyle w:val="TableText"/>
            </w:pPr>
            <w:r>
              <w:t>N/A</w:t>
            </w:r>
          </w:p>
        </w:tc>
        <w:tc>
          <w:tcPr>
            <w:tcW w:w="569" w:type="pct"/>
            <w:shd w:val="clear" w:color="auto" w:fill="auto"/>
          </w:tcPr>
          <w:p w14:paraId="69487922" w14:textId="77777777" w:rsidR="00A8389E" w:rsidRDefault="005044E6" w:rsidP="00C06AB8">
            <w:pPr>
              <w:pStyle w:val="BulletText1"/>
              <w:numPr>
                <w:ilvl w:val="0"/>
                <w:numId w:val="0"/>
              </w:numPr>
            </w:pPr>
            <w:r>
              <w:t>2-F-12</w:t>
            </w:r>
          </w:p>
          <w:p w14:paraId="69487923" w14:textId="77777777" w:rsidR="007C274C" w:rsidRDefault="007C274C" w:rsidP="00C06AB8">
            <w:pPr>
              <w:pStyle w:val="BulletText1"/>
              <w:numPr>
                <w:ilvl w:val="0"/>
                <w:numId w:val="0"/>
              </w:numPr>
            </w:pPr>
            <w:r>
              <w:t>2-F-31</w:t>
            </w:r>
          </w:p>
        </w:tc>
      </w:tr>
      <w:tr w:rsidR="0074604A" w14:paraId="438B808B" w14:textId="77777777" w:rsidTr="00005F9B">
        <w:tc>
          <w:tcPr>
            <w:tcW w:w="3011" w:type="pct"/>
            <w:shd w:val="clear" w:color="auto" w:fill="auto"/>
          </w:tcPr>
          <w:p w14:paraId="61F264E1" w14:textId="6CEB9A82" w:rsidR="0074604A" w:rsidRPr="005044E6" w:rsidRDefault="0074604A" w:rsidP="00011915">
            <w:pPr>
              <w:pStyle w:val="TableText"/>
            </w:pPr>
            <w:r>
              <w:t>In Topic 40, to remove Block a and to designate Blocks b through h as Blocks a through g.</w:t>
            </w:r>
          </w:p>
        </w:tc>
        <w:tc>
          <w:tcPr>
            <w:tcW w:w="1420" w:type="pct"/>
            <w:shd w:val="clear" w:color="auto" w:fill="auto"/>
          </w:tcPr>
          <w:p w14:paraId="63FD6C4A" w14:textId="3C389F5C" w:rsidR="0074604A" w:rsidRDefault="0074604A" w:rsidP="004902AB">
            <w:pPr>
              <w:pStyle w:val="TableText"/>
            </w:pPr>
            <w:r>
              <w:t>III.iii.2.F.40.a through g</w:t>
            </w:r>
          </w:p>
          <w:p w14:paraId="2B14FDEE" w14:textId="5B757F20" w:rsidR="0074604A" w:rsidRDefault="0074604A" w:rsidP="004902AB">
            <w:pPr>
              <w:pStyle w:val="TableText"/>
            </w:pPr>
            <w:r>
              <w:t>(Formerly III.iii.2.F.40 b through h)</w:t>
            </w:r>
          </w:p>
        </w:tc>
        <w:tc>
          <w:tcPr>
            <w:tcW w:w="569" w:type="pct"/>
            <w:shd w:val="clear" w:color="auto" w:fill="auto"/>
          </w:tcPr>
          <w:p w14:paraId="5F5E6668" w14:textId="1D04C9EB" w:rsidR="0074604A" w:rsidRDefault="00695EC9" w:rsidP="00C06AB8">
            <w:pPr>
              <w:pStyle w:val="BulletText1"/>
              <w:numPr>
                <w:ilvl w:val="0"/>
                <w:numId w:val="0"/>
              </w:numPr>
            </w:pPr>
            <w:r>
              <w:t>2-F-13</w:t>
            </w:r>
          </w:p>
        </w:tc>
      </w:tr>
      <w:tr w:rsidR="00AD3108" w14:paraId="6948793A" w14:textId="77777777" w:rsidTr="00005F9B">
        <w:tc>
          <w:tcPr>
            <w:tcW w:w="3011" w:type="pct"/>
            <w:shd w:val="clear" w:color="auto" w:fill="auto"/>
          </w:tcPr>
          <w:p w14:paraId="69487937" w14:textId="025C4933" w:rsidR="00AD3108" w:rsidRDefault="00AD3108" w:rsidP="0074604A">
            <w:pPr>
              <w:pStyle w:val="TableText"/>
            </w:pPr>
            <w:r w:rsidRPr="004B67C3">
              <w:t>To state that the Health Resources and Services Administration (HSRA) of the Department of Human Services maintains records of the former Public Health Service (PHS) at the National Hansen’s Disease Center in Baton Rouge, LA.</w:t>
            </w:r>
          </w:p>
        </w:tc>
        <w:tc>
          <w:tcPr>
            <w:tcW w:w="1420" w:type="pct"/>
            <w:shd w:val="clear" w:color="auto" w:fill="auto"/>
          </w:tcPr>
          <w:p w14:paraId="3E76F212" w14:textId="77777777" w:rsidR="00AD3108" w:rsidRDefault="00AD3108" w:rsidP="00A70CF3">
            <w:pPr>
              <w:pStyle w:val="TableText"/>
            </w:pPr>
            <w:r>
              <w:t>III.iii.2.F.40.a</w:t>
            </w:r>
          </w:p>
          <w:p w14:paraId="69487938" w14:textId="2970E89E" w:rsidR="00AD3108" w:rsidRDefault="00AD3108" w:rsidP="003222CA">
            <w:pPr>
              <w:pStyle w:val="TableText"/>
            </w:pPr>
            <w:r>
              <w:t>(Formerly III.iii.2.F.40.b)</w:t>
            </w:r>
          </w:p>
        </w:tc>
        <w:tc>
          <w:tcPr>
            <w:tcW w:w="569" w:type="pct"/>
            <w:shd w:val="clear" w:color="auto" w:fill="auto"/>
          </w:tcPr>
          <w:p w14:paraId="69487939" w14:textId="6B98CCFD" w:rsidR="00AD3108" w:rsidRDefault="00AD3108" w:rsidP="003222CA">
            <w:pPr>
              <w:pStyle w:val="BulletText1"/>
              <w:numPr>
                <w:ilvl w:val="0"/>
                <w:numId w:val="0"/>
              </w:numPr>
            </w:pPr>
            <w:r>
              <w:t>2-F-13</w:t>
            </w:r>
          </w:p>
        </w:tc>
      </w:tr>
      <w:tr w:rsidR="00AD3108" w14:paraId="7B878586" w14:textId="77777777" w:rsidTr="00005F9B">
        <w:tc>
          <w:tcPr>
            <w:tcW w:w="3011" w:type="pct"/>
            <w:shd w:val="clear" w:color="auto" w:fill="auto"/>
          </w:tcPr>
          <w:p w14:paraId="411F3F8C" w14:textId="20860B04" w:rsidR="00AD3108" w:rsidRDefault="00AD3108" w:rsidP="003222CA">
            <w:pPr>
              <w:pStyle w:val="TableText"/>
            </w:pPr>
            <w:r>
              <w:t>To clarify the address to use to request PHS records.</w:t>
            </w:r>
          </w:p>
        </w:tc>
        <w:tc>
          <w:tcPr>
            <w:tcW w:w="1420" w:type="pct"/>
            <w:shd w:val="clear" w:color="auto" w:fill="auto"/>
          </w:tcPr>
          <w:p w14:paraId="26DF8E90" w14:textId="77777777" w:rsidR="00AD3108" w:rsidRDefault="00AD3108" w:rsidP="003222CA">
            <w:pPr>
              <w:pStyle w:val="TableText"/>
            </w:pPr>
            <w:r>
              <w:t>III.iii.2.F.40.c</w:t>
            </w:r>
          </w:p>
          <w:p w14:paraId="66D5B79F" w14:textId="4C84853E" w:rsidR="0074604A" w:rsidRDefault="0074604A" w:rsidP="003222CA">
            <w:pPr>
              <w:pStyle w:val="TableText"/>
            </w:pPr>
            <w:r>
              <w:t>(Formerly III.iii.2.F.40.d)</w:t>
            </w:r>
          </w:p>
        </w:tc>
        <w:tc>
          <w:tcPr>
            <w:tcW w:w="569" w:type="pct"/>
            <w:shd w:val="clear" w:color="auto" w:fill="auto"/>
          </w:tcPr>
          <w:p w14:paraId="2FF23FD4" w14:textId="1F345DE8" w:rsidR="00AD3108" w:rsidRDefault="00AD3108" w:rsidP="003222CA">
            <w:pPr>
              <w:pStyle w:val="BulletText1"/>
              <w:numPr>
                <w:ilvl w:val="0"/>
                <w:numId w:val="0"/>
              </w:numPr>
            </w:pPr>
            <w:r>
              <w:t>2-F-15</w:t>
            </w:r>
          </w:p>
        </w:tc>
      </w:tr>
      <w:tr w:rsidR="00AD3108" w14:paraId="6948793E" w14:textId="77777777" w:rsidTr="00005F9B">
        <w:tc>
          <w:tcPr>
            <w:tcW w:w="3011" w:type="pct"/>
            <w:shd w:val="clear" w:color="auto" w:fill="auto"/>
          </w:tcPr>
          <w:p w14:paraId="6948793B" w14:textId="77777777" w:rsidR="00AD3108" w:rsidRDefault="00AD3108" w:rsidP="003222CA">
            <w:pPr>
              <w:pStyle w:val="TableText"/>
            </w:pPr>
            <w:r>
              <w:t>To change terminology from PHS to HSRA and to change terminology from the Office of Maritime Labor and Training to the “Maritime Administration Office of Sealift Support.”</w:t>
            </w:r>
          </w:p>
        </w:tc>
        <w:tc>
          <w:tcPr>
            <w:tcW w:w="1420" w:type="pct"/>
            <w:shd w:val="clear" w:color="auto" w:fill="auto"/>
          </w:tcPr>
          <w:p w14:paraId="0C26B6B8" w14:textId="77777777" w:rsidR="00AD3108" w:rsidRDefault="00AD3108" w:rsidP="003222CA">
            <w:pPr>
              <w:pStyle w:val="TableText"/>
            </w:pPr>
            <w:r>
              <w:t>III.iii.2.F.40.d</w:t>
            </w:r>
          </w:p>
          <w:p w14:paraId="6948793C" w14:textId="512F98B4" w:rsidR="0074604A" w:rsidRDefault="0074604A" w:rsidP="003222CA">
            <w:pPr>
              <w:pStyle w:val="TableText"/>
            </w:pPr>
            <w:r>
              <w:t>(Formerly III.iii.2.F.40.e)</w:t>
            </w:r>
          </w:p>
        </w:tc>
        <w:tc>
          <w:tcPr>
            <w:tcW w:w="569" w:type="pct"/>
            <w:shd w:val="clear" w:color="auto" w:fill="auto"/>
          </w:tcPr>
          <w:p w14:paraId="6948793D" w14:textId="77777777" w:rsidR="00AD3108" w:rsidRDefault="00AD3108" w:rsidP="003222CA">
            <w:pPr>
              <w:pStyle w:val="BulletText1"/>
              <w:numPr>
                <w:ilvl w:val="0"/>
                <w:numId w:val="0"/>
              </w:numPr>
            </w:pPr>
            <w:r>
              <w:t>2-F-15</w:t>
            </w:r>
          </w:p>
        </w:tc>
      </w:tr>
      <w:tr w:rsidR="00AD3108" w14:paraId="69487942" w14:textId="77777777" w:rsidTr="00005F9B">
        <w:tc>
          <w:tcPr>
            <w:tcW w:w="3011" w:type="pct"/>
            <w:shd w:val="clear" w:color="auto" w:fill="auto"/>
          </w:tcPr>
          <w:p w14:paraId="6948793F" w14:textId="77777777" w:rsidR="00AD3108" w:rsidRDefault="00AD3108" w:rsidP="00AD3876">
            <w:pPr>
              <w:pStyle w:val="TableText"/>
            </w:pPr>
            <w:r>
              <w:t>To clarify that although the HSRA is authorized to destroy PHS treatment records after 50 years from the date of treatment, records administrators may choose not to do so.</w:t>
            </w:r>
          </w:p>
        </w:tc>
        <w:tc>
          <w:tcPr>
            <w:tcW w:w="1420" w:type="pct"/>
            <w:shd w:val="clear" w:color="auto" w:fill="auto"/>
          </w:tcPr>
          <w:p w14:paraId="537F1CB1" w14:textId="77777777" w:rsidR="00AD3108" w:rsidRDefault="00AD3108" w:rsidP="004902AB">
            <w:pPr>
              <w:pStyle w:val="TableText"/>
            </w:pPr>
            <w:r>
              <w:t>III.iii.2.F.40.g</w:t>
            </w:r>
          </w:p>
          <w:p w14:paraId="69487940" w14:textId="5E544530" w:rsidR="0074604A" w:rsidRDefault="0074604A" w:rsidP="004902AB">
            <w:pPr>
              <w:pStyle w:val="TableText"/>
            </w:pPr>
            <w:r>
              <w:t>(Formerly III.iii.2.F.40.h)</w:t>
            </w:r>
          </w:p>
        </w:tc>
        <w:tc>
          <w:tcPr>
            <w:tcW w:w="569" w:type="pct"/>
            <w:shd w:val="clear" w:color="auto" w:fill="auto"/>
          </w:tcPr>
          <w:p w14:paraId="69487941" w14:textId="77777777" w:rsidR="00AD3108" w:rsidRDefault="00AD3108" w:rsidP="00C06AB8">
            <w:pPr>
              <w:pStyle w:val="BulletText1"/>
              <w:numPr>
                <w:ilvl w:val="0"/>
                <w:numId w:val="0"/>
              </w:numPr>
            </w:pPr>
            <w:r>
              <w:t>2-F-17</w:t>
            </w:r>
          </w:p>
        </w:tc>
      </w:tr>
      <w:tr w:rsidR="00AD3108" w14:paraId="69487949" w14:textId="77777777" w:rsidTr="00005F9B">
        <w:tc>
          <w:tcPr>
            <w:tcW w:w="3011" w:type="pct"/>
            <w:shd w:val="clear" w:color="auto" w:fill="auto"/>
          </w:tcPr>
          <w:p w14:paraId="69487943" w14:textId="77777777" w:rsidR="00AD3108" w:rsidRDefault="00AD3108" w:rsidP="002712B7">
            <w:pPr>
              <w:pStyle w:val="BulletText1"/>
            </w:pPr>
            <w:r>
              <w:t>To state that the U.S. Department of Transportation, Maritime Administration Office of Sealift Support verifies medals for Merchant Mariners.</w:t>
            </w:r>
          </w:p>
          <w:p w14:paraId="69487944" w14:textId="5FFD03B7" w:rsidR="00AD3108" w:rsidRDefault="00AD3108" w:rsidP="002712B7">
            <w:pPr>
              <w:pStyle w:val="BulletText1"/>
            </w:pPr>
            <w:r>
              <w:t xml:space="preserve">To provide an updated mailing address and a website for the </w:t>
            </w:r>
            <w:r w:rsidR="0074604A">
              <w:t>Maritime Administration</w:t>
            </w:r>
            <w:r>
              <w:t>.</w:t>
            </w:r>
          </w:p>
          <w:p w14:paraId="69487945" w14:textId="77777777" w:rsidR="00AD3108" w:rsidRDefault="00AD3108" w:rsidP="002712B7">
            <w:pPr>
              <w:pStyle w:val="BulletText1"/>
            </w:pPr>
            <w:r>
              <w:t>To make other minor changes consistent with the above.</w:t>
            </w:r>
          </w:p>
        </w:tc>
        <w:tc>
          <w:tcPr>
            <w:tcW w:w="1420" w:type="pct"/>
            <w:shd w:val="clear" w:color="auto" w:fill="auto"/>
          </w:tcPr>
          <w:p w14:paraId="69487946" w14:textId="77777777" w:rsidR="00AD3108" w:rsidRDefault="00AD3108" w:rsidP="004902AB">
            <w:pPr>
              <w:pStyle w:val="TableText"/>
            </w:pPr>
            <w:r>
              <w:t>III.iii.2.F.42</w:t>
            </w:r>
          </w:p>
        </w:tc>
        <w:tc>
          <w:tcPr>
            <w:tcW w:w="569" w:type="pct"/>
            <w:shd w:val="clear" w:color="auto" w:fill="auto"/>
          </w:tcPr>
          <w:p w14:paraId="69487947" w14:textId="77777777" w:rsidR="00AD3108" w:rsidRDefault="00AD3108" w:rsidP="00C06AB8">
            <w:pPr>
              <w:pStyle w:val="BulletText1"/>
              <w:numPr>
                <w:ilvl w:val="0"/>
                <w:numId w:val="0"/>
              </w:numPr>
            </w:pPr>
            <w:r>
              <w:t>2-F-21</w:t>
            </w:r>
          </w:p>
          <w:p w14:paraId="69487948" w14:textId="77777777" w:rsidR="00AD3108" w:rsidRDefault="00AD3108" w:rsidP="00C06AB8">
            <w:pPr>
              <w:pStyle w:val="BulletText1"/>
              <w:numPr>
                <w:ilvl w:val="0"/>
                <w:numId w:val="0"/>
              </w:numPr>
            </w:pPr>
            <w:r>
              <w:t>2-F-22</w:t>
            </w:r>
          </w:p>
        </w:tc>
      </w:tr>
    </w:tbl>
    <w:p w14:paraId="6948794A" w14:textId="77777777" w:rsidR="00504F80" w:rsidRDefault="00504F80" w:rsidP="00504F80"/>
    <w:p w14:paraId="6948794B"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6948794E" w14:textId="77777777" w:rsidTr="00237C22">
        <w:tc>
          <w:tcPr>
            <w:tcW w:w="1728" w:type="dxa"/>
          </w:tcPr>
          <w:p w14:paraId="6948794C" w14:textId="77777777" w:rsidR="00504F80" w:rsidRPr="00B4163A" w:rsidRDefault="00504F80" w:rsidP="00237C22">
            <w:pPr>
              <w:pStyle w:val="Heading5"/>
              <w:rPr>
                <w:sz w:val="24"/>
              </w:rPr>
            </w:pPr>
            <w:r w:rsidRPr="00B4163A">
              <w:rPr>
                <w:sz w:val="24"/>
              </w:rPr>
              <w:t>Rescissions</w:t>
            </w:r>
          </w:p>
        </w:tc>
        <w:tc>
          <w:tcPr>
            <w:tcW w:w="7740" w:type="dxa"/>
          </w:tcPr>
          <w:p w14:paraId="6948794D" w14:textId="77777777" w:rsidR="00504F80" w:rsidRPr="00B4163A" w:rsidRDefault="00504F80" w:rsidP="00237C22">
            <w:pPr>
              <w:pStyle w:val="BlockText"/>
            </w:pPr>
            <w:r w:rsidRPr="00B4163A">
              <w:t>None</w:t>
            </w:r>
          </w:p>
        </w:tc>
      </w:tr>
    </w:tbl>
    <w:p w14:paraId="6948794F"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9487952" w14:textId="77777777" w:rsidTr="00237C22">
        <w:tc>
          <w:tcPr>
            <w:tcW w:w="1728" w:type="dxa"/>
          </w:tcPr>
          <w:p w14:paraId="69487950" w14:textId="77777777" w:rsidR="00504F80" w:rsidRPr="00B4163A" w:rsidRDefault="00504F80" w:rsidP="00237C22">
            <w:pPr>
              <w:pStyle w:val="Heading5"/>
              <w:rPr>
                <w:sz w:val="24"/>
              </w:rPr>
            </w:pPr>
            <w:r w:rsidRPr="00B4163A">
              <w:rPr>
                <w:sz w:val="24"/>
              </w:rPr>
              <w:t>Authority</w:t>
            </w:r>
          </w:p>
        </w:tc>
        <w:tc>
          <w:tcPr>
            <w:tcW w:w="7740" w:type="dxa"/>
          </w:tcPr>
          <w:p w14:paraId="69487951" w14:textId="77777777" w:rsidR="00504F80" w:rsidRPr="00B4163A" w:rsidRDefault="00504F80" w:rsidP="00237C22">
            <w:pPr>
              <w:pStyle w:val="BlockText"/>
            </w:pPr>
            <w:r w:rsidRPr="00B4163A">
              <w:t>By Direction of the Under Secretary for Benefits</w:t>
            </w:r>
          </w:p>
        </w:tc>
      </w:tr>
    </w:tbl>
    <w:p w14:paraId="69487953" w14:textId="77777777" w:rsidR="00504F80" w:rsidRPr="00B4163A" w:rsidRDefault="00504F80" w:rsidP="00504F80">
      <w:pPr>
        <w:pStyle w:val="ContinuedOnNextPa"/>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RPr="00B4163A" w14:paraId="6948795D" w14:textId="77777777" w:rsidTr="00237C22">
        <w:tc>
          <w:tcPr>
            <w:tcW w:w="1728" w:type="dxa"/>
          </w:tcPr>
          <w:p w14:paraId="69487954" w14:textId="77777777" w:rsidR="00504F80" w:rsidRPr="00B4163A" w:rsidRDefault="00504F80" w:rsidP="00237C22">
            <w:pPr>
              <w:pStyle w:val="Heading5"/>
              <w:rPr>
                <w:sz w:val="24"/>
              </w:rPr>
            </w:pPr>
            <w:r w:rsidRPr="00B4163A">
              <w:rPr>
                <w:sz w:val="24"/>
              </w:rPr>
              <w:t>Signature</w:t>
            </w:r>
            <w:r w:rsidR="007C274C">
              <w:rPr>
                <w:sz w:val="24"/>
              </w:rPr>
              <w:t>s</w:t>
            </w:r>
          </w:p>
        </w:tc>
        <w:tc>
          <w:tcPr>
            <w:tcW w:w="7740" w:type="dxa"/>
          </w:tcPr>
          <w:p w14:paraId="69487955" w14:textId="77777777" w:rsidR="007C274C" w:rsidRDefault="007C274C" w:rsidP="00237C22"/>
          <w:p w14:paraId="69487956" w14:textId="77777777" w:rsidR="007C274C" w:rsidRDefault="007C274C" w:rsidP="00237C22">
            <w:r>
              <w:t>_________________________________________________________</w:t>
            </w:r>
          </w:p>
          <w:p w14:paraId="69487957" w14:textId="77777777" w:rsidR="00504F80" w:rsidRPr="00B4163A" w:rsidRDefault="00DA3832" w:rsidP="00237C22">
            <w:pPr>
              <w:rPr>
                <w:szCs w:val="20"/>
              </w:rPr>
            </w:pPr>
            <w:r>
              <w:t>David R. McLenachen</w:t>
            </w:r>
            <w:r w:rsidR="00504F80" w:rsidRPr="00B4163A">
              <w:t>, Director</w:t>
            </w:r>
          </w:p>
          <w:p w14:paraId="69487958" w14:textId="77777777" w:rsidR="00504F80" w:rsidRDefault="00DA3832" w:rsidP="00237C22">
            <w:pPr>
              <w:pStyle w:val="BlockText"/>
            </w:pPr>
            <w:r>
              <w:t>Pension and Fiduciary</w:t>
            </w:r>
            <w:r w:rsidR="00504F80" w:rsidRPr="00B4163A">
              <w:t xml:space="preserve"> Service</w:t>
            </w:r>
          </w:p>
          <w:p w14:paraId="69487959" w14:textId="77777777" w:rsidR="007C274C" w:rsidRDefault="007C274C" w:rsidP="00237C22">
            <w:pPr>
              <w:pStyle w:val="BlockText"/>
            </w:pPr>
          </w:p>
          <w:p w14:paraId="6948795A" w14:textId="77777777" w:rsidR="007C274C" w:rsidRPr="007C274C" w:rsidRDefault="007C274C" w:rsidP="007C274C">
            <w:pPr>
              <w:pStyle w:val="BlockText"/>
            </w:pPr>
            <w:r>
              <w:t>__________________________________________________________</w:t>
            </w:r>
          </w:p>
          <w:p w14:paraId="6948795B" w14:textId="77777777" w:rsidR="007C274C" w:rsidRPr="007C274C" w:rsidRDefault="007C274C" w:rsidP="007C274C">
            <w:pPr>
              <w:pStyle w:val="BlockText"/>
            </w:pPr>
            <w:r>
              <w:t xml:space="preserve">Thomas </w:t>
            </w:r>
            <w:r w:rsidR="007308F1">
              <w:t>J. Murphy</w:t>
            </w:r>
            <w:r w:rsidRPr="007C274C">
              <w:t>, Director</w:t>
            </w:r>
          </w:p>
          <w:p w14:paraId="6948795C" w14:textId="77777777" w:rsidR="007C274C" w:rsidRPr="00B4163A" w:rsidRDefault="007308F1" w:rsidP="00237C22">
            <w:pPr>
              <w:pStyle w:val="BlockText"/>
            </w:pPr>
            <w:r>
              <w:t>Compensation</w:t>
            </w:r>
            <w:r w:rsidR="007C274C" w:rsidRPr="007C274C">
              <w:t xml:space="preserve"> Service</w:t>
            </w:r>
          </w:p>
        </w:tc>
      </w:tr>
    </w:tbl>
    <w:p w14:paraId="6948795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69487964" w14:textId="77777777" w:rsidTr="00237C22">
        <w:tc>
          <w:tcPr>
            <w:tcW w:w="1728" w:type="dxa"/>
          </w:tcPr>
          <w:p w14:paraId="6948795F" w14:textId="77777777" w:rsidR="00504F80" w:rsidRPr="00B4163A" w:rsidRDefault="00504F80" w:rsidP="00237C22">
            <w:pPr>
              <w:pStyle w:val="Heading5"/>
              <w:rPr>
                <w:sz w:val="24"/>
              </w:rPr>
            </w:pPr>
            <w:r w:rsidRPr="00B4163A">
              <w:rPr>
                <w:sz w:val="24"/>
              </w:rPr>
              <w:t>Distribution</w:t>
            </w:r>
          </w:p>
        </w:tc>
        <w:tc>
          <w:tcPr>
            <w:tcW w:w="7740" w:type="dxa"/>
          </w:tcPr>
          <w:p w14:paraId="69487960" w14:textId="77777777" w:rsidR="00504F80" w:rsidRPr="00B4163A" w:rsidRDefault="00504F80" w:rsidP="00237C22">
            <w:pPr>
              <w:pStyle w:val="BlockText"/>
            </w:pPr>
            <w:r w:rsidRPr="00B4163A">
              <w:t>RPC:  2068</w:t>
            </w:r>
          </w:p>
          <w:p w14:paraId="69487961" w14:textId="77777777" w:rsidR="00504F80" w:rsidRPr="00B4163A" w:rsidRDefault="00504F80" w:rsidP="00237C22">
            <w:pPr>
              <w:pStyle w:val="BlockText"/>
            </w:pPr>
            <w:r w:rsidRPr="00B4163A">
              <w:t>FD:  EX:  ASO and AR (included in RPC 2068)</w:t>
            </w:r>
          </w:p>
          <w:p w14:paraId="69487962" w14:textId="77777777" w:rsidR="00504F80" w:rsidRPr="00B4163A" w:rsidRDefault="00504F80" w:rsidP="00237C22">
            <w:pPr>
              <w:pStyle w:val="BlockText"/>
            </w:pPr>
          </w:p>
          <w:p w14:paraId="69487963" w14:textId="77777777" w:rsidR="00504F80" w:rsidRDefault="00504F80" w:rsidP="00237C22">
            <w:pPr>
              <w:pStyle w:val="BlockText"/>
              <w:jc w:val="center"/>
            </w:pPr>
            <w:r w:rsidRPr="00B4163A">
              <w:t>LOCAL REPRODUCTION AUTHORIZED</w:t>
            </w:r>
          </w:p>
        </w:tc>
      </w:tr>
    </w:tbl>
    <w:p w14:paraId="69487965" w14:textId="77777777" w:rsidR="00504F80" w:rsidRDefault="00BD09DD" w:rsidP="00504F80">
      <w:pPr>
        <w:pStyle w:val="BlockLine"/>
      </w:pP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RgBvAG4AdABTAGUAdABGAG8AbgB0AFMAZQB0AGkAbQBpAHMAdAB5AGwAZQBzAC4AeABtAGwA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RgBvAG4AdABTAGUAdABGAG8AbgB0AFMAZQB0AEYAbwBuAHQAUwBlAHQAaQBtAGkAcwB0AHkAbABl
AHMALgB4AG0AbAA=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504F80">
        <w:instrText xml:space="preserve"> ADDIN  \* MERGEFORMAT </w:instrText>
      </w:r>
      <w:r>
        <w:fldChar w:fldCharType="end"/>
      </w:r>
      <w:r>
        <w:fldChar w:fldCharType="begin">
          <w:fldData xml:space="preserve">RABvAGMAVABlAG0AcAAxAFYAYQByAFQAcgBhAGQAaQB0AGkAbwBuAGEAbAA=
</w:fldData>
        </w:fldChar>
      </w:r>
      <w:r w:rsidR="00504F80">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504F80">
        <w:instrText xml:space="preserve"> ADDIN  \* MERGEFORMAT </w:instrText>
      </w:r>
      <w:r>
        <w:fldChar w:fldCharType="end"/>
      </w:r>
    </w:p>
    <w:p w14:paraId="69487966" w14:textId="62173463" w:rsidR="007D5B97" w:rsidRDefault="007D5B97"/>
    <w:sectPr w:rsidR="007D5B97" w:rsidSect="00237C22">
      <w:footerReference w:type="even" r:id="rId13"/>
      <w:footerReference w:type="default" r:id="rId14"/>
      <w:pgSz w:w="12240" w:h="15840"/>
      <w:pgMar w:top="1152" w:right="1440" w:bottom="1008" w:left="1440" w:header="720" w:footer="720" w:gutter="0"/>
      <w:pgNumType w:fmt="lowerRoman"/>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87969" w14:textId="77777777" w:rsidR="00E7049F" w:rsidRDefault="00E7049F" w:rsidP="00C765C7">
      <w:r>
        <w:separator/>
      </w:r>
    </w:p>
  </w:endnote>
  <w:endnote w:type="continuationSeparator" w:id="0">
    <w:p w14:paraId="6948796A" w14:textId="77777777" w:rsidR="00E7049F" w:rsidRDefault="00E7049F"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796B" w14:textId="77777777" w:rsidR="00237C22" w:rsidRDefault="00BD09DD">
    <w:pPr>
      <w:pStyle w:val="Footer"/>
      <w:framePr w:wrap="around" w:vAnchor="text" w:hAnchor="margin" w:xAlign="center" w:y="1"/>
      <w:rPr>
        <w:rStyle w:val="PageNumber"/>
      </w:rPr>
    </w:pPr>
    <w:r>
      <w:rPr>
        <w:rStyle w:val="PageNumber"/>
      </w:rPr>
      <w:fldChar w:fldCharType="begin"/>
    </w:r>
    <w:r w:rsidR="00237C22">
      <w:rPr>
        <w:rStyle w:val="PageNumber"/>
      </w:rPr>
      <w:instrText xml:space="preserve">PAGE  </w:instrText>
    </w:r>
    <w:r>
      <w:rPr>
        <w:rStyle w:val="PageNumber"/>
      </w:rPr>
      <w:fldChar w:fldCharType="end"/>
    </w:r>
  </w:p>
  <w:p w14:paraId="6948796C"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796D" w14:textId="77777777" w:rsidR="00237C22" w:rsidRDefault="00BD09DD">
    <w:pPr>
      <w:pStyle w:val="Footer"/>
      <w:framePr w:wrap="around" w:vAnchor="text" w:hAnchor="margin" w:xAlign="center" w:y="1"/>
      <w:rPr>
        <w:rStyle w:val="PageNumber"/>
      </w:rPr>
    </w:pPr>
    <w:r>
      <w:rPr>
        <w:rStyle w:val="PageNumber"/>
      </w:rPr>
      <w:fldChar w:fldCharType="begin"/>
    </w:r>
    <w:r w:rsidR="00237C22">
      <w:rPr>
        <w:rStyle w:val="PageNumber"/>
      </w:rPr>
      <w:instrText xml:space="preserve">PAGE  </w:instrText>
    </w:r>
    <w:r>
      <w:rPr>
        <w:rStyle w:val="PageNumber"/>
      </w:rPr>
      <w:fldChar w:fldCharType="separate"/>
    </w:r>
    <w:r w:rsidR="000654A4">
      <w:rPr>
        <w:rStyle w:val="PageNumber"/>
        <w:noProof/>
      </w:rPr>
      <w:t>ii</w:t>
    </w:r>
    <w:r>
      <w:rPr>
        <w:rStyle w:val="PageNumber"/>
      </w:rPr>
      <w:fldChar w:fldCharType="end"/>
    </w:r>
  </w:p>
  <w:p w14:paraId="6948796E"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87967" w14:textId="77777777" w:rsidR="00E7049F" w:rsidRDefault="00E7049F" w:rsidP="00C765C7">
      <w:r>
        <w:separator/>
      </w:r>
    </w:p>
  </w:footnote>
  <w:footnote w:type="continuationSeparator" w:id="0">
    <w:p w14:paraId="69487968" w14:textId="77777777" w:rsidR="00E7049F" w:rsidRDefault="00E7049F"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7pt;height:11.7pt" o:bullet="t">
        <v:imagedata r:id="rId1" o:title="fspro_2columns"/>
      </v:shape>
    </w:pict>
  </w:numPicBullet>
  <w:numPicBullet w:numPicBulletId="1">
    <w:pict>
      <v:shape id="_x0000_i1051" type="#_x0000_t75" style="width:11.7pt;height:11.7pt" o:bullet="t">
        <v:imagedata r:id="rId2" o:title="advanced"/>
      </v:shape>
    </w:pict>
  </w:numPicBullet>
  <w:numPicBullet w:numPicBulletId="2">
    <w:pict>
      <v:shape id="_x0000_i1052" type="#_x0000_t75" style="width:11.7pt;height:11.7pt" o:bullet="t">
        <v:imagedata r:id="rId3" o:title="continue"/>
      </v:shape>
    </w:pict>
  </w:numPicBullet>
  <w:numPicBullet w:numPicBulletId="3">
    <w:pict>
      <v:shape id="_x0000_i1053"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5D3D4855"/>
    <w:multiLevelType w:val="hybridMultilevel"/>
    <w:tmpl w:val="6F7C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1">
    <w:nsid w:val="7B582278"/>
    <w:multiLevelType w:val="hybridMultilevel"/>
    <w:tmpl w:val="071A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4"/>
  </w:num>
  <w:num w:numId="6">
    <w:abstractNumId w:val="3"/>
  </w:num>
  <w:num w:numId="7">
    <w:abstractNumId w:val="9"/>
  </w:num>
  <w:num w:numId="8">
    <w:abstractNumId w:val="2"/>
  </w:num>
  <w:num w:numId="9">
    <w:abstractNumId w:val="1"/>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FontSetFontSetimistyles.xml"/>
  </w:docVars>
  <w:rsids>
    <w:rsidRoot w:val="00504F80"/>
    <w:rsid w:val="00002A1E"/>
    <w:rsid w:val="00003017"/>
    <w:rsid w:val="00005F9B"/>
    <w:rsid w:val="00011915"/>
    <w:rsid w:val="00014A89"/>
    <w:rsid w:val="000161E5"/>
    <w:rsid w:val="000252C6"/>
    <w:rsid w:val="000256FB"/>
    <w:rsid w:val="0003213E"/>
    <w:rsid w:val="000654A4"/>
    <w:rsid w:val="00093228"/>
    <w:rsid w:val="000971CA"/>
    <w:rsid w:val="000A7776"/>
    <w:rsid w:val="000F2E8E"/>
    <w:rsid w:val="00100433"/>
    <w:rsid w:val="0010215F"/>
    <w:rsid w:val="00106EEF"/>
    <w:rsid w:val="00123973"/>
    <w:rsid w:val="00186D46"/>
    <w:rsid w:val="001C3948"/>
    <w:rsid w:val="001C3AE3"/>
    <w:rsid w:val="001C3EB5"/>
    <w:rsid w:val="001E5F90"/>
    <w:rsid w:val="00221EF0"/>
    <w:rsid w:val="00221F07"/>
    <w:rsid w:val="00237C22"/>
    <w:rsid w:val="00240624"/>
    <w:rsid w:val="0025500E"/>
    <w:rsid w:val="002712B7"/>
    <w:rsid w:val="0029564E"/>
    <w:rsid w:val="002B1357"/>
    <w:rsid w:val="002B7A7E"/>
    <w:rsid w:val="002D40CC"/>
    <w:rsid w:val="002F0D71"/>
    <w:rsid w:val="002F5B21"/>
    <w:rsid w:val="002F7397"/>
    <w:rsid w:val="00323DCC"/>
    <w:rsid w:val="00332B80"/>
    <w:rsid w:val="003352BF"/>
    <w:rsid w:val="00341981"/>
    <w:rsid w:val="00351ACC"/>
    <w:rsid w:val="00366D36"/>
    <w:rsid w:val="00383440"/>
    <w:rsid w:val="00386999"/>
    <w:rsid w:val="003A5DFF"/>
    <w:rsid w:val="003B2927"/>
    <w:rsid w:val="003F5AC9"/>
    <w:rsid w:val="003F6048"/>
    <w:rsid w:val="003F672A"/>
    <w:rsid w:val="00401EAD"/>
    <w:rsid w:val="0040351B"/>
    <w:rsid w:val="00421403"/>
    <w:rsid w:val="00430720"/>
    <w:rsid w:val="00435BA5"/>
    <w:rsid w:val="004402DC"/>
    <w:rsid w:val="00455EF7"/>
    <w:rsid w:val="004562CC"/>
    <w:rsid w:val="00456CEF"/>
    <w:rsid w:val="00471ECA"/>
    <w:rsid w:val="00482FA3"/>
    <w:rsid w:val="0048559D"/>
    <w:rsid w:val="004902AB"/>
    <w:rsid w:val="00494175"/>
    <w:rsid w:val="004B67C3"/>
    <w:rsid w:val="004F375E"/>
    <w:rsid w:val="005044E6"/>
    <w:rsid w:val="00504F80"/>
    <w:rsid w:val="00506485"/>
    <w:rsid w:val="00513DA7"/>
    <w:rsid w:val="00516C82"/>
    <w:rsid w:val="00580BD0"/>
    <w:rsid w:val="00594258"/>
    <w:rsid w:val="005C7093"/>
    <w:rsid w:val="005E4363"/>
    <w:rsid w:val="005F2BA6"/>
    <w:rsid w:val="006102B4"/>
    <w:rsid w:val="0062068D"/>
    <w:rsid w:val="006317AA"/>
    <w:rsid w:val="006473C3"/>
    <w:rsid w:val="006708D7"/>
    <w:rsid w:val="006837E0"/>
    <w:rsid w:val="00695EC9"/>
    <w:rsid w:val="006B7262"/>
    <w:rsid w:val="006C3E5F"/>
    <w:rsid w:val="006C48FF"/>
    <w:rsid w:val="006D10E5"/>
    <w:rsid w:val="006D52FE"/>
    <w:rsid w:val="006F6D37"/>
    <w:rsid w:val="0070286B"/>
    <w:rsid w:val="00724248"/>
    <w:rsid w:val="007308F1"/>
    <w:rsid w:val="00732186"/>
    <w:rsid w:val="00737049"/>
    <w:rsid w:val="0074604A"/>
    <w:rsid w:val="007852D5"/>
    <w:rsid w:val="007A0C5F"/>
    <w:rsid w:val="007B3C46"/>
    <w:rsid w:val="007C274C"/>
    <w:rsid w:val="007D5B97"/>
    <w:rsid w:val="007E5515"/>
    <w:rsid w:val="0080590C"/>
    <w:rsid w:val="0086475B"/>
    <w:rsid w:val="00875AFA"/>
    <w:rsid w:val="0088609E"/>
    <w:rsid w:val="008A0D4B"/>
    <w:rsid w:val="008B0BC6"/>
    <w:rsid w:val="008B4CB5"/>
    <w:rsid w:val="008C723F"/>
    <w:rsid w:val="008D12C3"/>
    <w:rsid w:val="008D458B"/>
    <w:rsid w:val="008E22CF"/>
    <w:rsid w:val="008E5824"/>
    <w:rsid w:val="008E589A"/>
    <w:rsid w:val="008F1D5B"/>
    <w:rsid w:val="00916AE6"/>
    <w:rsid w:val="009550F2"/>
    <w:rsid w:val="009769CD"/>
    <w:rsid w:val="0098033F"/>
    <w:rsid w:val="00997D98"/>
    <w:rsid w:val="009E6E1A"/>
    <w:rsid w:val="00A315CB"/>
    <w:rsid w:val="00A3579D"/>
    <w:rsid w:val="00A55356"/>
    <w:rsid w:val="00A8389E"/>
    <w:rsid w:val="00A8520D"/>
    <w:rsid w:val="00AC2993"/>
    <w:rsid w:val="00AD3108"/>
    <w:rsid w:val="00AD3876"/>
    <w:rsid w:val="00AD4E43"/>
    <w:rsid w:val="00AF2CD6"/>
    <w:rsid w:val="00B30D2F"/>
    <w:rsid w:val="00B50AD7"/>
    <w:rsid w:val="00B60D60"/>
    <w:rsid w:val="00B65DD5"/>
    <w:rsid w:val="00B93A3C"/>
    <w:rsid w:val="00B96287"/>
    <w:rsid w:val="00BD09DD"/>
    <w:rsid w:val="00BF7FE3"/>
    <w:rsid w:val="00C06AB8"/>
    <w:rsid w:val="00C24D50"/>
    <w:rsid w:val="00C765C7"/>
    <w:rsid w:val="00CC1F9B"/>
    <w:rsid w:val="00CD2D08"/>
    <w:rsid w:val="00D36508"/>
    <w:rsid w:val="00D57B91"/>
    <w:rsid w:val="00D61497"/>
    <w:rsid w:val="00D77146"/>
    <w:rsid w:val="00D823AF"/>
    <w:rsid w:val="00DA11C2"/>
    <w:rsid w:val="00DA3832"/>
    <w:rsid w:val="00DB074F"/>
    <w:rsid w:val="00DB2902"/>
    <w:rsid w:val="00DB743E"/>
    <w:rsid w:val="00DC0936"/>
    <w:rsid w:val="00DE0E35"/>
    <w:rsid w:val="00DF44AC"/>
    <w:rsid w:val="00E2529E"/>
    <w:rsid w:val="00E36906"/>
    <w:rsid w:val="00E7049F"/>
    <w:rsid w:val="00E964FD"/>
    <w:rsid w:val="00ED4D5E"/>
    <w:rsid w:val="00F006B2"/>
    <w:rsid w:val="00F10C9B"/>
    <w:rsid w:val="00F1670D"/>
    <w:rsid w:val="00F43DFA"/>
    <w:rsid w:val="00F54736"/>
    <w:rsid w:val="00F7401D"/>
    <w:rsid w:val="00F87670"/>
    <w:rsid w:val="00F90609"/>
    <w:rsid w:val="00F9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8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D50"/>
    <w:rPr>
      <w:rFonts w:eastAsia="Times New Roman"/>
      <w:color w:val="000000"/>
      <w:sz w:val="24"/>
      <w:szCs w:val="24"/>
    </w:rPr>
  </w:style>
  <w:style w:type="paragraph" w:styleId="Heading1">
    <w:name w:val="heading 1"/>
    <w:aliases w:val="Part Title"/>
    <w:basedOn w:val="Normal"/>
    <w:next w:val="Heading4"/>
    <w:link w:val="Heading1Char"/>
    <w:qFormat/>
    <w:rsid w:val="00C24D50"/>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24D50"/>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C24D50"/>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C24D50"/>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C24D50"/>
    <w:pPr>
      <w:outlineLvl w:val="4"/>
    </w:pPr>
    <w:rPr>
      <w:b/>
      <w:sz w:val="22"/>
      <w:szCs w:val="20"/>
    </w:rPr>
  </w:style>
  <w:style w:type="paragraph" w:styleId="Heading6">
    <w:name w:val="heading 6"/>
    <w:aliases w:val="Sub Label"/>
    <w:basedOn w:val="Heading5"/>
    <w:next w:val="BlockText"/>
    <w:link w:val="Heading6Char"/>
    <w:qFormat/>
    <w:rsid w:val="00C24D50"/>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C24D50"/>
    <w:pPr>
      <w:pBdr>
        <w:top w:val="single" w:sz="6" w:space="1" w:color="000000"/>
        <w:between w:val="single" w:sz="6" w:space="1" w:color="auto"/>
      </w:pBdr>
      <w:spacing w:before="240"/>
      <w:ind w:left="1728"/>
    </w:pPr>
    <w:rPr>
      <w:szCs w:val="20"/>
    </w:rPr>
  </w:style>
  <w:style w:type="paragraph" w:styleId="BlockText">
    <w:name w:val="Block Text"/>
    <w:basedOn w:val="Normal"/>
    <w:rsid w:val="00C24D50"/>
  </w:style>
  <w:style w:type="paragraph" w:customStyle="1" w:styleId="BulletText1">
    <w:name w:val="Bullet Text 1"/>
    <w:basedOn w:val="Normal"/>
    <w:rsid w:val="00C24D50"/>
    <w:pPr>
      <w:numPr>
        <w:numId w:val="2"/>
      </w:numPr>
    </w:pPr>
    <w:rPr>
      <w:szCs w:val="20"/>
    </w:rPr>
  </w:style>
  <w:style w:type="paragraph" w:customStyle="1" w:styleId="ContinuedOnNextPa">
    <w:name w:val="Continued On Next Pa"/>
    <w:basedOn w:val="Normal"/>
    <w:next w:val="Normal"/>
    <w:rsid w:val="00C24D50"/>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C24D50"/>
    <w:rPr>
      <w:szCs w:val="20"/>
    </w:rPr>
  </w:style>
  <w:style w:type="paragraph" w:customStyle="1" w:styleId="TableHeaderText">
    <w:name w:val="Table Header Text"/>
    <w:basedOn w:val="Normal"/>
    <w:rsid w:val="00C24D50"/>
    <w:pPr>
      <w:jc w:val="center"/>
    </w:pPr>
    <w:rPr>
      <w:b/>
      <w:szCs w:val="20"/>
    </w:rPr>
  </w:style>
  <w:style w:type="paragraph" w:customStyle="1" w:styleId="MapTitleContinued">
    <w:name w:val="Map Title. Continued"/>
    <w:basedOn w:val="Normal"/>
    <w:next w:val="Normal"/>
    <w:rsid w:val="00C24D50"/>
    <w:pPr>
      <w:spacing w:after="240"/>
    </w:pPr>
    <w:rPr>
      <w:rFonts w:ascii="Arial" w:hAnsi="Arial" w:cs="Arial"/>
      <w:b/>
      <w:sz w:val="32"/>
      <w:szCs w:val="20"/>
    </w:rPr>
  </w:style>
  <w:style w:type="paragraph" w:customStyle="1" w:styleId="BulletText2">
    <w:name w:val="Bullet Text 2"/>
    <w:basedOn w:val="Normal"/>
    <w:rsid w:val="00C24D50"/>
    <w:pPr>
      <w:numPr>
        <w:numId w:val="3"/>
      </w:numPr>
    </w:pPr>
    <w:rPr>
      <w:szCs w:val="20"/>
    </w:rPr>
  </w:style>
  <w:style w:type="character" w:styleId="Hyperlink">
    <w:name w:val="Hyperlink"/>
    <w:uiPriority w:val="99"/>
    <w:rsid w:val="00C24D50"/>
    <w:rPr>
      <w:color w:val="0000FF"/>
      <w:u w:val="single"/>
    </w:rPr>
  </w:style>
  <w:style w:type="paragraph" w:customStyle="1" w:styleId="ContinuedTableLabe">
    <w:name w:val="Continued Table Labe"/>
    <w:basedOn w:val="Normal"/>
    <w:next w:val="Normal"/>
    <w:rsid w:val="00C24D50"/>
    <w:pPr>
      <w:spacing w:after="240"/>
    </w:pPr>
    <w:rPr>
      <w:b/>
      <w:sz w:val="22"/>
      <w:szCs w:val="20"/>
    </w:rPr>
  </w:style>
  <w:style w:type="paragraph" w:customStyle="1" w:styleId="MemoLine">
    <w:name w:val="Memo Line"/>
    <w:basedOn w:val="BlockLine"/>
    <w:next w:val="Normal"/>
    <w:rsid w:val="00C24D50"/>
  </w:style>
  <w:style w:type="paragraph" w:styleId="Footer">
    <w:name w:val="footer"/>
    <w:basedOn w:val="Normal"/>
    <w:link w:val="FooterChar"/>
    <w:rsid w:val="00C24D50"/>
    <w:pPr>
      <w:tabs>
        <w:tab w:val="center" w:pos="4680"/>
        <w:tab w:val="right" w:pos="9360"/>
      </w:tabs>
    </w:pPr>
    <w:rPr>
      <w:color w:val="auto"/>
    </w:rPr>
  </w:style>
  <w:style w:type="character" w:customStyle="1" w:styleId="FooterChar">
    <w:name w:val="Footer Char"/>
    <w:link w:val="Footer"/>
    <w:rsid w:val="00C24D50"/>
    <w:rPr>
      <w:rFonts w:eastAsia="Times New Roman"/>
      <w:sz w:val="24"/>
      <w:szCs w:val="24"/>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C24D50"/>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C24D50"/>
    <w:pPr>
      <w:numPr>
        <w:numId w:val="4"/>
      </w:numPr>
      <w:tabs>
        <w:tab w:val="clear" w:pos="173"/>
      </w:tabs>
      <w:ind w:left="533" w:hanging="173"/>
    </w:pPr>
    <w:rPr>
      <w:szCs w:val="20"/>
    </w:rPr>
  </w:style>
  <w:style w:type="paragraph" w:customStyle="1" w:styleId="ContinuedBlockLabel">
    <w:name w:val="Continued Block Label"/>
    <w:basedOn w:val="Normal"/>
    <w:next w:val="Normal"/>
    <w:rsid w:val="00C24D50"/>
    <w:pPr>
      <w:spacing w:after="240"/>
    </w:pPr>
    <w:rPr>
      <w:b/>
      <w:sz w:val="22"/>
      <w:szCs w:val="20"/>
    </w:rPr>
  </w:style>
  <w:style w:type="paragraph" w:customStyle="1" w:styleId="EmbeddedText">
    <w:name w:val="Embedded Text"/>
    <w:basedOn w:val="Normal"/>
    <w:rsid w:val="00C24D50"/>
    <w:rPr>
      <w:szCs w:val="20"/>
    </w:rPr>
  </w:style>
  <w:style w:type="character" w:styleId="HTMLAcronym">
    <w:name w:val="HTML Acronym"/>
    <w:basedOn w:val="DefaultParagraphFont"/>
    <w:rsid w:val="00C24D50"/>
  </w:style>
  <w:style w:type="paragraph" w:customStyle="1" w:styleId="IMTOC">
    <w:name w:val="IMTOC"/>
    <w:rsid w:val="00C24D50"/>
    <w:rPr>
      <w:rFonts w:eastAsia="Times New Roman"/>
      <w:sz w:val="24"/>
    </w:rPr>
  </w:style>
  <w:style w:type="paragraph" w:customStyle="1" w:styleId="NoteText">
    <w:name w:val="Note Text"/>
    <w:basedOn w:val="Normal"/>
    <w:rsid w:val="00C24D50"/>
    <w:rPr>
      <w:szCs w:val="20"/>
    </w:rPr>
  </w:style>
  <w:style w:type="paragraph" w:customStyle="1" w:styleId="PublicationTitle">
    <w:name w:val="Publication Title"/>
    <w:basedOn w:val="Normal"/>
    <w:next w:val="Heading4"/>
    <w:rsid w:val="00C24D50"/>
    <w:pPr>
      <w:spacing w:after="240"/>
      <w:jc w:val="center"/>
    </w:pPr>
    <w:rPr>
      <w:rFonts w:ascii="Arial" w:hAnsi="Arial" w:cs="Arial"/>
      <w:b/>
      <w:sz w:val="32"/>
      <w:szCs w:val="20"/>
    </w:rPr>
  </w:style>
  <w:style w:type="table" w:styleId="TableGrid">
    <w:name w:val="Table Grid"/>
    <w:basedOn w:val="TableNormal"/>
    <w:rsid w:val="00C24D5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rsid w:val="00C24D50"/>
    <w:pPr>
      <w:widowControl w:val="0"/>
    </w:pPr>
    <w:rPr>
      <w:rFonts w:ascii="Arial" w:hAnsi="Arial" w:cs="Arial"/>
      <w:b/>
      <w:sz w:val="32"/>
      <w:szCs w:val="20"/>
    </w:rPr>
  </w:style>
  <w:style w:type="paragraph" w:customStyle="1" w:styleId="TOCItem">
    <w:name w:val="TOCItem"/>
    <w:basedOn w:val="Normal"/>
    <w:rsid w:val="00C24D50"/>
    <w:pPr>
      <w:tabs>
        <w:tab w:val="left" w:leader="dot" w:pos="7061"/>
        <w:tab w:val="right" w:pos="7524"/>
      </w:tabs>
      <w:spacing w:before="60" w:after="60"/>
      <w:ind w:right="465"/>
    </w:pPr>
    <w:rPr>
      <w:szCs w:val="20"/>
    </w:rPr>
  </w:style>
  <w:style w:type="paragraph" w:customStyle="1" w:styleId="TOCStem">
    <w:name w:val="TOCStem"/>
    <w:basedOn w:val="Normal"/>
    <w:rsid w:val="00C24D50"/>
    <w:rPr>
      <w:szCs w:val="20"/>
    </w:rPr>
  </w:style>
  <w:style w:type="paragraph" w:styleId="Header">
    <w:name w:val="header"/>
    <w:basedOn w:val="Normal"/>
    <w:link w:val="HeaderChar"/>
    <w:rsid w:val="00C24D50"/>
    <w:pPr>
      <w:tabs>
        <w:tab w:val="center" w:pos="4680"/>
        <w:tab w:val="right" w:pos="9360"/>
      </w:tabs>
    </w:pPr>
    <w:rPr>
      <w:color w:val="auto"/>
    </w:rPr>
  </w:style>
  <w:style w:type="character" w:customStyle="1" w:styleId="HeaderChar">
    <w:name w:val="Header Char"/>
    <w:link w:val="Header"/>
    <w:rsid w:val="00C24D50"/>
    <w:rPr>
      <w:rFonts w:eastAsia="Times New Roman"/>
      <w:sz w:val="24"/>
      <w:szCs w:val="24"/>
    </w:rPr>
  </w:style>
  <w:style w:type="character" w:styleId="FollowedHyperlink">
    <w:name w:val="FollowedHyperlink"/>
    <w:rsid w:val="00C24D50"/>
    <w:rPr>
      <w:color w:val="800080"/>
      <w:u w:val="single"/>
    </w:rPr>
  </w:style>
  <w:style w:type="paragraph" w:styleId="TOC3">
    <w:name w:val="toc 3"/>
    <w:basedOn w:val="Normal"/>
    <w:next w:val="Normal"/>
    <w:autoRedefine/>
    <w:uiPriority w:val="39"/>
    <w:rsid w:val="00C24D50"/>
    <w:pPr>
      <w:ind w:left="480"/>
    </w:pPr>
  </w:style>
  <w:style w:type="paragraph" w:styleId="TOC4">
    <w:name w:val="toc 4"/>
    <w:basedOn w:val="Normal"/>
    <w:next w:val="Normal"/>
    <w:autoRedefine/>
    <w:uiPriority w:val="39"/>
    <w:rsid w:val="00C24D50"/>
    <w:pPr>
      <w:ind w:left="720"/>
    </w:pPr>
  </w:style>
  <w:style w:type="paragraph" w:styleId="Revision">
    <w:name w:val="Revision"/>
    <w:hidden/>
    <w:uiPriority w:val="99"/>
    <w:semiHidden/>
    <w:rsid w:val="00AD3108"/>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78321EBCE7614D8CB8946D23E4ADC4" ma:contentTypeVersion="0" ma:contentTypeDescription="Create a new document." ma:contentTypeScope="" ma:versionID="cc04a1e98dbaabc056f93f9a7d3954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4CE801E0-A728-4173-BB57-0A2B08357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683E18-FE90-42E4-8226-1E8746A88C58}">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FSPro.dotm</Template>
  <TotalTime>0</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6820</CharactersWithSpaces>
  <SharedDoc>false</SharedDoc>
  <HLinks>
    <vt:vector size="6" baseType="variant">
      <vt:variant>
        <vt:i4>7995443</vt:i4>
      </vt:variant>
      <vt:variant>
        <vt:i4>0</vt:i4>
      </vt:variant>
      <vt:variant>
        <vt:i4>0</vt:i4>
      </vt:variant>
      <vt:variant>
        <vt:i4>5</vt:i4>
      </vt:variant>
      <vt:variant>
        <vt:lpwstr>http://vbaw.vba.va.gov/bl/21/Systems/awards.htm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capjpier</dc:creator>
  <cp:lastModifiedBy>Martha Schimpf</cp:lastModifiedBy>
  <cp:revision>2</cp:revision>
  <dcterms:created xsi:type="dcterms:W3CDTF">2013-12-30T18:43:00Z</dcterms:created>
  <dcterms:modified xsi:type="dcterms:W3CDTF">2013-12-30T18:43:00Z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0x010100D778321EBCE7614D8CB8946D23E4ADC4</vt:lpwstr>
  </property>
</Properties>
</file>