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3F3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4B63F34" w14:textId="798B63C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626C36">
        <w:rPr>
          <w:b/>
          <w:bCs/>
          <w:sz w:val="20"/>
        </w:rPr>
        <w:t xml:space="preserve">                            </w:t>
      </w:r>
      <w:bookmarkStart w:id="0" w:name="_GoBack"/>
      <w:bookmarkEnd w:id="0"/>
      <w:r w:rsidR="00626C36">
        <w:rPr>
          <w:b/>
          <w:bCs/>
          <w:sz w:val="20"/>
        </w:rPr>
        <w:t>August 6, 2014</w:t>
      </w:r>
      <w:r>
        <w:rPr>
          <w:b/>
          <w:bCs/>
          <w:sz w:val="20"/>
        </w:rPr>
        <w:tab/>
      </w:r>
    </w:p>
    <w:p w14:paraId="54B63F3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4B63F36" w14:textId="77777777" w:rsidR="00504F80" w:rsidRDefault="00504F80" w:rsidP="00504F80">
      <w:pPr>
        <w:rPr>
          <w:b/>
          <w:bCs/>
          <w:sz w:val="20"/>
        </w:rPr>
      </w:pPr>
    </w:p>
    <w:p w14:paraId="54B63F37" w14:textId="77777777" w:rsidR="00504F80" w:rsidRDefault="00504F80" w:rsidP="00504F80">
      <w:pPr>
        <w:pStyle w:val="Heading4"/>
      </w:pPr>
      <w:r>
        <w:t xml:space="preserve">Transmittal Sheet </w:t>
      </w:r>
    </w:p>
    <w:p w14:paraId="54B63F3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4B63F46" w14:textId="77777777" w:rsidTr="00C24D50">
        <w:tc>
          <w:tcPr>
            <w:tcW w:w="1728" w:type="dxa"/>
          </w:tcPr>
          <w:p w14:paraId="54B63F3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4B63F3A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C17A02" w:rsidRPr="00C17A02">
              <w:t>Initial Screening and Determining Veterans Status</w:t>
            </w:r>
            <w:r>
              <w:t>.”</w:t>
            </w:r>
          </w:p>
          <w:p w14:paraId="54B63F3B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4B63F3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4B63F3D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4B63F3E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54B63F3F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4B63F4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4B63F4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4B63F4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4B63F43" w14:textId="77777777" w:rsidR="002A3096" w:rsidRDefault="002A3096" w:rsidP="00237C22">
            <w:pPr>
              <w:pStyle w:val="BulletText2"/>
            </w:pPr>
            <w:r w:rsidRPr="002A3096">
              <w:t xml:space="preserve">reassign alphabetical designations to blocks, </w:t>
            </w:r>
            <w:r w:rsidR="009D57A2">
              <w:t>where</w:t>
            </w:r>
            <w:r w:rsidRPr="002A3096">
              <w:t xml:space="preserve"> necessary, to account for </w:t>
            </w:r>
            <w:r>
              <w:t>the addition of new blocks</w:t>
            </w:r>
          </w:p>
          <w:p w14:paraId="54B63F4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4B63F45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54B63F47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14:paraId="54B63F4B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54B63F48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54B63F49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54B63F4A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22836" w14:paraId="54B63F4F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54B63F4C" w14:textId="77777777" w:rsidR="00422836" w:rsidRPr="00C24D50" w:rsidRDefault="00C17A02" w:rsidP="00A42C2E">
            <w:pPr>
              <w:pStyle w:val="TableText"/>
            </w:pPr>
            <w:r>
              <w:t xml:space="preserve">To </w:t>
            </w:r>
            <w:r w:rsidR="00482888">
              <w:t xml:space="preserve">delete </w:t>
            </w:r>
            <w:r>
              <w:t>reference to the Office of General Counsel’s (OGC’s) Professional Staff Group VII (PSG VII)</w:t>
            </w:r>
            <w:r w:rsidR="00482888">
              <w:t>,</w:t>
            </w:r>
            <w:r w:rsidR="00A42C2E">
              <w:t xml:space="preserve"> as the handling of requests from PSG VII for claims folders is discussed in great detail in a subsequent topic (Topic 30).</w:t>
            </w:r>
          </w:p>
        </w:tc>
        <w:tc>
          <w:tcPr>
            <w:tcW w:w="1420" w:type="pct"/>
            <w:shd w:val="clear" w:color="auto" w:fill="auto"/>
          </w:tcPr>
          <w:p w14:paraId="54B63F4D" w14:textId="77777777" w:rsidR="00422836" w:rsidRPr="00C24D50" w:rsidRDefault="00482888" w:rsidP="002F7397">
            <w:pPr>
              <w:pStyle w:val="TableText"/>
            </w:pPr>
            <w:r w:rsidRPr="00482888">
              <w:t>M21-1MR, Part III, Subpart ii, Chapter 5, Section G, Topic 29, Block d (III.ii.5.G.29.d)</w:t>
            </w:r>
          </w:p>
        </w:tc>
        <w:tc>
          <w:tcPr>
            <w:tcW w:w="569" w:type="pct"/>
            <w:shd w:val="clear" w:color="auto" w:fill="auto"/>
          </w:tcPr>
          <w:p w14:paraId="54B63F4E" w14:textId="77777777" w:rsidR="00422836" w:rsidRDefault="00A42C2E" w:rsidP="002F7397">
            <w:pPr>
              <w:pStyle w:val="TableText"/>
            </w:pPr>
            <w:r>
              <w:t>5-G-4</w:t>
            </w:r>
          </w:p>
        </w:tc>
      </w:tr>
      <w:tr w:rsidR="00A42C2E" w14:paraId="54B63F53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54B63F50" w14:textId="77777777" w:rsidR="00A42C2E" w:rsidRDefault="00A42C2E" w:rsidP="00A42C2E">
            <w:pPr>
              <w:pStyle w:val="TableText"/>
            </w:pPr>
            <w:r>
              <w:t>To add a block that discusses the responsibilities of PSG VII and the process that is triggered by the docketing of an appeal at the Court of Appeals for Veterans Claims (CAVC).</w:t>
            </w:r>
          </w:p>
        </w:tc>
        <w:tc>
          <w:tcPr>
            <w:tcW w:w="1420" w:type="pct"/>
            <w:shd w:val="clear" w:color="auto" w:fill="auto"/>
          </w:tcPr>
          <w:p w14:paraId="54B63F51" w14:textId="77777777" w:rsidR="00A42C2E" w:rsidRPr="00482888" w:rsidRDefault="00A42C2E" w:rsidP="002F7397">
            <w:pPr>
              <w:pStyle w:val="TableText"/>
            </w:pPr>
            <w:r>
              <w:t>III.ii.5.30.a</w:t>
            </w:r>
          </w:p>
        </w:tc>
        <w:tc>
          <w:tcPr>
            <w:tcW w:w="569" w:type="pct"/>
            <w:shd w:val="clear" w:color="auto" w:fill="auto"/>
          </w:tcPr>
          <w:p w14:paraId="54B63F52" w14:textId="77777777" w:rsidR="00A42C2E" w:rsidRDefault="00A42C2E" w:rsidP="002F7397">
            <w:pPr>
              <w:pStyle w:val="TableText"/>
            </w:pPr>
            <w:r>
              <w:t>5-G-7</w:t>
            </w:r>
          </w:p>
        </w:tc>
      </w:tr>
      <w:tr w:rsidR="00422836" w14:paraId="54B63F57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54B63F54" w14:textId="77777777" w:rsidR="00422836" w:rsidRPr="00C24D50" w:rsidRDefault="0076418C" w:rsidP="0076418C">
            <w:pPr>
              <w:pStyle w:val="TableText"/>
            </w:pPr>
            <w:r>
              <w:t>To incorporate instructions from Fast Letter (FL) 11-14 for processing requests from PSG VII for claims folders.</w:t>
            </w:r>
          </w:p>
        </w:tc>
        <w:tc>
          <w:tcPr>
            <w:tcW w:w="1420" w:type="pct"/>
            <w:shd w:val="clear" w:color="auto" w:fill="auto"/>
          </w:tcPr>
          <w:p w14:paraId="54B63F55" w14:textId="719148B1" w:rsidR="00422836" w:rsidRPr="00C24D50" w:rsidRDefault="00482888" w:rsidP="00A42C2E">
            <w:pPr>
              <w:pStyle w:val="TableText"/>
            </w:pPr>
            <w:r>
              <w:t>III.ii.5.30.b</w:t>
            </w:r>
          </w:p>
        </w:tc>
        <w:tc>
          <w:tcPr>
            <w:tcW w:w="569" w:type="pct"/>
            <w:shd w:val="clear" w:color="auto" w:fill="auto"/>
          </w:tcPr>
          <w:p w14:paraId="54B63F56" w14:textId="77777777" w:rsidR="00422836" w:rsidRDefault="00A42C2E" w:rsidP="002F7397">
            <w:pPr>
              <w:pStyle w:val="TableText"/>
            </w:pPr>
            <w:r>
              <w:t>5-G-8</w:t>
            </w:r>
          </w:p>
        </w:tc>
      </w:tr>
      <w:tr w:rsidR="00A42C2E" w14:paraId="54B63F5B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54B63F58" w14:textId="77777777" w:rsidR="00A42C2E" w:rsidRDefault="00A42C2E" w:rsidP="00A42C2E">
            <w:pPr>
              <w:pStyle w:val="TableText"/>
            </w:pPr>
            <w:r>
              <w:t xml:space="preserve">To add a block that explains the actions </w:t>
            </w:r>
            <w:r w:rsidR="00AB6FE9">
              <w:t>ROs must</w:t>
            </w:r>
            <w:r>
              <w:t xml:space="preserve"> take if they cannot locate a claims folder that PSG VII has requested.</w:t>
            </w:r>
          </w:p>
        </w:tc>
        <w:tc>
          <w:tcPr>
            <w:tcW w:w="1420" w:type="pct"/>
            <w:shd w:val="clear" w:color="auto" w:fill="auto"/>
          </w:tcPr>
          <w:p w14:paraId="54B63F59" w14:textId="77777777" w:rsidR="00A42C2E" w:rsidRDefault="00A42C2E" w:rsidP="00A42C2E">
            <w:pPr>
              <w:pStyle w:val="TableText"/>
            </w:pPr>
            <w:r>
              <w:t>III.ii.5.30.c</w:t>
            </w:r>
          </w:p>
        </w:tc>
        <w:tc>
          <w:tcPr>
            <w:tcW w:w="569" w:type="pct"/>
            <w:shd w:val="clear" w:color="auto" w:fill="auto"/>
          </w:tcPr>
          <w:p w14:paraId="54B63F5A" w14:textId="77777777" w:rsidR="00A42C2E" w:rsidRDefault="00A42C2E" w:rsidP="002F7397">
            <w:pPr>
              <w:pStyle w:val="TableText"/>
            </w:pPr>
            <w:r>
              <w:t>5-G-10</w:t>
            </w:r>
          </w:p>
        </w:tc>
      </w:tr>
    </w:tbl>
    <w:p w14:paraId="54B63F5C" w14:textId="77777777" w:rsidR="00504F80" w:rsidRDefault="00A42C2E" w:rsidP="00A42C2E">
      <w:pPr>
        <w:pStyle w:val="ContinuedOnNextPa"/>
      </w:pPr>
      <w:r>
        <w:t>Continued on next page</w:t>
      </w:r>
    </w:p>
    <w:p w14:paraId="54B63F5D" w14:textId="77777777" w:rsidR="00A42C2E" w:rsidRDefault="00A42C2E" w:rsidP="00A42C2E">
      <w:pPr>
        <w:pStyle w:val="MapTitleContinued"/>
        <w:rPr>
          <w:b w:val="0"/>
          <w:sz w:val="24"/>
        </w:rPr>
      </w:pPr>
      <w:r w:rsidRPr="00A42C2E">
        <w:br w:type="page"/>
      </w:r>
      <w:r w:rsidR="00626C36">
        <w:lastRenderedPageBreak/>
        <w:fldChar w:fldCharType="begin"/>
      </w:r>
      <w:r w:rsidR="00626C36">
        <w:instrText xml:space="preserve"> STYLEREF "Map Title" </w:instrText>
      </w:r>
      <w:r w:rsidR="00626C36">
        <w:fldChar w:fldCharType="separate"/>
      </w:r>
      <w:r w:rsidRPr="00A42C2E">
        <w:rPr>
          <w:noProof/>
        </w:rPr>
        <w:t>Transmittal Sheet</w:t>
      </w:r>
      <w:r w:rsidR="00626C36">
        <w:rPr>
          <w:noProof/>
        </w:rPr>
        <w:fldChar w:fldCharType="end"/>
      </w:r>
      <w:r w:rsidRPr="00A42C2E">
        <w:t xml:space="preserve">, </w:t>
      </w:r>
      <w:r w:rsidRPr="00A42C2E">
        <w:rPr>
          <w:b w:val="0"/>
          <w:sz w:val="24"/>
        </w:rPr>
        <w:t>Continued</w:t>
      </w:r>
    </w:p>
    <w:p w14:paraId="54B63F5E" w14:textId="77777777" w:rsidR="00A42C2E" w:rsidRPr="00A42C2E" w:rsidRDefault="00A42C2E" w:rsidP="00A42C2E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4B63F61" w14:textId="77777777" w:rsidTr="00237C22">
        <w:tc>
          <w:tcPr>
            <w:tcW w:w="1728" w:type="dxa"/>
          </w:tcPr>
          <w:p w14:paraId="54B63F5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4B63F6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4B63F6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4B63F65" w14:textId="77777777" w:rsidTr="00237C22">
        <w:tc>
          <w:tcPr>
            <w:tcW w:w="1728" w:type="dxa"/>
          </w:tcPr>
          <w:p w14:paraId="54B63F6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4B63F6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4B63F6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4B63F6C" w14:textId="77777777" w:rsidTr="00237C22">
        <w:tc>
          <w:tcPr>
            <w:tcW w:w="1728" w:type="dxa"/>
          </w:tcPr>
          <w:p w14:paraId="54B63F6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4B63F68" w14:textId="77777777" w:rsidR="00504F80" w:rsidRPr="00B4163A" w:rsidRDefault="00504F80" w:rsidP="00237C22">
            <w:pPr>
              <w:pStyle w:val="BlockText"/>
            </w:pPr>
          </w:p>
          <w:p w14:paraId="54B63F6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4B63F6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4B63F6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4B63F6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4B63F70" w14:textId="77777777" w:rsidTr="00237C22">
        <w:tc>
          <w:tcPr>
            <w:tcW w:w="1728" w:type="dxa"/>
          </w:tcPr>
          <w:p w14:paraId="54B63F6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4B63F6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4B63F71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4B63F72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63F75" w14:textId="77777777" w:rsidR="00E0767D" w:rsidRDefault="00E0767D" w:rsidP="00C765C7">
      <w:r>
        <w:separator/>
      </w:r>
    </w:p>
  </w:endnote>
  <w:endnote w:type="continuationSeparator" w:id="0">
    <w:p w14:paraId="54B63F76" w14:textId="77777777" w:rsidR="00E0767D" w:rsidRDefault="00E0767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3F7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63F7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3F7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C36">
      <w:rPr>
        <w:rStyle w:val="PageNumber"/>
        <w:noProof/>
      </w:rPr>
      <w:t>i</w:t>
    </w:r>
    <w:r>
      <w:rPr>
        <w:rStyle w:val="PageNumber"/>
      </w:rPr>
      <w:fldChar w:fldCharType="end"/>
    </w:r>
  </w:p>
  <w:p w14:paraId="54B63F7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63F73" w14:textId="77777777" w:rsidR="00E0767D" w:rsidRDefault="00E0767D" w:rsidP="00C765C7">
      <w:r>
        <w:separator/>
      </w:r>
    </w:p>
  </w:footnote>
  <w:footnote w:type="continuationSeparator" w:id="0">
    <w:p w14:paraId="54B63F74" w14:textId="77777777" w:rsidR="00E0767D" w:rsidRDefault="00E0767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C17A02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81CB5"/>
    <w:rsid w:val="002A3096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888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26C36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6A64"/>
    <w:rsid w:val="00737049"/>
    <w:rsid w:val="0076418C"/>
    <w:rsid w:val="007A0C5F"/>
    <w:rsid w:val="007D5B97"/>
    <w:rsid w:val="007E19FE"/>
    <w:rsid w:val="007E5515"/>
    <w:rsid w:val="007F709C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D57A2"/>
    <w:rsid w:val="009E6E1A"/>
    <w:rsid w:val="00A315CB"/>
    <w:rsid w:val="00A3579D"/>
    <w:rsid w:val="00A42C2E"/>
    <w:rsid w:val="00A55356"/>
    <w:rsid w:val="00A557BB"/>
    <w:rsid w:val="00A8520D"/>
    <w:rsid w:val="00AB6FE9"/>
    <w:rsid w:val="00AC2993"/>
    <w:rsid w:val="00AF2CD6"/>
    <w:rsid w:val="00B30D2F"/>
    <w:rsid w:val="00B50AD7"/>
    <w:rsid w:val="00B93A3C"/>
    <w:rsid w:val="00B96287"/>
    <w:rsid w:val="00BB3345"/>
    <w:rsid w:val="00BF7FE3"/>
    <w:rsid w:val="00C17A02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9207B"/>
    <w:rsid w:val="00DA11C2"/>
    <w:rsid w:val="00DB074F"/>
    <w:rsid w:val="00DB2902"/>
    <w:rsid w:val="00DB743E"/>
    <w:rsid w:val="00DE0E35"/>
    <w:rsid w:val="00DF44AC"/>
    <w:rsid w:val="00E0767D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63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8DBB9-E8E0-4F06-9942-54546E584FA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438dcf7-3998-4283-b7fc-0ec6fa8e430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73D019-1270-4CD2-B248-C6D402F2C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2014-03-04T15:05:00Z</dcterms:created>
  <dcterms:modified xsi:type="dcterms:W3CDTF">2014-08-12T12:57:00Z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