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1A1EB" w14:textId="49D9E6B5" w:rsidR="00504F80" w:rsidRDefault="00504F80" w:rsidP="001A6F02">
      <w:pPr>
        <w:pStyle w:val="Heading4"/>
        <w:tabs>
          <w:tab w:val="left" w:pos="6840"/>
        </w:tabs>
        <w:spacing w:after="0"/>
        <w:ind w:left="2160" w:right="-720" w:hanging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 w:rsidR="00175451">
        <w:rPr>
          <w:rFonts w:ascii="Times New Roman" w:hAnsi="Times New Roman"/>
          <w:sz w:val="20"/>
        </w:rPr>
        <w:t xml:space="preserve">                              </w:t>
      </w:r>
      <w:r w:rsidR="00246DA7">
        <w:rPr>
          <w:rFonts w:ascii="Times New Roman" w:hAnsi="Times New Roman"/>
          <w:sz w:val="20"/>
        </w:rPr>
        <w:t xml:space="preserve">             </w:t>
      </w:r>
      <w:r w:rsidR="009E32F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i</w:t>
      </w:r>
    </w:p>
    <w:p w14:paraId="013D7C9B" w14:textId="521CA5A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</w:t>
      </w:r>
      <w:r w:rsidR="00C65267">
        <w:rPr>
          <w:b/>
          <w:bCs/>
          <w:sz w:val="20"/>
        </w:rPr>
        <w:t>s Administration</w:t>
      </w:r>
      <w:r w:rsidR="00C65267">
        <w:rPr>
          <w:b/>
          <w:bCs/>
          <w:sz w:val="20"/>
        </w:rPr>
        <w:tab/>
      </w:r>
      <w:r w:rsidR="00C65267">
        <w:rPr>
          <w:b/>
          <w:bCs/>
          <w:sz w:val="20"/>
        </w:rPr>
        <w:tab/>
      </w:r>
      <w:r w:rsidR="00C65267">
        <w:rPr>
          <w:b/>
          <w:bCs/>
          <w:sz w:val="20"/>
        </w:rPr>
        <w:tab/>
      </w:r>
      <w:r w:rsidR="00C65267">
        <w:rPr>
          <w:b/>
          <w:bCs/>
          <w:sz w:val="20"/>
        </w:rPr>
        <w:tab/>
      </w:r>
      <w:r w:rsidR="00C65267">
        <w:rPr>
          <w:b/>
          <w:bCs/>
          <w:sz w:val="20"/>
        </w:rPr>
        <w:tab/>
      </w:r>
      <w:r w:rsidR="00C65267">
        <w:rPr>
          <w:b/>
          <w:bCs/>
          <w:sz w:val="20"/>
        </w:rPr>
        <w:tab/>
        <w:t xml:space="preserve">  </w:t>
      </w:r>
      <w:r>
        <w:rPr>
          <w:b/>
          <w:bCs/>
          <w:sz w:val="20"/>
        </w:rPr>
        <w:t xml:space="preserve">         </w:t>
      </w:r>
      <w:r w:rsidR="00246DA7">
        <w:rPr>
          <w:b/>
          <w:bCs/>
          <w:sz w:val="20"/>
        </w:rPr>
        <w:t xml:space="preserve">            </w:t>
      </w:r>
      <w:r w:rsidR="00C65267">
        <w:rPr>
          <w:b/>
          <w:bCs/>
          <w:sz w:val="20"/>
        </w:rPr>
        <w:t>September 22, 2014</w:t>
      </w:r>
      <w:r>
        <w:rPr>
          <w:b/>
          <w:bCs/>
          <w:sz w:val="20"/>
        </w:rPr>
        <w:tab/>
      </w:r>
    </w:p>
    <w:p w14:paraId="2EE1FDAF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ECDDEF8" w14:textId="77777777" w:rsidR="00504F80" w:rsidRDefault="00504F80" w:rsidP="00504F80">
      <w:pPr>
        <w:rPr>
          <w:b/>
          <w:bCs/>
          <w:sz w:val="20"/>
        </w:rPr>
      </w:pPr>
    </w:p>
    <w:p w14:paraId="2AEF9E82" w14:textId="77777777" w:rsidR="00504F80" w:rsidRDefault="00504F80" w:rsidP="00504F80">
      <w:pPr>
        <w:pStyle w:val="Heading4"/>
      </w:pPr>
      <w:r>
        <w:t xml:space="preserve">Transmittal Sheet </w:t>
      </w:r>
    </w:p>
    <w:p w14:paraId="45A0AB38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9FD6ECD" w14:textId="77777777" w:rsidTr="00C24D50">
        <w:tc>
          <w:tcPr>
            <w:tcW w:w="1728" w:type="dxa"/>
          </w:tcPr>
          <w:p w14:paraId="3FD55833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6A57E61" w14:textId="5C295F3D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 w:rsidR="00F2225E">
              <w:t xml:space="preserve">i, </w:t>
            </w:r>
            <w:r w:rsidR="006F4863">
              <w:t xml:space="preserve">“Initial Screening and Determining Veterans Status.” </w:t>
            </w:r>
          </w:p>
          <w:p w14:paraId="45EE57FB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3B2250D" w14:textId="77777777" w:rsidR="00504F80" w:rsidRDefault="00504F80" w:rsidP="00650027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 w:rsidR="00F2378F">
              <w:t>:</w:t>
            </w:r>
          </w:p>
          <w:p w14:paraId="7F4E8CF5" w14:textId="56D13E7C" w:rsidR="00246DA7" w:rsidRDefault="00246DA7" w:rsidP="00C24D50">
            <w:pPr>
              <w:pStyle w:val="BulletText1"/>
            </w:pPr>
            <w:r>
              <w:t>The term regional office (RO) also includes Pension Management Center (PMC), where appropriate.</w:t>
            </w:r>
          </w:p>
          <w:p w14:paraId="1C500955" w14:textId="23B858DE" w:rsidR="00246DA7" w:rsidRDefault="00246DA7" w:rsidP="00C24D50">
            <w:pPr>
              <w:pStyle w:val="BulletText1"/>
            </w:pPr>
            <w:r>
              <w:t>The term Veterans Service Center Manager (VSCM) also includes Pension Management Center Manager (PMCM), where appropriate.</w:t>
            </w:r>
          </w:p>
          <w:p w14:paraId="4F65D938" w14:textId="01699B46" w:rsidR="00504F80" w:rsidRDefault="00650027" w:rsidP="00D117BA">
            <w:pPr>
              <w:pStyle w:val="BulletText1"/>
            </w:pPr>
            <w:r>
              <w:t>Mino</w:t>
            </w:r>
            <w:r w:rsidR="00504F80">
              <w:t xml:space="preserve">r editorial changes </w:t>
            </w:r>
            <w:proofErr w:type="gramStart"/>
            <w:r w:rsidR="00504F80">
              <w:t>have also been made</w:t>
            </w:r>
            <w:proofErr w:type="gramEnd"/>
            <w:r w:rsidR="00504F80">
              <w:t xml:space="preserve"> to update incorrect or obsolete hyperlink references</w:t>
            </w:r>
            <w:r w:rsidR="002803AF">
              <w:t>.</w:t>
            </w:r>
          </w:p>
          <w:p w14:paraId="114B1F53" w14:textId="77777777" w:rsidR="00504F80" w:rsidRPr="00EA3A57" w:rsidRDefault="00504F80" w:rsidP="00F2378F">
            <w:pPr>
              <w:pStyle w:val="BulletText2"/>
              <w:numPr>
                <w:ilvl w:val="0"/>
                <w:numId w:val="0"/>
              </w:numPr>
              <w:ind w:left="360" w:hanging="187"/>
            </w:pPr>
          </w:p>
        </w:tc>
      </w:tr>
    </w:tbl>
    <w:p w14:paraId="5A905210" w14:textId="4582D486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4"/>
        <w:gridCol w:w="2973"/>
        <w:gridCol w:w="987"/>
      </w:tblGrid>
      <w:tr w:rsidR="00C24D50" w14:paraId="2A4D90BB" w14:textId="77777777" w:rsidTr="002803AF">
        <w:trPr>
          <w:trHeight w:val="180"/>
        </w:trPr>
        <w:tc>
          <w:tcPr>
            <w:tcW w:w="2917" w:type="pct"/>
            <w:shd w:val="clear" w:color="auto" w:fill="auto"/>
          </w:tcPr>
          <w:p w14:paraId="6DA9145D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564" w:type="pct"/>
            <w:shd w:val="clear" w:color="auto" w:fill="auto"/>
          </w:tcPr>
          <w:p w14:paraId="0A7F2ADA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19" w:type="pct"/>
            <w:shd w:val="clear" w:color="auto" w:fill="auto"/>
          </w:tcPr>
          <w:p w14:paraId="4B9B926F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3089BB91" w14:textId="77777777" w:rsidTr="002803AF">
        <w:trPr>
          <w:trHeight w:val="180"/>
        </w:trPr>
        <w:tc>
          <w:tcPr>
            <w:tcW w:w="2917" w:type="pct"/>
            <w:shd w:val="clear" w:color="auto" w:fill="auto"/>
          </w:tcPr>
          <w:p w14:paraId="70DE386E" w14:textId="6F86BAF2" w:rsidR="00264F0A" w:rsidRPr="00C24D50" w:rsidRDefault="00264F0A" w:rsidP="009E32FE">
            <w:pPr>
              <w:pStyle w:val="TableText"/>
            </w:pPr>
            <w:r>
              <w:t xml:space="preserve">To replace the </w:t>
            </w:r>
            <w:r w:rsidR="007206E5">
              <w:t xml:space="preserve">outdated </w:t>
            </w:r>
            <w:r>
              <w:t xml:space="preserve">reference </w:t>
            </w:r>
            <w:r w:rsidR="007206E5">
              <w:t xml:space="preserve">to the </w:t>
            </w:r>
            <w:r>
              <w:t>“Consolidated Address and Territorial Bulletin” with “Facilities Locator and Leadership Directory.</w:t>
            </w:r>
            <w:r w:rsidR="009E32FE">
              <w:t>”</w:t>
            </w:r>
          </w:p>
        </w:tc>
        <w:tc>
          <w:tcPr>
            <w:tcW w:w="1564" w:type="pct"/>
            <w:shd w:val="clear" w:color="auto" w:fill="auto"/>
          </w:tcPr>
          <w:p w14:paraId="1827D703" w14:textId="042B6E4A" w:rsidR="00C24D50" w:rsidRPr="00C24D50" w:rsidRDefault="00A97CC2" w:rsidP="002F7397">
            <w:pPr>
              <w:pStyle w:val="TableText"/>
            </w:pPr>
            <w:r>
              <w:t>M21-1MR, Part III, Subpart ii, Chapter 5, Section A</w:t>
            </w:r>
            <w:r w:rsidR="00040E47">
              <w:t>, Topic 1</w:t>
            </w:r>
            <w:r w:rsidR="0027701D">
              <w:t xml:space="preserve">, Block a </w:t>
            </w:r>
            <w:r w:rsidR="00637E45">
              <w:t>(III.ii.5.A</w:t>
            </w:r>
            <w:r w:rsidR="00040E47">
              <w:t>.1</w:t>
            </w:r>
            <w:r w:rsidR="0027701D">
              <w:t>.a</w:t>
            </w:r>
            <w:r w:rsidR="00637E45">
              <w:t>)</w:t>
            </w:r>
          </w:p>
        </w:tc>
        <w:tc>
          <w:tcPr>
            <w:tcW w:w="519" w:type="pct"/>
            <w:shd w:val="clear" w:color="auto" w:fill="auto"/>
          </w:tcPr>
          <w:p w14:paraId="0A64B859" w14:textId="5500DBF6" w:rsidR="00264F0A" w:rsidRDefault="00264F0A" w:rsidP="002F7397">
            <w:pPr>
              <w:pStyle w:val="TableText"/>
            </w:pPr>
            <w:r>
              <w:t>5-A-2</w:t>
            </w:r>
          </w:p>
          <w:p w14:paraId="4B705C17" w14:textId="3BCD059D" w:rsidR="00C24D50" w:rsidRDefault="00C24D50" w:rsidP="002F7397">
            <w:pPr>
              <w:pStyle w:val="TableText"/>
            </w:pPr>
          </w:p>
        </w:tc>
      </w:tr>
      <w:tr w:rsidR="0027701D" w14:paraId="1008C57E" w14:textId="77777777" w:rsidTr="002803AF">
        <w:trPr>
          <w:trHeight w:val="180"/>
        </w:trPr>
        <w:tc>
          <w:tcPr>
            <w:tcW w:w="2917" w:type="pct"/>
            <w:shd w:val="clear" w:color="auto" w:fill="auto"/>
          </w:tcPr>
          <w:p w14:paraId="48982E4C" w14:textId="770B538B" w:rsidR="0027701D" w:rsidRDefault="0027701D" w:rsidP="0027701D">
            <w:pPr>
              <w:pStyle w:val="TableText"/>
              <w:numPr>
                <w:ilvl w:val="0"/>
                <w:numId w:val="12"/>
              </w:numPr>
            </w:pPr>
            <w:r>
              <w:t xml:space="preserve">To remove the note assigning jurisdiction of paperless </w:t>
            </w:r>
            <w:r w:rsidR="001158CE">
              <w:t>Benefits Delivery at Discharge claims to</w:t>
            </w:r>
            <w:r w:rsidR="004E60ED">
              <w:t xml:space="preserve"> Rating Activity Sites.</w:t>
            </w:r>
            <w:r w:rsidR="001158CE">
              <w:t xml:space="preserve"> </w:t>
            </w:r>
          </w:p>
          <w:p w14:paraId="1C583C8E" w14:textId="15271688" w:rsidR="0027701D" w:rsidRDefault="0027701D" w:rsidP="004E60ED">
            <w:pPr>
              <w:pStyle w:val="TableText"/>
              <w:numPr>
                <w:ilvl w:val="0"/>
                <w:numId w:val="12"/>
              </w:numPr>
            </w:pPr>
            <w:r>
              <w:t>To replace F</w:t>
            </w:r>
            <w:r w:rsidR="007206E5">
              <w:t xml:space="preserve">ast </w:t>
            </w:r>
            <w:r>
              <w:t>L</w:t>
            </w:r>
            <w:r w:rsidR="007206E5">
              <w:t>etter</w:t>
            </w:r>
            <w:r>
              <w:t xml:space="preserve"> 09-31</w:t>
            </w:r>
            <w:r w:rsidR="00C65267">
              <w:t xml:space="preserve">, </w:t>
            </w:r>
            <w:r w:rsidR="004E60ED" w:rsidRPr="00C65267">
              <w:rPr>
                <w:i/>
              </w:rPr>
              <w:t>Transition of Consolidated Processing Sites (CPSs) for Quick Start Pre-Discharge Claims</w:t>
            </w:r>
            <w:r w:rsidR="00C65267">
              <w:t>,</w:t>
            </w:r>
            <w:bookmarkStart w:id="0" w:name="_GoBack"/>
            <w:bookmarkEnd w:id="0"/>
            <w:r>
              <w:t xml:space="preserve"> with reference </w:t>
            </w:r>
            <w:r w:rsidR="007206E5">
              <w:t>to III.i.2</w:t>
            </w:r>
            <w:r>
              <w:t>.</w:t>
            </w:r>
          </w:p>
        </w:tc>
        <w:tc>
          <w:tcPr>
            <w:tcW w:w="1564" w:type="pct"/>
            <w:shd w:val="clear" w:color="auto" w:fill="auto"/>
          </w:tcPr>
          <w:p w14:paraId="0017D2AE" w14:textId="3B8D3BFB" w:rsidR="0027701D" w:rsidRDefault="0027701D" w:rsidP="002F7397">
            <w:pPr>
              <w:pStyle w:val="TableText"/>
            </w:pPr>
            <w:r>
              <w:t>III.ii.5.A.1.e</w:t>
            </w:r>
          </w:p>
        </w:tc>
        <w:tc>
          <w:tcPr>
            <w:tcW w:w="519" w:type="pct"/>
            <w:shd w:val="clear" w:color="auto" w:fill="auto"/>
          </w:tcPr>
          <w:p w14:paraId="2CFA0E71" w14:textId="188B872A" w:rsidR="0027701D" w:rsidRDefault="0027701D" w:rsidP="002F7397">
            <w:pPr>
              <w:pStyle w:val="TableText"/>
            </w:pPr>
            <w:r>
              <w:t>5-A-5</w:t>
            </w:r>
          </w:p>
        </w:tc>
      </w:tr>
      <w:tr w:rsidR="00422836" w14:paraId="2365A920" w14:textId="77777777" w:rsidTr="002803AF">
        <w:trPr>
          <w:trHeight w:val="180"/>
        </w:trPr>
        <w:tc>
          <w:tcPr>
            <w:tcW w:w="2917" w:type="pct"/>
            <w:shd w:val="clear" w:color="auto" w:fill="auto"/>
          </w:tcPr>
          <w:p w14:paraId="2EED8205" w14:textId="638C5B26" w:rsidR="00422836" w:rsidRPr="00C24D50" w:rsidRDefault="00637E45" w:rsidP="009E32FE">
            <w:pPr>
              <w:pStyle w:val="TableText"/>
            </w:pPr>
            <w:r>
              <w:t xml:space="preserve">To </w:t>
            </w:r>
            <w:r w:rsidR="00040E47">
              <w:t xml:space="preserve">replace </w:t>
            </w:r>
            <w:r w:rsidR="00813919">
              <w:t>the term “</w:t>
            </w:r>
            <w:r w:rsidR="00040E47">
              <w:t>Washington Regional Office</w:t>
            </w:r>
            <w:r w:rsidR="00813919">
              <w:t>”</w:t>
            </w:r>
            <w:r w:rsidR="00040E47">
              <w:t xml:space="preserve"> with </w:t>
            </w:r>
            <w:r w:rsidR="00813919">
              <w:t>“</w:t>
            </w:r>
            <w:r w:rsidR="00040E47">
              <w:t>National Capital Region Benefits Office</w:t>
            </w:r>
            <w:r w:rsidR="007206E5">
              <w:t>.</w:t>
            </w:r>
            <w:r w:rsidR="00813919">
              <w:t>”</w:t>
            </w:r>
            <w:r w:rsidR="00040E47">
              <w:t xml:space="preserve"> </w:t>
            </w:r>
          </w:p>
        </w:tc>
        <w:tc>
          <w:tcPr>
            <w:tcW w:w="1564" w:type="pct"/>
            <w:shd w:val="clear" w:color="auto" w:fill="auto"/>
          </w:tcPr>
          <w:p w14:paraId="68A1B336" w14:textId="6164D70E" w:rsidR="00422836" w:rsidRPr="00C24D50" w:rsidRDefault="00040E47" w:rsidP="002F7397">
            <w:pPr>
              <w:pStyle w:val="TableText"/>
            </w:pPr>
            <w:r>
              <w:t>III.ii.5.A.2</w:t>
            </w:r>
            <w:r w:rsidR="0027701D">
              <w:t>.a</w:t>
            </w:r>
          </w:p>
        </w:tc>
        <w:tc>
          <w:tcPr>
            <w:tcW w:w="519" w:type="pct"/>
            <w:shd w:val="clear" w:color="auto" w:fill="auto"/>
          </w:tcPr>
          <w:p w14:paraId="1E64FDB4" w14:textId="77777777" w:rsidR="00422836" w:rsidRDefault="00040E47" w:rsidP="002F7397">
            <w:pPr>
              <w:pStyle w:val="TableText"/>
            </w:pPr>
            <w:r>
              <w:t>5-A-6</w:t>
            </w:r>
          </w:p>
        </w:tc>
      </w:tr>
      <w:tr w:rsidR="005D61F0" w14:paraId="3F9E4CF5" w14:textId="77777777" w:rsidTr="002803AF">
        <w:trPr>
          <w:trHeight w:val="180"/>
        </w:trPr>
        <w:tc>
          <w:tcPr>
            <w:tcW w:w="2917" w:type="pct"/>
            <w:shd w:val="clear" w:color="auto" w:fill="auto"/>
          </w:tcPr>
          <w:p w14:paraId="6D065D12" w14:textId="3BCACB52" w:rsidR="005D61F0" w:rsidRDefault="005D61F0" w:rsidP="009E32FE">
            <w:pPr>
              <w:pStyle w:val="TableText"/>
            </w:pPr>
            <w:r>
              <w:t>To remove “and Pension” from “Compensation and Pension Service (211B).”</w:t>
            </w:r>
          </w:p>
        </w:tc>
        <w:tc>
          <w:tcPr>
            <w:tcW w:w="1564" w:type="pct"/>
            <w:shd w:val="clear" w:color="auto" w:fill="auto"/>
          </w:tcPr>
          <w:p w14:paraId="282D7D18" w14:textId="6DE6E03B" w:rsidR="005D61F0" w:rsidRDefault="005D61F0" w:rsidP="002F7397">
            <w:pPr>
              <w:pStyle w:val="TableText"/>
            </w:pPr>
            <w:r>
              <w:t>III.ii.5.A.2.b</w:t>
            </w:r>
          </w:p>
        </w:tc>
        <w:tc>
          <w:tcPr>
            <w:tcW w:w="519" w:type="pct"/>
            <w:shd w:val="clear" w:color="auto" w:fill="auto"/>
          </w:tcPr>
          <w:p w14:paraId="7424B771" w14:textId="4D351BC3" w:rsidR="005D61F0" w:rsidRDefault="005D61F0" w:rsidP="002F7397">
            <w:pPr>
              <w:pStyle w:val="TableText"/>
            </w:pPr>
            <w:r>
              <w:t>5-A-8</w:t>
            </w:r>
          </w:p>
        </w:tc>
      </w:tr>
    </w:tbl>
    <w:p w14:paraId="0F7A4F43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683E951" w14:textId="77777777" w:rsidTr="00237C22">
        <w:tc>
          <w:tcPr>
            <w:tcW w:w="1728" w:type="dxa"/>
          </w:tcPr>
          <w:p w14:paraId="623F714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6E912D3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2D9A98E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AC05D95" w14:textId="77777777" w:rsidTr="00237C22">
        <w:tc>
          <w:tcPr>
            <w:tcW w:w="1728" w:type="dxa"/>
          </w:tcPr>
          <w:p w14:paraId="1EE88C8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A6473EE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0D2FB17" w14:textId="4B76829A" w:rsidR="00504F80" w:rsidRDefault="00504F80" w:rsidP="00504F80">
      <w:pPr>
        <w:pStyle w:val="ContinuedOnNextPa"/>
      </w:pPr>
      <w:r w:rsidRPr="00B4163A">
        <w:t xml:space="preserve"> </w:t>
      </w:r>
    </w:p>
    <w:p w14:paraId="1C7D344D" w14:textId="0A4C3190" w:rsidR="00D117BA" w:rsidRDefault="00D117BA">
      <w:r>
        <w:br w:type="page"/>
      </w:r>
    </w:p>
    <w:p w14:paraId="28160EA5" w14:textId="7056EEF2" w:rsidR="00D117BA" w:rsidRDefault="00C65267" w:rsidP="00D117BA">
      <w:pPr>
        <w:pStyle w:val="MapTitleContinued"/>
        <w:rPr>
          <w:b w:val="0"/>
          <w:sz w:val="24"/>
        </w:rPr>
      </w:pPr>
      <w:r>
        <w:lastRenderedPageBreak/>
        <w:fldChar w:fldCharType="begin"/>
      </w:r>
      <w:r>
        <w:instrText xml:space="preserve"> STYLEREF "Map Title" </w:instrText>
      </w:r>
      <w:r>
        <w:fldChar w:fldCharType="separate"/>
      </w:r>
      <w:r w:rsidR="00D117BA" w:rsidRPr="00D117BA">
        <w:rPr>
          <w:noProof/>
        </w:rPr>
        <w:t>Transmittal Sheet</w:t>
      </w:r>
      <w:r>
        <w:rPr>
          <w:noProof/>
        </w:rPr>
        <w:fldChar w:fldCharType="end"/>
      </w:r>
      <w:r w:rsidR="00D117BA" w:rsidRPr="00D117BA">
        <w:t xml:space="preserve">, </w:t>
      </w:r>
      <w:r w:rsidR="00D117BA" w:rsidRPr="00D117BA">
        <w:rPr>
          <w:b w:val="0"/>
          <w:sz w:val="24"/>
        </w:rPr>
        <w:t>Continued</w:t>
      </w:r>
    </w:p>
    <w:p w14:paraId="5219AC7B" w14:textId="77777777" w:rsidR="00D117BA" w:rsidRPr="00D117BA" w:rsidRDefault="00D117BA" w:rsidP="00D117BA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963EEF6" w14:textId="77777777" w:rsidTr="00237C22">
        <w:tc>
          <w:tcPr>
            <w:tcW w:w="1728" w:type="dxa"/>
          </w:tcPr>
          <w:p w14:paraId="58F772A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7F64D95" w14:textId="77777777" w:rsidR="00504F80" w:rsidRPr="00B4163A" w:rsidRDefault="00504F80" w:rsidP="00237C22">
            <w:pPr>
              <w:pStyle w:val="BlockText"/>
            </w:pPr>
          </w:p>
          <w:p w14:paraId="2F0B0999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57BFC76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0911875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9D31E8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AE01DE4" w14:textId="77777777" w:rsidTr="00237C22">
        <w:tc>
          <w:tcPr>
            <w:tcW w:w="1728" w:type="dxa"/>
          </w:tcPr>
          <w:p w14:paraId="3346B54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AA519EB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2E7A5A5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BCA817B" w14:textId="641054C2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AEDF6" w14:textId="77777777" w:rsidR="007206E5" w:rsidRDefault="007206E5" w:rsidP="00C765C7">
      <w:r>
        <w:separator/>
      </w:r>
    </w:p>
  </w:endnote>
  <w:endnote w:type="continuationSeparator" w:id="0">
    <w:p w14:paraId="0B3C967B" w14:textId="77777777" w:rsidR="007206E5" w:rsidRDefault="007206E5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5BD6D" w14:textId="77777777" w:rsidR="007206E5" w:rsidRDefault="007206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E0A5DC" w14:textId="77777777" w:rsidR="007206E5" w:rsidRDefault="00720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FF89C" w14:textId="77777777" w:rsidR="007206E5" w:rsidRDefault="007206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5267">
      <w:rPr>
        <w:rStyle w:val="PageNumber"/>
        <w:noProof/>
      </w:rPr>
      <w:t>i</w:t>
    </w:r>
    <w:r>
      <w:rPr>
        <w:rStyle w:val="PageNumber"/>
      </w:rPr>
      <w:fldChar w:fldCharType="end"/>
    </w:r>
  </w:p>
  <w:p w14:paraId="3AC17CEC" w14:textId="77777777" w:rsidR="007206E5" w:rsidRDefault="007206E5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8DC6B" w14:textId="77777777" w:rsidR="007206E5" w:rsidRDefault="007206E5" w:rsidP="00C765C7">
      <w:r>
        <w:separator/>
      </w:r>
    </w:p>
  </w:footnote>
  <w:footnote w:type="continuationSeparator" w:id="0">
    <w:p w14:paraId="07D56E24" w14:textId="77777777" w:rsidR="007206E5" w:rsidRDefault="007206E5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2pt;height:12pt" o:bullet="t">
        <v:imagedata r:id="rId1" o:title="fspro_2columns"/>
      </v:shape>
    </w:pict>
  </w:numPicBullet>
  <w:numPicBullet w:numPicBulletId="1">
    <w:pict>
      <v:shape id="_x0000_i1099" type="#_x0000_t75" style="width:12pt;height:12pt" o:bullet="t">
        <v:imagedata r:id="rId2" o:title="advanced"/>
      </v:shape>
    </w:pict>
  </w:numPicBullet>
  <w:numPicBullet w:numPicBulletId="2">
    <w:pict>
      <v:shape id="_x0000_i1100" type="#_x0000_t75" style="width:12pt;height:12pt" o:bullet="t">
        <v:imagedata r:id="rId3" o:title="continue"/>
      </v:shape>
    </w:pict>
  </w:numPicBullet>
  <w:numPicBullet w:numPicBulletId="3">
    <w:pict>
      <v:shape id="_x0000_i1101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B94B0A"/>
    <w:multiLevelType w:val="hybridMultilevel"/>
    <w:tmpl w:val="25465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8D23BF4"/>
    <w:multiLevelType w:val="hybridMultilevel"/>
    <w:tmpl w:val="6C06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40E47"/>
    <w:rsid w:val="00093228"/>
    <w:rsid w:val="000A7776"/>
    <w:rsid w:val="000E6C2A"/>
    <w:rsid w:val="00100433"/>
    <w:rsid w:val="0010215F"/>
    <w:rsid w:val="00106EEF"/>
    <w:rsid w:val="001158CE"/>
    <w:rsid w:val="00123973"/>
    <w:rsid w:val="001253ED"/>
    <w:rsid w:val="00175451"/>
    <w:rsid w:val="00186D46"/>
    <w:rsid w:val="001A6F02"/>
    <w:rsid w:val="001C3AE3"/>
    <w:rsid w:val="001C3EB5"/>
    <w:rsid w:val="002041BE"/>
    <w:rsid w:val="00237C22"/>
    <w:rsid w:val="00240624"/>
    <w:rsid w:val="00246DA7"/>
    <w:rsid w:val="00264F0A"/>
    <w:rsid w:val="0027701D"/>
    <w:rsid w:val="002803AF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E60ED"/>
    <w:rsid w:val="004F375E"/>
    <w:rsid w:val="00504F80"/>
    <w:rsid w:val="00506485"/>
    <w:rsid w:val="00513DA7"/>
    <w:rsid w:val="00516C82"/>
    <w:rsid w:val="00594258"/>
    <w:rsid w:val="005D61F0"/>
    <w:rsid w:val="005E4363"/>
    <w:rsid w:val="005F6D86"/>
    <w:rsid w:val="00600DC7"/>
    <w:rsid w:val="0062068D"/>
    <w:rsid w:val="006317AA"/>
    <w:rsid w:val="00637E45"/>
    <w:rsid w:val="006473C3"/>
    <w:rsid w:val="00650027"/>
    <w:rsid w:val="006708D7"/>
    <w:rsid w:val="006837E0"/>
    <w:rsid w:val="00685EB6"/>
    <w:rsid w:val="006B7262"/>
    <w:rsid w:val="006C3E5F"/>
    <w:rsid w:val="006C48FF"/>
    <w:rsid w:val="006D10E5"/>
    <w:rsid w:val="006D52FE"/>
    <w:rsid w:val="006F4863"/>
    <w:rsid w:val="006F6D37"/>
    <w:rsid w:val="007206E5"/>
    <w:rsid w:val="00723BA8"/>
    <w:rsid w:val="00724248"/>
    <w:rsid w:val="00732186"/>
    <w:rsid w:val="00737049"/>
    <w:rsid w:val="00751349"/>
    <w:rsid w:val="007A0C5F"/>
    <w:rsid w:val="007D5B97"/>
    <w:rsid w:val="007E5515"/>
    <w:rsid w:val="0080590C"/>
    <w:rsid w:val="00813919"/>
    <w:rsid w:val="008144E7"/>
    <w:rsid w:val="008224F4"/>
    <w:rsid w:val="00822A16"/>
    <w:rsid w:val="00837A8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445A"/>
    <w:rsid w:val="00916AE6"/>
    <w:rsid w:val="00933BDB"/>
    <w:rsid w:val="00945950"/>
    <w:rsid w:val="009769CD"/>
    <w:rsid w:val="00997D98"/>
    <w:rsid w:val="009C22C8"/>
    <w:rsid w:val="009E32FE"/>
    <w:rsid w:val="009E6E1A"/>
    <w:rsid w:val="00A315CB"/>
    <w:rsid w:val="00A3579D"/>
    <w:rsid w:val="00A4726C"/>
    <w:rsid w:val="00A55356"/>
    <w:rsid w:val="00A557BB"/>
    <w:rsid w:val="00A8520D"/>
    <w:rsid w:val="00A85927"/>
    <w:rsid w:val="00A97CC2"/>
    <w:rsid w:val="00AC2993"/>
    <w:rsid w:val="00AF2CD6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65267"/>
    <w:rsid w:val="00C765C7"/>
    <w:rsid w:val="00CD2D08"/>
    <w:rsid w:val="00D117BA"/>
    <w:rsid w:val="00D33A6E"/>
    <w:rsid w:val="00D36508"/>
    <w:rsid w:val="00D455AB"/>
    <w:rsid w:val="00D57B91"/>
    <w:rsid w:val="00D61497"/>
    <w:rsid w:val="00D72F2E"/>
    <w:rsid w:val="00D77146"/>
    <w:rsid w:val="00D823AF"/>
    <w:rsid w:val="00D87741"/>
    <w:rsid w:val="00D9207B"/>
    <w:rsid w:val="00DA11C2"/>
    <w:rsid w:val="00DB074F"/>
    <w:rsid w:val="00DB2902"/>
    <w:rsid w:val="00DB743E"/>
    <w:rsid w:val="00DB7E88"/>
    <w:rsid w:val="00DE0E35"/>
    <w:rsid w:val="00DF44AC"/>
    <w:rsid w:val="00E2529E"/>
    <w:rsid w:val="00E36906"/>
    <w:rsid w:val="00E648E9"/>
    <w:rsid w:val="00E964FD"/>
    <w:rsid w:val="00ED4D5E"/>
    <w:rsid w:val="00F006B2"/>
    <w:rsid w:val="00F10EA1"/>
    <w:rsid w:val="00F2225E"/>
    <w:rsid w:val="00F2378F"/>
    <w:rsid w:val="00F376F3"/>
    <w:rsid w:val="00F43DFA"/>
    <w:rsid w:val="00F530BE"/>
    <w:rsid w:val="00F550D4"/>
    <w:rsid w:val="00F66544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3D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purl.org/dc/dcmitype/"/>
    <ds:schemaRef ds:uri="http://www.w3.org/XML/1998/namespace"/>
    <ds:schemaRef ds:uri="b438dcf7-3998-4283-b7fc-0ec6fa8e430f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843F657-66C3-4DBB-8447-304FB4C30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170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34</cp:revision>
  <dcterms:created xsi:type="dcterms:W3CDTF">2014-06-19T17:40:00Z</dcterms:created>
  <dcterms:modified xsi:type="dcterms:W3CDTF">2014-09-24T12:15:00Z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