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FE3A" w14:textId="61640CA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7507AC">
        <w:rPr>
          <w:rFonts w:ascii="Times New Roman" w:hAnsi="Times New Roman"/>
          <w:sz w:val="20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033D74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E45F59">
        <w:rPr>
          <w:rFonts w:ascii="Times New Roman" w:hAnsi="Times New Roman"/>
          <w:sz w:val="20"/>
        </w:rPr>
        <w:t>Subpart ii</w:t>
      </w:r>
      <w:r w:rsidR="000F449B">
        <w:rPr>
          <w:rFonts w:ascii="Times New Roman" w:hAnsi="Times New Roman"/>
          <w:sz w:val="20"/>
        </w:rPr>
        <w:t xml:space="preserve"> </w:t>
      </w:r>
    </w:p>
    <w:p w14:paraId="7B42B1BC" w14:textId="17277FF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507AC">
        <w:rPr>
          <w:b/>
          <w:bCs/>
          <w:sz w:val="20"/>
        </w:rPr>
        <w:tab/>
      </w:r>
      <w:r w:rsidR="007507AC">
        <w:rPr>
          <w:b/>
          <w:bCs/>
          <w:sz w:val="20"/>
        </w:rPr>
        <w:tab/>
        <w:t xml:space="preserve">    </w:t>
      </w:r>
      <w:r>
        <w:rPr>
          <w:b/>
          <w:bCs/>
          <w:sz w:val="20"/>
        </w:rPr>
        <w:tab/>
      </w:r>
      <w:r w:rsidR="007507AC">
        <w:rPr>
          <w:b/>
          <w:bCs/>
          <w:sz w:val="20"/>
        </w:rPr>
        <w:t xml:space="preserve">      July 14, 2015</w:t>
      </w:r>
      <w:r>
        <w:rPr>
          <w:b/>
          <w:bCs/>
          <w:sz w:val="20"/>
        </w:rPr>
        <w:tab/>
      </w:r>
    </w:p>
    <w:p w14:paraId="48A9821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9F1864D" w14:textId="77777777" w:rsidR="00504F80" w:rsidRDefault="00504F80" w:rsidP="00504F80">
      <w:pPr>
        <w:rPr>
          <w:b/>
          <w:bCs/>
          <w:sz w:val="20"/>
        </w:rPr>
      </w:pPr>
    </w:p>
    <w:p w14:paraId="31BA03CD" w14:textId="77777777" w:rsidR="00504F80" w:rsidRDefault="00504F80" w:rsidP="00504F80">
      <w:pPr>
        <w:pStyle w:val="Heading4"/>
      </w:pPr>
      <w:r>
        <w:t xml:space="preserve">Transmittal Sheet </w:t>
      </w:r>
    </w:p>
    <w:p w14:paraId="4830A26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3B3297D" w14:textId="77777777" w:rsidTr="00C24D50">
        <w:tc>
          <w:tcPr>
            <w:tcW w:w="1728" w:type="dxa"/>
          </w:tcPr>
          <w:p w14:paraId="0CD3BFA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26B7EBF" w14:textId="608AAEE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0F449B">
              <w:t>I</w:t>
            </w:r>
            <w:r w:rsidR="00033D74">
              <w:t>II</w:t>
            </w:r>
            <w:r>
              <w:t>, “</w:t>
            </w:r>
            <w:r w:rsidR="00033D74">
              <w:t>General Claims Process</w:t>
            </w:r>
            <w:r>
              <w:t xml:space="preserve">,” </w:t>
            </w:r>
            <w:r w:rsidR="00E45F59">
              <w:t>Subpart ii</w:t>
            </w:r>
            <w:r>
              <w:t>, “</w:t>
            </w:r>
            <w:r w:rsidR="00E45F59">
              <w:t>Initial Screening and Determining Veterans Status</w:t>
            </w:r>
            <w:r w:rsidR="009B385B">
              <w:t>.</w:t>
            </w:r>
            <w:r w:rsidR="00A7040B">
              <w:t>”</w:t>
            </w:r>
          </w:p>
          <w:p w14:paraId="60EA378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4605311" w14:textId="77777777" w:rsidR="0094286C" w:rsidRDefault="0094286C" w:rsidP="0094286C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E5F68AD" w14:textId="77777777" w:rsidR="0094286C" w:rsidRDefault="0094286C" w:rsidP="0094286C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3D3F82D9" w14:textId="77777777" w:rsidR="0094286C" w:rsidRDefault="0094286C" w:rsidP="0094286C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488B9C0B" w14:textId="77777777" w:rsidR="0094286C" w:rsidRDefault="0094286C" w:rsidP="0094286C">
            <w:pPr>
              <w:pStyle w:val="BulletText1"/>
            </w:pPr>
            <w:r>
              <w:t xml:space="preserve">Minor editorial changes have also been made to </w:t>
            </w:r>
          </w:p>
          <w:p w14:paraId="2EEE2A57" w14:textId="77777777" w:rsidR="0094286C" w:rsidRDefault="0094286C" w:rsidP="0094286C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1DB0501" w14:textId="77777777" w:rsidR="0094286C" w:rsidRDefault="0094286C" w:rsidP="0094286C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A5BB015" w14:textId="77777777" w:rsidR="0094286C" w:rsidRDefault="0094286C" w:rsidP="0094286C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A7F02BA" w14:textId="77777777" w:rsidR="0094286C" w:rsidRDefault="0094286C" w:rsidP="0094286C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5987608" w14:textId="77777777" w:rsidR="0094286C" w:rsidRDefault="0094286C" w:rsidP="0094286C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4F4F04A" w14:textId="77777777" w:rsidR="00504F80" w:rsidRPr="00EA3A57" w:rsidRDefault="0094286C" w:rsidP="009B385B">
            <w:pPr>
              <w:pStyle w:val="BulletText2"/>
              <w:tabs>
                <w:tab w:val="num" w:pos="547"/>
              </w:tabs>
            </w:pPr>
            <w:r>
              <w:t>bring the document into conformance with M21-1 standards.</w:t>
            </w:r>
          </w:p>
        </w:tc>
      </w:tr>
    </w:tbl>
    <w:p w14:paraId="7B4B7BB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3ADEE2E8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19D7385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70990EE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E121C8" w14:paraId="210988E6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0F43842C" w14:textId="7C0FE60B" w:rsidR="00E121C8" w:rsidRDefault="00E121C8" w:rsidP="00AF1B2B">
            <w:pPr>
              <w:pStyle w:val="TableText"/>
            </w:pPr>
            <w:r>
              <w:t>To create new Section H for the relocation and updating of guidance previously located in Section G.</w:t>
            </w:r>
          </w:p>
        </w:tc>
        <w:tc>
          <w:tcPr>
            <w:tcW w:w="1346" w:type="pct"/>
            <w:shd w:val="clear" w:color="auto" w:fill="auto"/>
          </w:tcPr>
          <w:p w14:paraId="08F9340D" w14:textId="77777777" w:rsidR="00E121C8" w:rsidRDefault="00E121C8" w:rsidP="002F7397">
            <w:pPr>
              <w:pStyle w:val="TableText"/>
            </w:pPr>
            <w:r>
              <w:t>M21-1, Part III, Subpart ii, Chapter 5, Section H</w:t>
            </w:r>
          </w:p>
          <w:p w14:paraId="2C324EE6" w14:textId="718B3C01" w:rsidR="00E121C8" w:rsidRDefault="00E121C8" w:rsidP="002F7397">
            <w:pPr>
              <w:pStyle w:val="TableText"/>
            </w:pPr>
            <w:r>
              <w:t>(III.ii.5.H)</w:t>
            </w:r>
          </w:p>
        </w:tc>
      </w:tr>
      <w:tr w:rsidR="002A1D3E" w14:paraId="7F147730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13B3B055" w14:textId="5B4E9A88" w:rsidR="002A1D3E" w:rsidRPr="00C24D50" w:rsidRDefault="009B385B" w:rsidP="00AF1B2B">
            <w:pPr>
              <w:pStyle w:val="TableText"/>
            </w:pPr>
            <w:r>
              <w:t xml:space="preserve">To add guidance that discusses the special-handling period following </w:t>
            </w:r>
            <w:r w:rsidR="00AF1B2B">
              <w:t xml:space="preserve">the </w:t>
            </w:r>
            <w:r>
              <w:t xml:space="preserve">Board of Veterans’ Appeals </w:t>
            </w:r>
            <w:r w:rsidR="00AF1B2B">
              <w:t xml:space="preserve">(BVA) </w:t>
            </w:r>
            <w:r>
              <w:t xml:space="preserve">decisions. </w:t>
            </w:r>
          </w:p>
        </w:tc>
        <w:tc>
          <w:tcPr>
            <w:tcW w:w="1346" w:type="pct"/>
            <w:shd w:val="clear" w:color="auto" w:fill="auto"/>
          </w:tcPr>
          <w:p w14:paraId="2A64FB96" w14:textId="5B37F75F" w:rsidR="002A1D3E" w:rsidRPr="00C24D50" w:rsidRDefault="009B385B" w:rsidP="00E70994">
            <w:pPr>
              <w:pStyle w:val="TableText"/>
            </w:pPr>
            <w:r>
              <w:t>III.ii.5.H.</w:t>
            </w:r>
            <w:r w:rsidR="00AF1B2B">
              <w:t>1.</w:t>
            </w:r>
            <w:r>
              <w:t>a</w:t>
            </w:r>
          </w:p>
        </w:tc>
      </w:tr>
      <w:tr w:rsidR="002A1D3E" w14:paraId="7C427050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4F2D7A80" w14:textId="77777777" w:rsidR="002A1D3E" w:rsidRDefault="00AF1B2B" w:rsidP="001A20C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guidance that discusses the shipping policy during the special-handling period. </w:t>
            </w:r>
          </w:p>
          <w:p w14:paraId="1EC16954" w14:textId="77777777" w:rsidR="00AF1B2B" w:rsidRPr="00C24D50" w:rsidRDefault="00AF1B2B" w:rsidP="001A20C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update the special handling period to 120-days. </w:t>
            </w:r>
          </w:p>
        </w:tc>
        <w:tc>
          <w:tcPr>
            <w:tcW w:w="1346" w:type="pct"/>
            <w:shd w:val="clear" w:color="auto" w:fill="auto"/>
          </w:tcPr>
          <w:p w14:paraId="7CF27369" w14:textId="77777777" w:rsidR="002A1D3E" w:rsidRPr="00C24D50" w:rsidRDefault="00AF1B2B" w:rsidP="002F7397">
            <w:pPr>
              <w:pStyle w:val="TableText"/>
            </w:pPr>
            <w:r>
              <w:t>III.ii.5.H.1.b</w:t>
            </w:r>
          </w:p>
        </w:tc>
      </w:tr>
      <w:tr w:rsidR="002A1D3E" w14:paraId="51040A99" w14:textId="77777777" w:rsidTr="00AF1B2B">
        <w:trPr>
          <w:trHeight w:val="183"/>
        </w:trPr>
        <w:tc>
          <w:tcPr>
            <w:tcW w:w="3654" w:type="pct"/>
            <w:shd w:val="clear" w:color="auto" w:fill="auto"/>
          </w:tcPr>
          <w:p w14:paraId="1BDB9FEE" w14:textId="77777777" w:rsidR="002A1D3E" w:rsidRPr="00C24D50" w:rsidRDefault="00AF1B2B" w:rsidP="00AF1B2B">
            <w:pPr>
              <w:pStyle w:val="TableText"/>
            </w:pPr>
            <w:r>
              <w:t xml:space="preserve">To add guidance on how to permanently transfer paper claims folders during the special-handling period. </w:t>
            </w:r>
          </w:p>
        </w:tc>
        <w:tc>
          <w:tcPr>
            <w:tcW w:w="1346" w:type="pct"/>
            <w:shd w:val="clear" w:color="auto" w:fill="auto"/>
          </w:tcPr>
          <w:p w14:paraId="53933278" w14:textId="77777777" w:rsidR="002A1D3E" w:rsidRPr="00C24D50" w:rsidRDefault="00AF1B2B" w:rsidP="002F7397">
            <w:pPr>
              <w:pStyle w:val="TableText"/>
            </w:pPr>
            <w:r>
              <w:t>III.ii.5.H.1.c</w:t>
            </w:r>
          </w:p>
        </w:tc>
      </w:tr>
      <w:tr w:rsidR="002A1D3E" w14:paraId="32B79EFB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231763BB" w14:textId="4F2772D1" w:rsidR="002A1D3E" w:rsidRPr="00C24D50" w:rsidRDefault="004A31DE" w:rsidP="004A31DE">
            <w:pPr>
              <w:pStyle w:val="TableText"/>
            </w:pPr>
            <w:r>
              <w:t xml:space="preserve">To add guidance </w:t>
            </w:r>
            <w:r w:rsidR="00AE2050">
              <w:t>defin</w:t>
            </w:r>
            <w:r>
              <w:t>ing</w:t>
            </w:r>
            <w:r w:rsidR="00AE2050">
              <w:t xml:space="preserve"> the locations </w:t>
            </w:r>
            <w:r>
              <w:t xml:space="preserve">to which </w:t>
            </w:r>
            <w:r w:rsidR="00AE2050">
              <w:t>a paper claims folder may be</w:t>
            </w:r>
            <w:r w:rsidR="00AF1B2B">
              <w:t xml:space="preserve"> temporarily transfer</w:t>
            </w:r>
            <w:r w:rsidR="00AE2050">
              <w:t>red</w:t>
            </w:r>
            <w:r w:rsidR="00AF1B2B">
              <w:t xml:space="preserve"> during the special-handling period.</w:t>
            </w:r>
          </w:p>
        </w:tc>
        <w:tc>
          <w:tcPr>
            <w:tcW w:w="1346" w:type="pct"/>
            <w:shd w:val="clear" w:color="auto" w:fill="auto"/>
          </w:tcPr>
          <w:p w14:paraId="5359AFBC" w14:textId="77777777" w:rsidR="002A1D3E" w:rsidRPr="00C24D50" w:rsidRDefault="00AF1B2B" w:rsidP="002F7397">
            <w:pPr>
              <w:pStyle w:val="TableText"/>
            </w:pPr>
            <w:r>
              <w:t>III.ii.5.H.1.d</w:t>
            </w:r>
          </w:p>
        </w:tc>
      </w:tr>
      <w:tr w:rsidR="002A1D3E" w:rsidRPr="00050715" w14:paraId="2080011A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495ADB4D" w14:textId="768B0FBC" w:rsidR="002A1D3E" w:rsidRPr="00C27D6A" w:rsidRDefault="00AF1B2B" w:rsidP="00C27D6A">
            <w:pPr>
              <w:pStyle w:val="TableText"/>
            </w:pPr>
            <w:r w:rsidRPr="00C27D6A">
              <w:t xml:space="preserve">To add guidance on how to coordinate a temporary </w:t>
            </w:r>
            <w:r w:rsidR="00C27D6A" w:rsidRPr="00C27D6A">
              <w:t xml:space="preserve">transfer of </w:t>
            </w:r>
            <w:r w:rsidR="00050715" w:rsidRPr="00C27D6A">
              <w:t xml:space="preserve">paper claims folders </w:t>
            </w:r>
            <w:r w:rsidR="00C27D6A" w:rsidRPr="00C27D6A">
              <w:t>for</w:t>
            </w:r>
            <w:r w:rsidR="00050715" w:rsidRPr="00C27D6A">
              <w:t xml:space="preserve"> VA Central Office (VACO</w:t>
            </w:r>
            <w:r w:rsidR="00C27D6A" w:rsidRPr="00C27D6A">
              <w:t>) review</w:t>
            </w:r>
            <w:r w:rsidR="00050715" w:rsidRPr="00C27D6A">
              <w:t xml:space="preserve">. </w:t>
            </w:r>
          </w:p>
        </w:tc>
        <w:tc>
          <w:tcPr>
            <w:tcW w:w="1346" w:type="pct"/>
            <w:shd w:val="clear" w:color="auto" w:fill="auto"/>
          </w:tcPr>
          <w:p w14:paraId="3D9BE3D4" w14:textId="77777777" w:rsidR="002A1D3E" w:rsidRPr="00C27D6A" w:rsidRDefault="00050715" w:rsidP="00933BDB">
            <w:pPr>
              <w:pStyle w:val="TableText"/>
            </w:pPr>
            <w:r w:rsidRPr="00C27D6A">
              <w:t>III.ii.5.H.1.e</w:t>
            </w:r>
          </w:p>
        </w:tc>
      </w:tr>
      <w:tr w:rsidR="002A1D3E" w14:paraId="3FAEF8B6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69B7080D" w14:textId="254C57DB" w:rsidR="002A1D3E" w:rsidRPr="00C24D50" w:rsidRDefault="00050715" w:rsidP="005D1D28">
            <w:pPr>
              <w:pStyle w:val="TableText"/>
            </w:pPr>
            <w:r>
              <w:t xml:space="preserve">To add guidance on </w:t>
            </w:r>
            <w:r w:rsidR="009C7DB5">
              <w:t xml:space="preserve">how to </w:t>
            </w:r>
            <w:r w:rsidR="005D1D28">
              <w:t xml:space="preserve">store </w:t>
            </w:r>
            <w:r w:rsidR="00AE2050">
              <w:t xml:space="preserve">paper claims folders that are </w:t>
            </w:r>
            <w:r>
              <w:t>temporar</w:t>
            </w:r>
            <w:r w:rsidR="00AE2050">
              <w:t>il</w:t>
            </w:r>
            <w:r>
              <w:t>y transfer</w:t>
            </w:r>
            <w:r w:rsidR="00AE2050">
              <w:t>red</w:t>
            </w:r>
            <w:r>
              <w:t xml:space="preserve"> between regional offices (ROs).</w:t>
            </w:r>
          </w:p>
        </w:tc>
        <w:tc>
          <w:tcPr>
            <w:tcW w:w="1346" w:type="pct"/>
            <w:shd w:val="clear" w:color="auto" w:fill="auto"/>
          </w:tcPr>
          <w:p w14:paraId="2DBCD11C" w14:textId="77777777" w:rsidR="002A1D3E" w:rsidRPr="00C24D50" w:rsidRDefault="00050715" w:rsidP="00933BDB">
            <w:pPr>
              <w:pStyle w:val="TableText"/>
            </w:pPr>
            <w:r>
              <w:t>III.ii.5.H.1.f</w:t>
            </w:r>
          </w:p>
        </w:tc>
      </w:tr>
      <w:tr w:rsidR="002A1D3E" w14:paraId="1B6A2FDA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36883A48" w14:textId="6156CE7A" w:rsidR="002A1D3E" w:rsidRPr="00C24D50" w:rsidRDefault="00AE2050" w:rsidP="00933BDB">
            <w:pPr>
              <w:pStyle w:val="TableText"/>
            </w:pPr>
            <w:r>
              <w:t xml:space="preserve">To add guidance on how to </w:t>
            </w:r>
            <w:r w:rsidR="005D1D28">
              <w:t xml:space="preserve">transfer paper claims folders between ROs during the </w:t>
            </w:r>
            <w:r w:rsidR="009C7DB5">
              <w:t>special-</w:t>
            </w:r>
            <w:r w:rsidR="005D1D28">
              <w:t xml:space="preserve">handling period. </w:t>
            </w:r>
          </w:p>
        </w:tc>
        <w:tc>
          <w:tcPr>
            <w:tcW w:w="1346" w:type="pct"/>
            <w:shd w:val="clear" w:color="auto" w:fill="auto"/>
          </w:tcPr>
          <w:p w14:paraId="23309FAB" w14:textId="77777777" w:rsidR="002A1D3E" w:rsidRPr="00C24D50" w:rsidRDefault="005D1D28" w:rsidP="00933BDB">
            <w:pPr>
              <w:pStyle w:val="TableText"/>
            </w:pPr>
            <w:r>
              <w:t xml:space="preserve">III.ii.5.H.1.g </w:t>
            </w:r>
          </w:p>
        </w:tc>
      </w:tr>
      <w:tr w:rsidR="002A1D3E" w14:paraId="6477C8EB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53BA71AC" w14:textId="77777777" w:rsidR="002A1D3E" w:rsidRPr="00C24D50" w:rsidRDefault="005D1D28" w:rsidP="00933BDB">
            <w:pPr>
              <w:pStyle w:val="TableText"/>
            </w:pPr>
            <w:r>
              <w:lastRenderedPageBreak/>
              <w:t xml:space="preserve">To add guidance that discusses the paper claims folders exclusion from quality reviews during the special-handling period. </w:t>
            </w:r>
          </w:p>
        </w:tc>
        <w:tc>
          <w:tcPr>
            <w:tcW w:w="1346" w:type="pct"/>
            <w:shd w:val="clear" w:color="auto" w:fill="auto"/>
          </w:tcPr>
          <w:p w14:paraId="32A7A528" w14:textId="77777777" w:rsidR="002A1D3E" w:rsidRPr="00C24D50" w:rsidRDefault="005D1D28" w:rsidP="00933BDB">
            <w:pPr>
              <w:pStyle w:val="TableText"/>
            </w:pPr>
            <w:r>
              <w:t>III.ii.5.H.1.h</w:t>
            </w:r>
          </w:p>
        </w:tc>
      </w:tr>
      <w:tr w:rsidR="002A1D3E" w14:paraId="3B59813D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6263D3F5" w14:textId="1763E29C" w:rsidR="002A1D3E" w:rsidRDefault="00AE5493" w:rsidP="00AE5493">
            <w:pPr>
              <w:pStyle w:val="TableText"/>
            </w:pPr>
            <w:r>
              <w:t>To add guidance that discusses the Office of General Counsel (OGC)</w:t>
            </w:r>
            <w:r w:rsidRPr="00AE5493">
              <w:t xml:space="preserve"> Professional Staff Group VII (PSG VII) </w:t>
            </w:r>
            <w:r>
              <w:t>responsibility</w:t>
            </w:r>
            <w:r w:rsidRPr="00AE5493">
              <w:t xml:space="preserve"> for litigating appeals that are before the CAVC</w:t>
            </w:r>
            <w:r>
              <w:t xml:space="preserve"> and how PSG VII retrieves paper claims folders that are stored at the RO. </w:t>
            </w:r>
          </w:p>
        </w:tc>
        <w:tc>
          <w:tcPr>
            <w:tcW w:w="1346" w:type="pct"/>
            <w:shd w:val="clear" w:color="auto" w:fill="auto"/>
          </w:tcPr>
          <w:p w14:paraId="2AC7501F" w14:textId="4C24B07B" w:rsidR="002A1D3E" w:rsidRDefault="00AE5493" w:rsidP="00933BDB">
            <w:pPr>
              <w:pStyle w:val="TableText"/>
            </w:pPr>
            <w:r>
              <w:t>III.ii.5.H.2.a</w:t>
            </w:r>
          </w:p>
        </w:tc>
      </w:tr>
      <w:tr w:rsidR="00170807" w14:paraId="534267F8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475158A8" w14:textId="77F0C861" w:rsidR="00170807" w:rsidRDefault="00170807" w:rsidP="00170807">
            <w:pPr>
              <w:pStyle w:val="TableText"/>
            </w:pPr>
            <w:r>
              <w:t>To add guidance that provides the procedures for responding to PSG VII paper claims folder</w:t>
            </w:r>
            <w:r w:rsidR="00C27D6A">
              <w:t>s</w:t>
            </w:r>
            <w:r>
              <w:t xml:space="preserve"> request.  </w:t>
            </w:r>
          </w:p>
        </w:tc>
        <w:tc>
          <w:tcPr>
            <w:tcW w:w="1346" w:type="pct"/>
            <w:shd w:val="clear" w:color="auto" w:fill="auto"/>
          </w:tcPr>
          <w:p w14:paraId="16C30924" w14:textId="6B44369C" w:rsidR="00170807" w:rsidRDefault="00C27D6A" w:rsidP="00933BDB">
            <w:pPr>
              <w:pStyle w:val="TableText"/>
            </w:pPr>
            <w:r>
              <w:t>III.ii.5.H.2.b</w:t>
            </w:r>
          </w:p>
        </w:tc>
      </w:tr>
      <w:tr w:rsidR="00170807" w14:paraId="228B2D77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5E098B8E" w14:textId="4C7B09BA" w:rsidR="00170807" w:rsidRDefault="00C27D6A" w:rsidP="004A31DE">
            <w:pPr>
              <w:pStyle w:val="TableText"/>
            </w:pPr>
            <w:r>
              <w:t xml:space="preserve">To add </w:t>
            </w:r>
            <w:r w:rsidR="009C7DB5">
              <w:t>guidance</w:t>
            </w:r>
            <w:r>
              <w:t xml:space="preserve"> on actions an RO must take when paper claims folders </w:t>
            </w:r>
            <w:r w:rsidR="004A31DE">
              <w:t xml:space="preserve">requested by PSG VII through the Appeals Management Center (AMC) </w:t>
            </w:r>
            <w:r>
              <w:t xml:space="preserve">cannot be located. </w:t>
            </w:r>
          </w:p>
        </w:tc>
        <w:tc>
          <w:tcPr>
            <w:tcW w:w="1346" w:type="pct"/>
            <w:shd w:val="clear" w:color="auto" w:fill="auto"/>
          </w:tcPr>
          <w:p w14:paraId="2F3BC1EB" w14:textId="12770F5E" w:rsidR="00170807" w:rsidRDefault="00C27D6A" w:rsidP="00933BDB">
            <w:pPr>
              <w:pStyle w:val="TableText"/>
            </w:pPr>
            <w:r>
              <w:t>III.ii.5.H.2.c</w:t>
            </w:r>
          </w:p>
        </w:tc>
      </w:tr>
      <w:tr w:rsidR="001A070E" w14:paraId="5097E753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03734F20" w14:textId="143656C5" w:rsidR="001A070E" w:rsidRDefault="001A070E" w:rsidP="00202CB0">
            <w:pPr>
              <w:pStyle w:val="TableText"/>
            </w:pPr>
            <w:r>
              <w:t>To relocate guidance from</w:t>
            </w:r>
            <w:r w:rsidR="00202CB0">
              <w:t xml:space="preserve"> old</w:t>
            </w:r>
            <w:r>
              <w:t xml:space="preserve"> III.ii.5.</w:t>
            </w:r>
            <w:r w:rsidR="00202CB0">
              <w:t>G</w:t>
            </w:r>
            <w:r>
              <w:t>.</w:t>
            </w:r>
            <w:r w:rsidR="00202CB0">
              <w:t>30</w:t>
            </w:r>
            <w:r>
              <w:t>.d discuss</w:t>
            </w:r>
            <w:r w:rsidR="00202CB0">
              <w:t>ing</w:t>
            </w:r>
            <w:r>
              <w:t xml:space="preserve"> handling claims folders after CAVC issues a decision</w:t>
            </w:r>
            <w:r w:rsidR="00202CB0">
              <w:t xml:space="preserve"> </w:t>
            </w:r>
            <w:r>
              <w:t xml:space="preserve">to III.ii.4.I.4.a, which is more appropriate location to discuss handling folders. </w:t>
            </w:r>
          </w:p>
        </w:tc>
        <w:tc>
          <w:tcPr>
            <w:tcW w:w="1346" w:type="pct"/>
            <w:shd w:val="clear" w:color="auto" w:fill="auto"/>
          </w:tcPr>
          <w:p w14:paraId="79AF2E80" w14:textId="15EA55EA" w:rsidR="001A070E" w:rsidRDefault="00202CB0" w:rsidP="00933BDB">
            <w:pPr>
              <w:pStyle w:val="TableText"/>
            </w:pPr>
            <w:r>
              <w:t>III.ii.5.G.30.d (old)</w:t>
            </w:r>
          </w:p>
        </w:tc>
      </w:tr>
      <w:tr w:rsidR="00202CB0" w14:paraId="45A3B5E5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1EA003F6" w14:textId="4E5DDF07" w:rsidR="00202CB0" w:rsidRDefault="00202CB0" w:rsidP="00202CB0">
            <w:pPr>
              <w:pStyle w:val="TableText"/>
            </w:pPr>
            <w:r>
              <w:t>To create new Topic 3 providing guidance on procedures after receipt of a final CAVC decision on a pending appeal.</w:t>
            </w:r>
          </w:p>
        </w:tc>
        <w:tc>
          <w:tcPr>
            <w:tcW w:w="1346" w:type="pct"/>
            <w:shd w:val="clear" w:color="auto" w:fill="auto"/>
          </w:tcPr>
          <w:p w14:paraId="7BC4BD6B" w14:textId="0241EE55" w:rsidR="00202CB0" w:rsidRDefault="00202CB0" w:rsidP="00933BDB">
            <w:pPr>
              <w:pStyle w:val="TableText"/>
            </w:pPr>
            <w:r>
              <w:t>III.ii.5.H.3</w:t>
            </w:r>
          </w:p>
        </w:tc>
      </w:tr>
      <w:tr w:rsidR="00170807" w14:paraId="58DAC7EE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3C8630A1" w14:textId="0A30E10A" w:rsidR="00170807" w:rsidRDefault="009C7DB5" w:rsidP="003D4333">
            <w:r>
              <w:t>To add</w:t>
            </w:r>
            <w:r w:rsidR="001A20C9">
              <w:t xml:space="preserve"> guidance that discusses the possible scenarios after CAVC renders a final decision. </w:t>
            </w:r>
          </w:p>
        </w:tc>
        <w:tc>
          <w:tcPr>
            <w:tcW w:w="1346" w:type="pct"/>
            <w:shd w:val="clear" w:color="auto" w:fill="auto"/>
          </w:tcPr>
          <w:p w14:paraId="03045919" w14:textId="231B0FAF" w:rsidR="00170807" w:rsidRDefault="001A20C9" w:rsidP="00933BDB">
            <w:pPr>
              <w:pStyle w:val="TableText"/>
            </w:pPr>
            <w:r>
              <w:t>III.ii.5.H.3.a</w:t>
            </w:r>
          </w:p>
        </w:tc>
      </w:tr>
      <w:tr w:rsidR="00170807" w14:paraId="1B29352D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4127E2B4" w14:textId="6D87CA24" w:rsidR="00170807" w:rsidRDefault="001A20C9" w:rsidP="003D4333">
            <w:pPr>
              <w:pStyle w:val="TableText"/>
            </w:pPr>
            <w:r>
              <w:t>To add guidance that discusses the proce</w:t>
            </w:r>
            <w:r w:rsidR="003D4333">
              <w:t>dures</w:t>
            </w:r>
            <w:r>
              <w:t xml:space="preserve"> upon CAVC’s completion of the appellate process. </w:t>
            </w:r>
          </w:p>
        </w:tc>
        <w:tc>
          <w:tcPr>
            <w:tcW w:w="1346" w:type="pct"/>
            <w:shd w:val="clear" w:color="auto" w:fill="auto"/>
          </w:tcPr>
          <w:p w14:paraId="3230F4B9" w14:textId="2E4FAD95" w:rsidR="00170807" w:rsidRDefault="001A20C9" w:rsidP="00933BDB">
            <w:pPr>
              <w:pStyle w:val="TableText"/>
            </w:pPr>
            <w:r>
              <w:t>III.ii.5.H.3.b</w:t>
            </w:r>
          </w:p>
        </w:tc>
      </w:tr>
      <w:tr w:rsidR="00170807" w14:paraId="2B1C3274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2D6CD9C4" w14:textId="41C303D2" w:rsidR="00170807" w:rsidRDefault="001A20C9" w:rsidP="00AE5493">
            <w:pPr>
              <w:pStyle w:val="TableText"/>
            </w:pPr>
            <w:r>
              <w:t xml:space="preserve">To add guidance that discusses the process when CAVC issues a remand on the appellate issue(s). </w:t>
            </w:r>
          </w:p>
        </w:tc>
        <w:tc>
          <w:tcPr>
            <w:tcW w:w="1346" w:type="pct"/>
            <w:shd w:val="clear" w:color="auto" w:fill="auto"/>
          </w:tcPr>
          <w:p w14:paraId="43EB0B45" w14:textId="5050F601" w:rsidR="00170807" w:rsidRDefault="001A20C9" w:rsidP="00933BDB">
            <w:pPr>
              <w:pStyle w:val="TableText"/>
            </w:pPr>
            <w:r>
              <w:t>III.ii.5.H.3.c</w:t>
            </w:r>
          </w:p>
        </w:tc>
      </w:tr>
      <w:tr w:rsidR="00170807" w14:paraId="7D2DFB7E" w14:textId="77777777" w:rsidTr="00AF1B2B">
        <w:trPr>
          <w:trHeight w:val="180"/>
        </w:trPr>
        <w:tc>
          <w:tcPr>
            <w:tcW w:w="3654" w:type="pct"/>
            <w:shd w:val="clear" w:color="auto" w:fill="auto"/>
          </w:tcPr>
          <w:p w14:paraId="7F821219" w14:textId="34669296" w:rsidR="00170807" w:rsidRDefault="001A20C9" w:rsidP="00AE5493">
            <w:pPr>
              <w:pStyle w:val="TableText"/>
            </w:pPr>
            <w:r>
              <w:t>To</w:t>
            </w:r>
            <w:r w:rsidR="008928DF">
              <w:t xml:space="preserve"> add </w:t>
            </w:r>
            <w:r w:rsidR="009C7DB5">
              <w:t>guidance</w:t>
            </w:r>
            <w:r w:rsidR="008928DF">
              <w:t xml:space="preserve"> that discusses PSG VII process when CAVC has taken final action before a first dispositive pleading has been filed. </w:t>
            </w:r>
          </w:p>
        </w:tc>
        <w:tc>
          <w:tcPr>
            <w:tcW w:w="1346" w:type="pct"/>
            <w:shd w:val="clear" w:color="auto" w:fill="auto"/>
          </w:tcPr>
          <w:p w14:paraId="3BFD3D85" w14:textId="28A34ABC" w:rsidR="00170807" w:rsidRDefault="008928DF" w:rsidP="00933BDB">
            <w:pPr>
              <w:pStyle w:val="TableText"/>
            </w:pPr>
            <w:r>
              <w:t>III.ii.5.H.3.d</w:t>
            </w:r>
          </w:p>
        </w:tc>
      </w:tr>
    </w:tbl>
    <w:p w14:paraId="73BFE20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309F5A9" w14:textId="77777777" w:rsidTr="00237C22">
        <w:tc>
          <w:tcPr>
            <w:tcW w:w="1728" w:type="dxa"/>
          </w:tcPr>
          <w:p w14:paraId="234F94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F01619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222E6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D03A32E" w14:textId="77777777" w:rsidTr="00237C22">
        <w:tc>
          <w:tcPr>
            <w:tcW w:w="1728" w:type="dxa"/>
          </w:tcPr>
          <w:p w14:paraId="5A5A453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41DF9C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F97E06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DE37AA" w14:textId="77777777" w:rsidTr="00237C22">
        <w:tc>
          <w:tcPr>
            <w:tcW w:w="1728" w:type="dxa"/>
          </w:tcPr>
          <w:p w14:paraId="7089585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00FCC6A" w14:textId="77777777" w:rsidR="00504F80" w:rsidRPr="00B4163A" w:rsidRDefault="00504F80" w:rsidP="00237C22">
            <w:pPr>
              <w:pStyle w:val="BlockText"/>
            </w:pPr>
          </w:p>
          <w:p w14:paraId="5921D63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22523A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5D48AD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90A470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7C7A81C" w14:textId="77777777" w:rsidTr="00237C22">
        <w:tc>
          <w:tcPr>
            <w:tcW w:w="1728" w:type="dxa"/>
          </w:tcPr>
          <w:p w14:paraId="7A53C25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A52710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189106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2478EF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6520" w14:textId="77777777" w:rsidR="000B5038" w:rsidRDefault="000B5038" w:rsidP="00C765C7">
      <w:r>
        <w:separator/>
      </w:r>
    </w:p>
  </w:endnote>
  <w:endnote w:type="continuationSeparator" w:id="0">
    <w:p w14:paraId="1EC2CC05" w14:textId="77777777" w:rsidR="000B5038" w:rsidRDefault="000B503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A8C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1818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E16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7A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70ED76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9F7A" w14:textId="77777777" w:rsidR="000B5038" w:rsidRDefault="000B5038" w:rsidP="00C765C7">
      <w:r>
        <w:separator/>
      </w:r>
    </w:p>
  </w:footnote>
  <w:footnote w:type="continuationSeparator" w:id="0">
    <w:p w14:paraId="6402786F" w14:textId="77777777" w:rsidR="000B5038" w:rsidRDefault="000B503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347D86"/>
    <w:multiLevelType w:val="hybridMultilevel"/>
    <w:tmpl w:val="7F52E02E"/>
    <w:lvl w:ilvl="0" w:tplc="42B0D4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4429"/>
    <w:multiLevelType w:val="hybridMultilevel"/>
    <w:tmpl w:val="206E82C4"/>
    <w:lvl w:ilvl="0" w:tplc="42B0D4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3D74"/>
    <w:rsid w:val="00050715"/>
    <w:rsid w:val="00093228"/>
    <w:rsid w:val="000A7776"/>
    <w:rsid w:val="000B5038"/>
    <w:rsid w:val="000E320F"/>
    <w:rsid w:val="000F449B"/>
    <w:rsid w:val="00100433"/>
    <w:rsid w:val="0010215F"/>
    <w:rsid w:val="00106EEF"/>
    <w:rsid w:val="00120103"/>
    <w:rsid w:val="00123973"/>
    <w:rsid w:val="001253ED"/>
    <w:rsid w:val="00170807"/>
    <w:rsid w:val="00186D46"/>
    <w:rsid w:val="0019370C"/>
    <w:rsid w:val="001A070E"/>
    <w:rsid w:val="001A20C9"/>
    <w:rsid w:val="001C3AE3"/>
    <w:rsid w:val="001C3EB5"/>
    <w:rsid w:val="00202CB0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4851"/>
    <w:rsid w:val="002F5B21"/>
    <w:rsid w:val="002F7397"/>
    <w:rsid w:val="00332B80"/>
    <w:rsid w:val="00341981"/>
    <w:rsid w:val="00366D36"/>
    <w:rsid w:val="00386999"/>
    <w:rsid w:val="003B2927"/>
    <w:rsid w:val="003D433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31DE"/>
    <w:rsid w:val="004F375E"/>
    <w:rsid w:val="00504F80"/>
    <w:rsid w:val="00506485"/>
    <w:rsid w:val="00513DA7"/>
    <w:rsid w:val="00516C82"/>
    <w:rsid w:val="005238CB"/>
    <w:rsid w:val="00526F0E"/>
    <w:rsid w:val="00594258"/>
    <w:rsid w:val="005D1D2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07AC"/>
    <w:rsid w:val="007A0C5F"/>
    <w:rsid w:val="007D5B97"/>
    <w:rsid w:val="007E5515"/>
    <w:rsid w:val="0080590C"/>
    <w:rsid w:val="008144E7"/>
    <w:rsid w:val="00822A16"/>
    <w:rsid w:val="0086094C"/>
    <w:rsid w:val="0086475B"/>
    <w:rsid w:val="00875AFA"/>
    <w:rsid w:val="0088609E"/>
    <w:rsid w:val="008928DF"/>
    <w:rsid w:val="008B4CB5"/>
    <w:rsid w:val="008B67D1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A3A"/>
    <w:rsid w:val="00933BDB"/>
    <w:rsid w:val="0094286C"/>
    <w:rsid w:val="00945950"/>
    <w:rsid w:val="009769CD"/>
    <w:rsid w:val="00997D98"/>
    <w:rsid w:val="009B385B"/>
    <w:rsid w:val="009C22C8"/>
    <w:rsid w:val="009C7DB5"/>
    <w:rsid w:val="009E6E1A"/>
    <w:rsid w:val="00A2703B"/>
    <w:rsid w:val="00A315CB"/>
    <w:rsid w:val="00A3579D"/>
    <w:rsid w:val="00A55356"/>
    <w:rsid w:val="00A557BB"/>
    <w:rsid w:val="00A7040B"/>
    <w:rsid w:val="00A717A5"/>
    <w:rsid w:val="00A8520D"/>
    <w:rsid w:val="00AC2993"/>
    <w:rsid w:val="00AD0EDC"/>
    <w:rsid w:val="00AE2050"/>
    <w:rsid w:val="00AE5493"/>
    <w:rsid w:val="00AF1B2B"/>
    <w:rsid w:val="00AF2CD6"/>
    <w:rsid w:val="00B0548B"/>
    <w:rsid w:val="00B30D2F"/>
    <w:rsid w:val="00B50AD7"/>
    <w:rsid w:val="00B64F2F"/>
    <w:rsid w:val="00B918E6"/>
    <w:rsid w:val="00B93A3C"/>
    <w:rsid w:val="00B96287"/>
    <w:rsid w:val="00BB3345"/>
    <w:rsid w:val="00BF7FE3"/>
    <w:rsid w:val="00C0404B"/>
    <w:rsid w:val="00C24D50"/>
    <w:rsid w:val="00C273AD"/>
    <w:rsid w:val="00C27D6A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2B17"/>
    <w:rsid w:val="00DA11C2"/>
    <w:rsid w:val="00DB074F"/>
    <w:rsid w:val="00DB2902"/>
    <w:rsid w:val="00DB743E"/>
    <w:rsid w:val="00DE0E35"/>
    <w:rsid w:val="00DF44AC"/>
    <w:rsid w:val="00E121C8"/>
    <w:rsid w:val="00E2529E"/>
    <w:rsid w:val="00E25984"/>
    <w:rsid w:val="00E36906"/>
    <w:rsid w:val="00E45F59"/>
    <w:rsid w:val="00E648E9"/>
    <w:rsid w:val="00E70994"/>
    <w:rsid w:val="00E964FD"/>
    <w:rsid w:val="00ED4D5E"/>
    <w:rsid w:val="00ED71C8"/>
    <w:rsid w:val="00F006B2"/>
    <w:rsid w:val="00F160A6"/>
    <w:rsid w:val="00F43DFA"/>
    <w:rsid w:val="00F87670"/>
    <w:rsid w:val="00F87F72"/>
    <w:rsid w:val="00F90609"/>
    <w:rsid w:val="00FB6AD1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57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A2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A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515504-7776-4B45-BCE3-B794F91C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132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21</cp:revision>
  <dcterms:created xsi:type="dcterms:W3CDTF">2015-07-08T21:39:00Z</dcterms:created>
  <dcterms:modified xsi:type="dcterms:W3CDTF">2015-07-14T15:16:00Z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