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63E4226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57C64ADF" w14:textId="10D6916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</w:t>
      </w:r>
      <w:r w:rsidR="00127ADD">
        <w:rPr>
          <w:b/>
          <w:bCs/>
          <w:sz w:val="20"/>
        </w:rPr>
        <w:t>July 30,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5C833EB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B20CD4">
              <w:t>Initial Screening and Determining Veterans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BF6CB46" w14:textId="2DDA13E1" w:rsidR="00E67135" w:rsidRDefault="00E67135" w:rsidP="00237C2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6300A2" w14:paraId="27E652BA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230BBEAD" w14:textId="6D8E6AE9" w:rsidR="006300A2" w:rsidRDefault="006300A2" w:rsidP="002F7397">
            <w:pPr>
              <w:pStyle w:val="TableText"/>
            </w:pPr>
            <w:r>
              <w:t>To rename Section F, “Temporary Transfer of Claims Folders.”</w:t>
            </w:r>
          </w:p>
        </w:tc>
        <w:tc>
          <w:tcPr>
            <w:tcW w:w="1250" w:type="pct"/>
            <w:shd w:val="clear" w:color="auto" w:fill="auto"/>
          </w:tcPr>
          <w:p w14:paraId="149EB72F" w14:textId="6D511876" w:rsidR="006300A2" w:rsidRDefault="006300A2" w:rsidP="002F7397">
            <w:pPr>
              <w:pStyle w:val="TableText"/>
            </w:pPr>
            <w:r>
              <w:t>M21-1, Part III, Subpart ii, Chapter 5, Section F (III.ii.5.F)</w:t>
            </w:r>
          </w:p>
        </w:tc>
      </w:tr>
      <w:tr w:rsidR="002A1D3E" w14:paraId="57C64AFE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1B8E63BE" w:rsidR="002A1D3E" w:rsidRPr="00C24D50" w:rsidRDefault="00B20CD4" w:rsidP="002F7397">
            <w:pPr>
              <w:pStyle w:val="TableText"/>
            </w:pPr>
            <w:r>
              <w:t>To provide information on jurisdiction in a temporary transfer based on the transferring office as the station of origination (SOO) and the receiving office as the station of jurisdiction (SOJ).</w:t>
            </w:r>
          </w:p>
        </w:tc>
        <w:tc>
          <w:tcPr>
            <w:tcW w:w="1250" w:type="pct"/>
            <w:shd w:val="clear" w:color="auto" w:fill="auto"/>
          </w:tcPr>
          <w:p w14:paraId="57C64AFC" w14:textId="12ADF375" w:rsidR="00B20CD4" w:rsidRPr="00C24D50" w:rsidRDefault="006300A2" w:rsidP="002F7397">
            <w:pPr>
              <w:pStyle w:val="TableText"/>
            </w:pPr>
            <w:r>
              <w:t>III.ii.5.F.1.b</w:t>
            </w:r>
          </w:p>
        </w:tc>
      </w:tr>
      <w:tr w:rsidR="002A1D3E" w14:paraId="57C64B02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633EE430" w:rsidR="002A1D3E" w:rsidRPr="00C24D50" w:rsidRDefault="006300A2" w:rsidP="006300A2">
            <w:pPr>
              <w:pStyle w:val="TableText"/>
            </w:pPr>
            <w:r>
              <w:t>To delete</w:t>
            </w:r>
            <w:r w:rsidR="00B20CD4">
              <w:t xml:space="preserve"> old Block f on follow ups as this </w:t>
            </w:r>
            <w:r>
              <w:t>is repetitive of new Block f regarding maintaining control of paper claims folders temporarily transferred out.</w:t>
            </w:r>
          </w:p>
        </w:tc>
        <w:tc>
          <w:tcPr>
            <w:tcW w:w="1250" w:type="pct"/>
            <w:shd w:val="clear" w:color="auto" w:fill="auto"/>
          </w:tcPr>
          <w:p w14:paraId="57C64B00" w14:textId="7EC4E9FD" w:rsidR="002A1D3E" w:rsidRPr="00C24D50" w:rsidRDefault="00B20CD4" w:rsidP="002F7397">
            <w:pPr>
              <w:pStyle w:val="TableText"/>
            </w:pPr>
            <w:r>
              <w:t>III.ii.5.F.1.f</w:t>
            </w:r>
            <w:r w:rsidR="006300A2">
              <w:t xml:space="preserve"> (old)</w:t>
            </w:r>
          </w:p>
        </w:tc>
      </w:tr>
      <w:tr w:rsidR="002A1D3E" w14:paraId="57C64B06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7C64B03" w14:textId="13BF0344" w:rsidR="00B20CD4" w:rsidRPr="00C24D50" w:rsidRDefault="00B20CD4" w:rsidP="00194773">
            <w:r>
              <w:t xml:space="preserve">To relocate guidance </w:t>
            </w:r>
            <w:r w:rsidR="00194773">
              <w:t>from old Blocks 26.b and c regarding</w:t>
            </w:r>
            <w:r>
              <w:t xml:space="preserve"> actions to take when paper claims folders are temporarily transferred to Central Office (CO) for admini</w:t>
            </w:r>
            <w:r w:rsidR="00194773">
              <w:t>strative or other consideration.</w:t>
            </w:r>
          </w:p>
        </w:tc>
        <w:tc>
          <w:tcPr>
            <w:tcW w:w="1250" w:type="pct"/>
            <w:shd w:val="clear" w:color="auto" w:fill="auto"/>
          </w:tcPr>
          <w:p w14:paraId="57C64B04" w14:textId="17C65606" w:rsidR="002A1D3E" w:rsidRPr="00C24D50" w:rsidRDefault="00B20CD4" w:rsidP="002F7397">
            <w:pPr>
              <w:pStyle w:val="TableText"/>
            </w:pPr>
            <w:r>
              <w:t>III.ii.5.F.1.h</w:t>
            </w:r>
          </w:p>
        </w:tc>
      </w:tr>
      <w:tr w:rsidR="002A1D3E" w14:paraId="57C64B0A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7C64B07" w14:textId="33BF1476" w:rsidR="002A1D3E" w:rsidRPr="00C24D50" w:rsidRDefault="00194773" w:rsidP="002F7397">
            <w:pPr>
              <w:pStyle w:val="TableText"/>
            </w:pPr>
            <w:r>
              <w:t>To rename Topic 2, “Mail Received During a Temporary Transfer.”</w:t>
            </w:r>
          </w:p>
        </w:tc>
        <w:tc>
          <w:tcPr>
            <w:tcW w:w="1250" w:type="pct"/>
            <w:shd w:val="clear" w:color="auto" w:fill="auto"/>
          </w:tcPr>
          <w:p w14:paraId="57C64B08" w14:textId="25129A75" w:rsidR="002A1D3E" w:rsidRPr="00C24D50" w:rsidRDefault="004B73AB" w:rsidP="002F7397">
            <w:pPr>
              <w:pStyle w:val="TableText"/>
            </w:pPr>
            <w:r>
              <w:t>III.ii.5.F.2</w:t>
            </w:r>
          </w:p>
        </w:tc>
      </w:tr>
      <w:tr w:rsidR="002A1D3E" w14:paraId="57C64B0E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7C64B0B" w14:textId="4BB99E84" w:rsidR="00717AE9" w:rsidRPr="00C24D50" w:rsidRDefault="00717AE9" w:rsidP="004B73AB">
            <w:r>
              <w:t xml:space="preserve">To </w:t>
            </w:r>
            <w:r w:rsidR="00571BCA">
              <w:t>delete</w:t>
            </w:r>
            <w:r w:rsidR="004B73AB">
              <w:t xml:space="preserve"> step/action table</w:t>
            </w:r>
            <w:r w:rsidR="00DB1122">
              <w:t xml:space="preserve"> discussing the use of obsolete </w:t>
            </w:r>
            <w:r w:rsidR="00DB1122" w:rsidRPr="00DB1122">
              <w:rPr>
                <w:i/>
              </w:rPr>
              <w:t>VA Form 70-3029, Transfer of Veteran’s Miscellaneous Records</w:t>
            </w:r>
            <w:r w:rsidR="00DB1122">
              <w:t>,</w:t>
            </w:r>
            <w:r w:rsidR="004B73AB">
              <w:t xml:space="preserve"> and replace with </w:t>
            </w:r>
            <w:r>
              <w:t xml:space="preserve">if/then table on actions to take upon receipt of claims or evidence for </w:t>
            </w:r>
            <w:r>
              <w:lastRenderedPageBreak/>
              <w:t>paper claims folder</w:t>
            </w:r>
            <w:r w:rsidR="004B73AB">
              <w:t>s</w:t>
            </w:r>
            <w:r>
              <w:t xml:space="preserve"> that ha</w:t>
            </w:r>
            <w:r w:rsidR="004B73AB">
              <w:t>ve</w:t>
            </w:r>
            <w:r>
              <w:t xml:space="preserve"> been temporarily transferred </w:t>
            </w:r>
            <w:r w:rsidR="004B73AB">
              <w:t>out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7C64B0C" w14:textId="0969C345" w:rsidR="002A1D3E" w:rsidRPr="00C24D50" w:rsidRDefault="00717AE9" w:rsidP="00933BDB">
            <w:pPr>
              <w:pStyle w:val="TableText"/>
            </w:pPr>
            <w:r>
              <w:lastRenderedPageBreak/>
              <w:t>III.ii.5.F.2.a</w:t>
            </w:r>
          </w:p>
        </w:tc>
      </w:tr>
      <w:tr w:rsidR="002A1D3E" w14:paraId="57C64B12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23C7C7E9" w14:textId="68FBC697" w:rsidR="00717AE9" w:rsidRDefault="00717AE9" w:rsidP="00717AE9">
            <w:pPr>
              <w:numPr>
                <w:ilvl w:val="0"/>
                <w:numId w:val="15"/>
              </w:numPr>
              <w:ind w:left="158" w:hanging="187"/>
            </w:pPr>
            <w:r>
              <w:lastRenderedPageBreak/>
              <w:t>To provide guidance that when a claim is completely electronic only the claim is transferred to the SOJ in a temporary transfer and that the SOO retains jurisdiction of the eFolder.</w:t>
            </w:r>
          </w:p>
          <w:p w14:paraId="1E3E7D6A" w14:textId="7E2ED616" w:rsidR="00717AE9" w:rsidRDefault="00717AE9" w:rsidP="00717AE9">
            <w:pPr>
              <w:numPr>
                <w:ilvl w:val="0"/>
                <w:numId w:val="16"/>
              </w:numPr>
              <w:ind w:left="158" w:hanging="187"/>
            </w:pPr>
            <w:r>
              <w:t xml:space="preserve">To </w:t>
            </w:r>
            <w:r w:rsidR="004B73AB">
              <w:t xml:space="preserve">delete obsolete </w:t>
            </w:r>
            <w:r>
              <w:t xml:space="preserve">if/then table </w:t>
            </w:r>
            <w:r w:rsidR="004B73AB">
              <w:t xml:space="preserve">with instructions for creating temporary folders and provide new table </w:t>
            </w:r>
            <w:r>
              <w:t xml:space="preserve">with </w:t>
            </w:r>
            <w:r w:rsidR="004B73AB">
              <w:t xml:space="preserve">updated </w:t>
            </w:r>
            <w:r>
              <w:t>guidance on action to take upon receipt of claims or evidence when an electronic claim has been temporarily transferred to another RO.</w:t>
            </w:r>
          </w:p>
          <w:p w14:paraId="57C64B0F" w14:textId="3086792C" w:rsidR="00717AE9" w:rsidRPr="00C24D50" w:rsidRDefault="00717AE9" w:rsidP="004B73AB">
            <w:pPr>
              <w:numPr>
                <w:ilvl w:val="0"/>
                <w:numId w:val="17"/>
              </w:numPr>
              <w:ind w:left="158" w:hanging="187"/>
            </w:pPr>
            <w:r>
              <w:t>To add cross-reference for more information on the procedures for mail management to III.ii.1.B and procedures for centralized mail intake to III.ii.1.E.</w:t>
            </w:r>
          </w:p>
        </w:tc>
        <w:tc>
          <w:tcPr>
            <w:tcW w:w="1250" w:type="pct"/>
            <w:shd w:val="clear" w:color="auto" w:fill="auto"/>
          </w:tcPr>
          <w:p w14:paraId="57C64B10" w14:textId="3C6FC233" w:rsidR="002A1D3E" w:rsidRPr="00C24D50" w:rsidRDefault="00717AE9" w:rsidP="00933BDB">
            <w:pPr>
              <w:pStyle w:val="TableText"/>
            </w:pPr>
            <w:r>
              <w:t>III.ii.5.F.2.b</w:t>
            </w:r>
          </w:p>
        </w:tc>
      </w:tr>
      <w:tr w:rsidR="002A1D3E" w14:paraId="57C64B16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7C64B13" w14:textId="5A737E0E" w:rsidR="002A1D3E" w:rsidRPr="00C24D50" w:rsidRDefault="004B73AB" w:rsidP="00571BCA">
            <w:pPr>
              <w:pStyle w:val="TableText"/>
            </w:pPr>
            <w:r>
              <w:t>To delete</w:t>
            </w:r>
            <w:r w:rsidR="00717AE9">
              <w:t xml:space="preserve"> old Block c discussing evidence related to an issue before </w:t>
            </w:r>
            <w:r>
              <w:t xml:space="preserve">the </w:t>
            </w:r>
            <w:r w:rsidR="00717AE9">
              <w:t>Board of Veterans</w:t>
            </w:r>
            <w:r>
              <w:t>’</w:t>
            </w:r>
            <w:r w:rsidR="00717AE9">
              <w:t xml:space="preserve"> Appeals (BVA) as this </w:t>
            </w:r>
            <w:r w:rsidR="00571BCA">
              <w:t>is</w:t>
            </w:r>
            <w:r w:rsidR="00717AE9">
              <w:t xml:space="preserve"> duplicate </w:t>
            </w:r>
            <w:r w:rsidR="00571BCA">
              <w:t>information of</w:t>
            </w:r>
            <w:r w:rsidR="00717AE9">
              <w:t xml:space="preserve"> I.5.F.6.</w:t>
            </w:r>
          </w:p>
        </w:tc>
        <w:tc>
          <w:tcPr>
            <w:tcW w:w="1250" w:type="pct"/>
            <w:shd w:val="clear" w:color="auto" w:fill="auto"/>
          </w:tcPr>
          <w:p w14:paraId="57C64B14" w14:textId="00FBBEAF" w:rsidR="002A1D3E" w:rsidRPr="00C24D50" w:rsidRDefault="00717AE9" w:rsidP="00933BDB">
            <w:pPr>
              <w:pStyle w:val="TableText"/>
            </w:pPr>
            <w:r>
              <w:t>III.ii.5.F.2.c</w:t>
            </w:r>
            <w:r w:rsidR="00DB1122">
              <w:t xml:space="preserve"> (old)</w:t>
            </w:r>
          </w:p>
        </w:tc>
      </w:tr>
      <w:tr w:rsidR="002A1D3E" w14:paraId="57C64B1A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7C64B17" w14:textId="4F0385DD" w:rsidR="002A1D3E" w:rsidRPr="00C24D50" w:rsidRDefault="00DB1122" w:rsidP="00DB1122">
            <w:pPr>
              <w:pStyle w:val="TableText"/>
            </w:pPr>
            <w:r>
              <w:t>To delete</w:t>
            </w:r>
            <w:r w:rsidR="00717AE9">
              <w:t xml:space="preserve"> old Topic 25 </w:t>
            </w:r>
            <w:r>
              <w:t>regarding</w:t>
            </w:r>
            <w:r w:rsidR="00717AE9">
              <w:t xml:space="preserve"> changes of address and requests for hearing or a change of representative as this is duplicate information of I.5.F.6. </w:t>
            </w:r>
          </w:p>
        </w:tc>
        <w:tc>
          <w:tcPr>
            <w:tcW w:w="1250" w:type="pct"/>
            <w:shd w:val="clear" w:color="auto" w:fill="auto"/>
          </w:tcPr>
          <w:p w14:paraId="57C64B18" w14:textId="553361B3" w:rsidR="002A1D3E" w:rsidRPr="00C24D50" w:rsidRDefault="00717AE9" w:rsidP="00933BDB">
            <w:pPr>
              <w:pStyle w:val="TableText"/>
            </w:pPr>
            <w:r>
              <w:t>III.ii.5.F.25</w:t>
            </w:r>
            <w:r w:rsidR="00DB1122">
              <w:t xml:space="preserve"> (old)</w:t>
            </w:r>
          </w:p>
        </w:tc>
      </w:tr>
      <w:tr w:rsidR="002A1D3E" w14:paraId="57C64B1E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7C64B1B" w14:textId="199E6180" w:rsidR="002A1D3E" w:rsidRDefault="00DB1122" w:rsidP="00571BCA">
            <w:pPr>
              <w:pStyle w:val="TableText"/>
            </w:pPr>
            <w:r>
              <w:t>To delete</w:t>
            </w:r>
            <w:r w:rsidR="00717AE9">
              <w:t xml:space="preserve"> old Topic 26 </w:t>
            </w:r>
            <w:r>
              <w:t>regarding</w:t>
            </w:r>
            <w:r w:rsidR="00717AE9">
              <w:t xml:space="preserve"> temporary transfer to CO</w:t>
            </w:r>
            <w:r w:rsidR="00571BCA">
              <w:t xml:space="preserve"> </w:t>
            </w:r>
            <w:r w:rsidR="003C4074">
              <w:t xml:space="preserve">as </w:t>
            </w:r>
            <w:r>
              <w:t xml:space="preserve">this is </w:t>
            </w:r>
            <w:r w:rsidR="003C4074">
              <w:t xml:space="preserve">duplicate information </w:t>
            </w:r>
            <w:r>
              <w:t>of</w:t>
            </w:r>
            <w:r w:rsidR="003C4074">
              <w:t xml:space="preserve"> III.vi.1.A, I.5.F, and IV.ii.2.F.</w:t>
            </w:r>
          </w:p>
        </w:tc>
        <w:tc>
          <w:tcPr>
            <w:tcW w:w="1250" w:type="pct"/>
            <w:shd w:val="clear" w:color="auto" w:fill="auto"/>
          </w:tcPr>
          <w:p w14:paraId="57C64B1C" w14:textId="116951F5" w:rsidR="002A1D3E" w:rsidRDefault="00717AE9" w:rsidP="00933BDB">
            <w:pPr>
              <w:pStyle w:val="TableText"/>
            </w:pPr>
            <w:r>
              <w:t>III.ii.5.F.26</w:t>
            </w:r>
            <w:r w:rsidR="00DB1122">
              <w:t xml:space="preserve"> (old)</w:t>
            </w:r>
          </w:p>
        </w:tc>
      </w:tr>
      <w:tr w:rsidR="003C4074" w14:paraId="09CE4F89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23C7DDD0" w14:textId="06F4C42B" w:rsidR="003C4074" w:rsidRPr="003C4074" w:rsidRDefault="003C4074" w:rsidP="00933BDB">
            <w:pPr>
              <w:pStyle w:val="TableText"/>
            </w:pPr>
            <w:r>
              <w:t xml:space="preserve">To provide additional information in the table to include guidance on appending the corporate flash, a cross-reference to the </w:t>
            </w:r>
            <w:r>
              <w:rPr>
                <w:i/>
              </w:rPr>
              <w:t>Share User’s Guide</w:t>
            </w:r>
            <w:r>
              <w:t>, and guidance to use Station 101 for transfers to CO, BVA, or Office of General Counsel (OGC).</w:t>
            </w:r>
          </w:p>
        </w:tc>
        <w:tc>
          <w:tcPr>
            <w:tcW w:w="1250" w:type="pct"/>
            <w:shd w:val="clear" w:color="auto" w:fill="auto"/>
          </w:tcPr>
          <w:p w14:paraId="4595403D" w14:textId="5AE6054A" w:rsidR="003C4074" w:rsidRDefault="003C4074" w:rsidP="00933BDB">
            <w:pPr>
              <w:pStyle w:val="TableText"/>
            </w:pPr>
            <w:r>
              <w:t>III.ii.5.F.3.a</w:t>
            </w:r>
          </w:p>
        </w:tc>
      </w:tr>
      <w:tr w:rsidR="00DB1122" w14:paraId="41082A93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17571707" w14:textId="0BE77029" w:rsidR="00DB1122" w:rsidRDefault="00DB1122" w:rsidP="00DB1122">
            <w:pPr>
              <w:pStyle w:val="TableText"/>
            </w:pPr>
            <w:r>
              <w:t>To add an if/then table with guidance for including Department of Justice (DoJ) files with the claims folder.</w:t>
            </w:r>
          </w:p>
        </w:tc>
        <w:tc>
          <w:tcPr>
            <w:tcW w:w="1250" w:type="pct"/>
            <w:shd w:val="clear" w:color="auto" w:fill="auto"/>
          </w:tcPr>
          <w:p w14:paraId="031B152E" w14:textId="12AF51E3" w:rsidR="00DB1122" w:rsidRDefault="00DB1122" w:rsidP="00933BDB">
            <w:pPr>
              <w:pStyle w:val="TableText"/>
            </w:pPr>
            <w:r>
              <w:t>III.ii.5.F.3.c</w:t>
            </w:r>
          </w:p>
        </w:tc>
      </w:tr>
      <w:tr w:rsidR="00DB1122" w14:paraId="2F7F3BB8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6CAEA679" w14:textId="05CB1E57" w:rsidR="00DB1122" w:rsidRDefault="00DB1122" w:rsidP="00DB1122">
            <w:pPr>
              <w:pStyle w:val="TableText"/>
            </w:pPr>
            <w:r>
              <w:t xml:space="preserve">To delete text regarding the use of obsolete </w:t>
            </w:r>
            <w:r w:rsidRPr="00571BCA">
              <w:rPr>
                <w:i/>
              </w:rPr>
              <w:t>VA Form 70-7216a, Request for and/or Notice of Transfer of Veterans Records</w:t>
            </w:r>
            <w:r w:rsidR="00411A3F">
              <w:t>, and replace with guidance for recording the reason for transfer using the Control of Veterans Records System (COVERS), Veterans Benefits Management System (VBMS), or Modern Award Processing Development (MAP-D).</w:t>
            </w:r>
          </w:p>
        </w:tc>
        <w:tc>
          <w:tcPr>
            <w:tcW w:w="1250" w:type="pct"/>
            <w:shd w:val="clear" w:color="auto" w:fill="auto"/>
          </w:tcPr>
          <w:p w14:paraId="0335515E" w14:textId="34073395" w:rsidR="00DB1122" w:rsidRDefault="00DB1122" w:rsidP="00933BDB">
            <w:pPr>
              <w:pStyle w:val="TableText"/>
            </w:pPr>
            <w:r>
              <w:t>III.ii.5.F.4.b</w:t>
            </w:r>
          </w:p>
        </w:tc>
      </w:tr>
      <w:tr w:rsidR="00411A3F" w14:paraId="4143998E" w14:textId="77777777" w:rsidTr="006300A2">
        <w:trPr>
          <w:trHeight w:val="180"/>
        </w:trPr>
        <w:tc>
          <w:tcPr>
            <w:tcW w:w="3750" w:type="pct"/>
            <w:shd w:val="clear" w:color="auto" w:fill="auto"/>
          </w:tcPr>
          <w:p w14:paraId="5A584DAB" w14:textId="58B5A734" w:rsidR="00411A3F" w:rsidRDefault="00411A3F" w:rsidP="00DB1122">
            <w:pPr>
              <w:pStyle w:val="TableText"/>
            </w:pPr>
            <w:r>
              <w:t>To delete old Block c regarding pending claims which was incorporated into previous Block 4.b.</w:t>
            </w:r>
          </w:p>
        </w:tc>
        <w:tc>
          <w:tcPr>
            <w:tcW w:w="1250" w:type="pct"/>
            <w:shd w:val="clear" w:color="auto" w:fill="auto"/>
          </w:tcPr>
          <w:p w14:paraId="08A872AA" w14:textId="1AD9359C" w:rsidR="00411A3F" w:rsidRDefault="00411A3F" w:rsidP="00933BDB">
            <w:pPr>
              <w:pStyle w:val="TableText"/>
            </w:pPr>
            <w:r>
              <w:t>III.ii.5.F.4.c (old)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ADD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D7877"/>
    <w:multiLevelType w:val="hybridMultilevel"/>
    <w:tmpl w:val="9E7C9C92"/>
    <w:lvl w:ilvl="0" w:tplc="B22E03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5795"/>
    <w:multiLevelType w:val="hybridMultilevel"/>
    <w:tmpl w:val="745A1AFA"/>
    <w:lvl w:ilvl="0" w:tplc="B22E03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58DD"/>
    <w:multiLevelType w:val="hybridMultilevel"/>
    <w:tmpl w:val="C11491A4"/>
    <w:lvl w:ilvl="0" w:tplc="B22E03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0F4B"/>
    <w:multiLevelType w:val="hybridMultilevel"/>
    <w:tmpl w:val="B8341F36"/>
    <w:lvl w:ilvl="0" w:tplc="B22E03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A86A49"/>
    <w:multiLevelType w:val="hybridMultilevel"/>
    <w:tmpl w:val="75B8B3EA"/>
    <w:lvl w:ilvl="0" w:tplc="B22E03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7F75D0"/>
    <w:multiLevelType w:val="hybridMultilevel"/>
    <w:tmpl w:val="15E42754"/>
    <w:lvl w:ilvl="0" w:tplc="B22E03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D4D1ECE"/>
    <w:multiLevelType w:val="hybridMultilevel"/>
    <w:tmpl w:val="F1561AD4"/>
    <w:lvl w:ilvl="0" w:tplc="B22E03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4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5562747"/>
    <w:multiLevelType w:val="hybridMultilevel"/>
    <w:tmpl w:val="1D72EACC"/>
    <w:lvl w:ilvl="0" w:tplc="B22E03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4"/>
  </w:num>
  <w:num w:numId="5">
    <w:abstractNumId w:val="10"/>
  </w:num>
  <w:num w:numId="6">
    <w:abstractNumId w:val="9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27ADD"/>
    <w:rsid w:val="00186D46"/>
    <w:rsid w:val="00194773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C4074"/>
    <w:rsid w:val="003D47AF"/>
    <w:rsid w:val="003E2CA2"/>
    <w:rsid w:val="003F3021"/>
    <w:rsid w:val="003F6048"/>
    <w:rsid w:val="003F672A"/>
    <w:rsid w:val="00401EAD"/>
    <w:rsid w:val="0040351B"/>
    <w:rsid w:val="0041026E"/>
    <w:rsid w:val="00411A3F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B73AB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1BCA"/>
    <w:rsid w:val="00594258"/>
    <w:rsid w:val="005E4363"/>
    <w:rsid w:val="00600DC7"/>
    <w:rsid w:val="0062068D"/>
    <w:rsid w:val="006300A2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7AE9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20CD4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1122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35DB4D-A4F1-41DC-A828-7DEA1949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192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22</cp:revision>
  <dcterms:created xsi:type="dcterms:W3CDTF">2014-07-22T17:54:00Z</dcterms:created>
  <dcterms:modified xsi:type="dcterms:W3CDTF">2015-07-30T21:44:00Z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