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B67B7" w14:textId="75F1B02E" w:rsidR="00504F80" w:rsidRDefault="00504F80" w:rsidP="00504F80">
      <w:pPr>
        <w:pStyle w:val="Heading4"/>
        <w:tabs>
          <w:tab w:val="left" w:pos="6840"/>
        </w:tabs>
        <w:spacing w:after="0"/>
        <w:ind w:right="-720"/>
        <w:rPr>
          <w:rFonts w:ascii="Times New Roman" w:hAnsi="Times New Roman"/>
          <w:sz w:val="20"/>
        </w:rPr>
      </w:pPr>
      <w:r>
        <w:rPr>
          <w:rFonts w:ascii="Times New Roman" w:hAnsi="Times New Roman"/>
          <w:sz w:val="20"/>
        </w:rPr>
        <w:t>Depart</w:t>
      </w:r>
      <w:r w:rsidR="00837096">
        <w:rPr>
          <w:rFonts w:ascii="Times New Roman" w:hAnsi="Times New Roman"/>
          <w:sz w:val="20"/>
        </w:rPr>
        <w:t>ment of Veterans Affairs</w:t>
      </w:r>
      <w:r w:rsidR="00837096">
        <w:rPr>
          <w:rFonts w:ascii="Times New Roman" w:hAnsi="Times New Roman"/>
          <w:sz w:val="20"/>
        </w:rPr>
        <w:tab/>
      </w:r>
      <w:r w:rsidR="0067294A">
        <w:rPr>
          <w:rFonts w:ascii="Times New Roman" w:hAnsi="Times New Roman"/>
          <w:sz w:val="20"/>
        </w:rPr>
        <w:t xml:space="preserve">   </w:t>
      </w:r>
      <w:r w:rsidR="00837096">
        <w:rPr>
          <w:rFonts w:ascii="Times New Roman" w:hAnsi="Times New Roman"/>
          <w:sz w:val="20"/>
        </w:rPr>
        <w:t>M21-1</w:t>
      </w:r>
      <w:r>
        <w:rPr>
          <w:rFonts w:ascii="Times New Roman" w:hAnsi="Times New Roman"/>
          <w:sz w:val="20"/>
        </w:rPr>
        <w:t xml:space="preserve">, Part </w:t>
      </w:r>
      <w:r w:rsidR="00945950">
        <w:rPr>
          <w:rFonts w:ascii="Times New Roman" w:hAnsi="Times New Roman"/>
          <w:sz w:val="20"/>
        </w:rPr>
        <w:t>III</w:t>
      </w:r>
      <w:proofErr w:type="gramStart"/>
      <w:r>
        <w:rPr>
          <w:rFonts w:ascii="Times New Roman" w:hAnsi="Times New Roman"/>
          <w:sz w:val="20"/>
        </w:rPr>
        <w:t xml:space="preserve">, </w:t>
      </w:r>
      <w:r w:rsidR="00837096">
        <w:rPr>
          <w:rFonts w:ascii="Times New Roman" w:hAnsi="Times New Roman"/>
          <w:sz w:val="20"/>
        </w:rPr>
        <w:t xml:space="preserve"> </w:t>
      </w:r>
      <w:r>
        <w:rPr>
          <w:rFonts w:ascii="Times New Roman" w:hAnsi="Times New Roman"/>
          <w:sz w:val="20"/>
        </w:rPr>
        <w:t>Subpart</w:t>
      </w:r>
      <w:proofErr w:type="gramEnd"/>
      <w:r>
        <w:rPr>
          <w:rFonts w:ascii="Times New Roman" w:hAnsi="Times New Roman"/>
          <w:sz w:val="20"/>
        </w:rPr>
        <w:t xml:space="preserve"> </w:t>
      </w:r>
      <w:r w:rsidR="00B926E2">
        <w:rPr>
          <w:rFonts w:ascii="Times New Roman" w:hAnsi="Times New Roman"/>
          <w:sz w:val="20"/>
        </w:rPr>
        <w:t>ii</w:t>
      </w:r>
    </w:p>
    <w:p w14:paraId="5596C1F4" w14:textId="12DAFB91" w:rsidR="00504F80" w:rsidRDefault="00504F80" w:rsidP="00504F80">
      <w:pPr>
        <w:rPr>
          <w:b/>
          <w:bCs/>
          <w:sz w:val="20"/>
        </w:rPr>
      </w:pPr>
      <w:r>
        <w:rPr>
          <w:b/>
          <w:bCs/>
          <w:sz w:val="20"/>
        </w:rPr>
        <w:t>Veterans Benefits Administration</w:t>
      </w:r>
      <w:r>
        <w:rPr>
          <w:b/>
          <w:bCs/>
          <w:sz w:val="20"/>
        </w:rPr>
        <w:tab/>
      </w:r>
      <w:r>
        <w:rPr>
          <w:b/>
          <w:bCs/>
          <w:sz w:val="20"/>
        </w:rPr>
        <w:tab/>
      </w:r>
      <w:r>
        <w:rPr>
          <w:b/>
          <w:bCs/>
          <w:sz w:val="20"/>
        </w:rPr>
        <w:tab/>
      </w:r>
      <w:r>
        <w:rPr>
          <w:b/>
          <w:bCs/>
          <w:sz w:val="20"/>
        </w:rPr>
        <w:tab/>
      </w:r>
      <w:r>
        <w:rPr>
          <w:b/>
          <w:bCs/>
          <w:sz w:val="20"/>
        </w:rPr>
        <w:tab/>
      </w:r>
      <w:r>
        <w:rPr>
          <w:b/>
          <w:bCs/>
          <w:sz w:val="20"/>
        </w:rPr>
        <w:tab/>
        <w:t xml:space="preserve">   </w:t>
      </w:r>
      <w:r w:rsidR="0067294A">
        <w:rPr>
          <w:b/>
          <w:bCs/>
          <w:sz w:val="20"/>
        </w:rPr>
        <w:t xml:space="preserve">                               </w:t>
      </w:r>
      <w:r>
        <w:rPr>
          <w:b/>
          <w:bCs/>
          <w:sz w:val="20"/>
        </w:rPr>
        <w:t xml:space="preserve"> </w:t>
      </w:r>
      <w:r w:rsidR="0067294A">
        <w:rPr>
          <w:b/>
          <w:bCs/>
          <w:sz w:val="20"/>
        </w:rPr>
        <w:t>July 16, 2015</w:t>
      </w:r>
      <w:r>
        <w:rPr>
          <w:b/>
          <w:bCs/>
          <w:sz w:val="20"/>
        </w:rPr>
        <w:tab/>
      </w:r>
    </w:p>
    <w:p w14:paraId="139B8BC1" w14:textId="77777777" w:rsidR="00504F80" w:rsidRDefault="00504F80" w:rsidP="00504F80">
      <w:pPr>
        <w:rPr>
          <w:b/>
          <w:bCs/>
          <w:sz w:val="20"/>
        </w:rPr>
      </w:pPr>
      <w:r>
        <w:rPr>
          <w:b/>
          <w:bCs/>
          <w:sz w:val="20"/>
        </w:rPr>
        <w:t>Washington, DC  20420</w:t>
      </w:r>
    </w:p>
    <w:p w14:paraId="514D23FC" w14:textId="77777777" w:rsidR="00504F80" w:rsidRDefault="00504F80" w:rsidP="00504F80">
      <w:pPr>
        <w:rPr>
          <w:b/>
          <w:bCs/>
          <w:sz w:val="20"/>
        </w:rPr>
      </w:pPr>
    </w:p>
    <w:p w14:paraId="176A4F38" w14:textId="77777777" w:rsidR="00504F80" w:rsidRDefault="00504F80" w:rsidP="00504F80">
      <w:pPr>
        <w:pStyle w:val="Heading4"/>
      </w:pPr>
      <w:r>
        <w:t xml:space="preserve">Transmittal Sheet </w:t>
      </w:r>
    </w:p>
    <w:p w14:paraId="646DD48F" w14:textId="77777777" w:rsidR="00504F80" w:rsidRDefault="00504F80" w:rsidP="00504F80">
      <w:pPr>
        <w:pStyle w:val="BlockLine"/>
      </w:pPr>
      <w:r>
        <w:t xml:space="preserve"> </w:t>
      </w:r>
    </w:p>
    <w:tbl>
      <w:tblPr>
        <w:tblW w:w="9468" w:type="dxa"/>
        <w:tblLayout w:type="fixed"/>
        <w:tblLook w:val="0000" w:firstRow="0" w:lastRow="0" w:firstColumn="0" w:lastColumn="0" w:noHBand="0" w:noVBand="0"/>
      </w:tblPr>
      <w:tblGrid>
        <w:gridCol w:w="1728"/>
        <w:gridCol w:w="7740"/>
      </w:tblGrid>
      <w:tr w:rsidR="00504F80" w:rsidRPr="00C24D50" w14:paraId="7659AC4D" w14:textId="77777777" w:rsidTr="00C24D50">
        <w:tc>
          <w:tcPr>
            <w:tcW w:w="1728" w:type="dxa"/>
          </w:tcPr>
          <w:p w14:paraId="64805B26" w14:textId="77777777" w:rsidR="00504F80" w:rsidRDefault="00504F80" w:rsidP="00237C22">
            <w:pPr>
              <w:pStyle w:val="Heading5"/>
            </w:pPr>
            <w:r>
              <w:t>Changes Included in This Revision</w:t>
            </w:r>
          </w:p>
        </w:tc>
        <w:tc>
          <w:tcPr>
            <w:tcW w:w="7740" w:type="dxa"/>
          </w:tcPr>
          <w:p w14:paraId="2B359B8B" w14:textId="6AFE3EB6" w:rsidR="00504F80" w:rsidRDefault="00504F80" w:rsidP="00237C22">
            <w:pPr>
              <w:pStyle w:val="BlockText"/>
            </w:pPr>
            <w:r>
              <w:t xml:space="preserve">The table below describes the changes included in this revision of </w:t>
            </w:r>
            <w:r w:rsidR="00837096">
              <w:t>Veterans Benefits Manual M21-1</w:t>
            </w:r>
            <w:r>
              <w:t xml:space="preserve">, Part </w:t>
            </w:r>
            <w:r w:rsidR="00BB3345">
              <w:t>III</w:t>
            </w:r>
            <w:r>
              <w:t>, “</w:t>
            </w:r>
            <w:r w:rsidR="00BB3345">
              <w:t>General Claims Process</w:t>
            </w:r>
            <w:r>
              <w:t xml:space="preserve">,” Subpart </w:t>
            </w:r>
            <w:r w:rsidR="00B926E2">
              <w:t>i</w:t>
            </w:r>
            <w:r>
              <w:t>i, “</w:t>
            </w:r>
            <w:r w:rsidR="00B926E2">
              <w:t>Initial Screening and Determining Veterans Status</w:t>
            </w:r>
            <w:r>
              <w:t>.”</w:t>
            </w:r>
          </w:p>
          <w:p w14:paraId="429CFC10" w14:textId="77777777" w:rsidR="00504F80" w:rsidRPr="00450FD6" w:rsidRDefault="00504F80" w:rsidP="00237C22">
            <w:pPr>
              <w:pStyle w:val="BulletText1"/>
              <w:numPr>
                <w:ilvl w:val="0"/>
                <w:numId w:val="0"/>
              </w:numPr>
            </w:pPr>
          </w:p>
          <w:p w14:paraId="1B7EC01D" w14:textId="77777777" w:rsidR="00504F80" w:rsidRDefault="00504F80" w:rsidP="00237C22">
            <w:pPr>
              <w:pStyle w:val="BulletText1"/>
              <w:numPr>
                <w:ilvl w:val="0"/>
                <w:numId w:val="0"/>
              </w:numPr>
            </w:pPr>
            <w:r>
              <w:rPr>
                <w:b/>
                <w:i/>
              </w:rPr>
              <w:t>Notes</w:t>
            </w:r>
            <w:r>
              <w:t xml:space="preserve">:  </w:t>
            </w:r>
          </w:p>
          <w:p w14:paraId="689CEB41" w14:textId="77777777" w:rsidR="00504F80" w:rsidRDefault="00504F80" w:rsidP="00237C22">
            <w:pPr>
              <w:pStyle w:val="BulletText1"/>
            </w:pPr>
            <w:r>
              <w:t>The term regional office (RO) also includes pension management center (PMC)</w:t>
            </w:r>
            <w:r w:rsidR="00C24D50">
              <w:t>, where appropriate</w:t>
            </w:r>
            <w:r>
              <w:t>.</w:t>
            </w:r>
          </w:p>
          <w:p w14:paraId="217E6EA3" w14:textId="77777777" w:rsidR="00504F80" w:rsidRDefault="00504F80" w:rsidP="00C24D50">
            <w:pPr>
              <w:pStyle w:val="BulletText1"/>
            </w:pPr>
            <w:r>
              <w:t xml:space="preserve">Minor editorial changes have also been made to </w:t>
            </w:r>
          </w:p>
          <w:p w14:paraId="344AE305" w14:textId="56538E1D" w:rsidR="00504F80" w:rsidRDefault="00504F80" w:rsidP="00237C22">
            <w:pPr>
              <w:pStyle w:val="BulletText2"/>
              <w:tabs>
                <w:tab w:val="num" w:pos="547"/>
              </w:tabs>
            </w:pPr>
            <w:r>
              <w:t>update incorrect or obsolete references</w:t>
            </w:r>
          </w:p>
          <w:p w14:paraId="7E26EC01" w14:textId="77777777" w:rsidR="00504F80" w:rsidRDefault="00504F80" w:rsidP="00237C22">
            <w:pPr>
              <w:pStyle w:val="BulletText2"/>
              <w:tabs>
                <w:tab w:val="num" w:pos="547"/>
              </w:tabs>
            </w:pPr>
            <w:r>
              <w:t>update obsolete terminology, where appropriate</w:t>
            </w:r>
          </w:p>
          <w:p w14:paraId="3638CC63" w14:textId="5E7FDA81" w:rsidR="00271962" w:rsidRDefault="00F87F72" w:rsidP="00237C22">
            <w:pPr>
              <w:pStyle w:val="BulletText2"/>
              <w:tabs>
                <w:tab w:val="num" w:pos="547"/>
              </w:tabs>
            </w:pPr>
            <w:r>
              <w:t xml:space="preserve">renumber </w:t>
            </w:r>
            <w:r w:rsidR="00437647">
              <w:t xml:space="preserve">each </w:t>
            </w:r>
            <w:r w:rsidR="00526F0E">
              <w:t>topic</w:t>
            </w:r>
            <w:r w:rsidR="00437647">
              <w:t xml:space="preserve"> based on the standard that the first topic in each section is Topic 1</w:t>
            </w:r>
            <w:r w:rsidR="00EF5989">
              <w:t xml:space="preserve"> and to account for deleted topics</w:t>
            </w:r>
          </w:p>
          <w:p w14:paraId="3C05CCB4" w14:textId="77777777" w:rsidR="003E2CA2" w:rsidRDefault="003E2CA2" w:rsidP="00237C22">
            <w:pPr>
              <w:pStyle w:val="BulletText2"/>
              <w:tabs>
                <w:tab w:val="num" w:pos="547"/>
              </w:tabs>
            </w:pPr>
            <w:r>
              <w:t>reassign alphabetical designations to individual blocks</w:t>
            </w:r>
            <w:r w:rsidR="00B0548B">
              <w:t xml:space="preserve"> and repaginate</w:t>
            </w:r>
            <w:r>
              <w:t>, where necessary, to account for new and/or deleted blocks within a topic</w:t>
            </w:r>
          </w:p>
          <w:p w14:paraId="458AEDF5" w14:textId="77777777" w:rsidR="00A557BB" w:rsidRDefault="00A557BB" w:rsidP="00237C22">
            <w:pPr>
              <w:pStyle w:val="BulletText2"/>
              <w:tabs>
                <w:tab w:val="num" w:pos="547"/>
              </w:tabs>
            </w:pPr>
            <w:r>
              <w:t>update section and topic titles to more accurately reflect their content</w:t>
            </w:r>
          </w:p>
          <w:p w14:paraId="7DD79E4D" w14:textId="77777777" w:rsidR="00504F80" w:rsidRDefault="00504F80" w:rsidP="00237C22">
            <w:pPr>
              <w:pStyle w:val="BulletText2"/>
              <w:tabs>
                <w:tab w:val="num" w:pos="547"/>
              </w:tabs>
            </w:pPr>
            <w:r>
              <w:t xml:space="preserve">clarify </w:t>
            </w:r>
            <w:r w:rsidR="002041BE">
              <w:t>b</w:t>
            </w:r>
            <w:r w:rsidR="00D61497">
              <w:t xml:space="preserve">lock labels and/or </w:t>
            </w:r>
            <w:r w:rsidR="002041BE">
              <w:t>b</w:t>
            </w:r>
            <w:r>
              <w:t xml:space="preserve">lock text, and </w:t>
            </w:r>
          </w:p>
          <w:p w14:paraId="53E0E90E" w14:textId="69EE7D3F" w:rsidR="00504F80" w:rsidRPr="00EA3A57" w:rsidRDefault="00504F80" w:rsidP="00EF5989">
            <w:pPr>
              <w:pStyle w:val="BulletText2"/>
            </w:pPr>
            <w:proofErr w:type="gramStart"/>
            <w:r>
              <w:t>bring</w:t>
            </w:r>
            <w:proofErr w:type="gramEnd"/>
            <w:r>
              <w:t xml:space="preserve"> the documen</w:t>
            </w:r>
            <w:r w:rsidR="00837096">
              <w:t>t into conformance with M21-1</w:t>
            </w:r>
            <w:r>
              <w:t xml:space="preserve"> standards.</w:t>
            </w:r>
          </w:p>
        </w:tc>
        <w:bookmarkStart w:id="0" w:name="_GoBack"/>
        <w:bookmarkEnd w:id="0"/>
      </w:tr>
    </w:tbl>
    <w:p w14:paraId="69340D97" w14:textId="77777777" w:rsidR="00C24D50" w:rsidRDefault="00C24D50" w:rsidP="00C24D50"/>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20"/>
        <w:gridCol w:w="2340"/>
      </w:tblGrid>
      <w:tr w:rsidR="002A1D3E" w14:paraId="029E868F" w14:textId="77777777" w:rsidTr="00EF5989">
        <w:trPr>
          <w:trHeight w:val="180"/>
        </w:trPr>
        <w:tc>
          <w:tcPr>
            <w:tcW w:w="3750" w:type="pct"/>
            <w:shd w:val="clear" w:color="auto" w:fill="auto"/>
          </w:tcPr>
          <w:p w14:paraId="0CFA5138" w14:textId="77777777" w:rsidR="002A1D3E" w:rsidRPr="00C24D50" w:rsidRDefault="002A1D3E" w:rsidP="002F7397">
            <w:pPr>
              <w:pStyle w:val="TableHeaderText"/>
            </w:pPr>
            <w:r w:rsidRPr="00C24D50">
              <w:t>Reason(s) for the Change</w:t>
            </w:r>
          </w:p>
        </w:tc>
        <w:tc>
          <w:tcPr>
            <w:tcW w:w="1250" w:type="pct"/>
            <w:shd w:val="clear" w:color="auto" w:fill="auto"/>
          </w:tcPr>
          <w:p w14:paraId="7A0A9261" w14:textId="77777777" w:rsidR="002A1D3E" w:rsidRPr="00C24D50" w:rsidRDefault="002A1D3E" w:rsidP="002F7397">
            <w:pPr>
              <w:pStyle w:val="TableHeaderText"/>
            </w:pPr>
            <w:r w:rsidRPr="00C24D50">
              <w:t>Citation</w:t>
            </w:r>
          </w:p>
        </w:tc>
      </w:tr>
      <w:tr w:rsidR="00837096" w14:paraId="52F3E6C9" w14:textId="77777777" w:rsidTr="00EF5989">
        <w:trPr>
          <w:trHeight w:val="180"/>
        </w:trPr>
        <w:tc>
          <w:tcPr>
            <w:tcW w:w="3750" w:type="pct"/>
            <w:shd w:val="clear" w:color="auto" w:fill="auto"/>
          </w:tcPr>
          <w:p w14:paraId="41EB7CEF" w14:textId="11C9BDB3" w:rsidR="00837096" w:rsidRDefault="00837096" w:rsidP="00EF5989">
            <w:r>
              <w:t xml:space="preserve">To remove old Topic 12 </w:t>
            </w:r>
            <w:r w:rsidR="00EF5989">
              <w:t xml:space="preserve">and relocate </w:t>
            </w:r>
            <w:r>
              <w:t xml:space="preserve">information on general policies related </w:t>
            </w:r>
            <w:r w:rsidR="00EF5989">
              <w:t xml:space="preserve">to </w:t>
            </w:r>
            <w:r>
              <w:t>permanent transfer of claims folders new Topic 1, General Policies for Permanent Transfer of Claims Folders</w:t>
            </w:r>
          </w:p>
        </w:tc>
        <w:tc>
          <w:tcPr>
            <w:tcW w:w="1250" w:type="pct"/>
            <w:shd w:val="clear" w:color="auto" w:fill="auto"/>
          </w:tcPr>
          <w:p w14:paraId="109D8D83" w14:textId="30511C5F" w:rsidR="00837096" w:rsidRDefault="00837096" w:rsidP="00BD45E7">
            <w:pPr>
              <w:pStyle w:val="TableText"/>
            </w:pPr>
            <w:r>
              <w:t>M21-1, Part III, Subpart ii, Chapter 5, Section D, Topic 12 (</w:t>
            </w:r>
            <w:r w:rsidR="00EF5989">
              <w:t>old</w:t>
            </w:r>
            <w:r>
              <w:t>)</w:t>
            </w:r>
          </w:p>
          <w:p w14:paraId="0224A5A9" w14:textId="534A0790" w:rsidR="00837096" w:rsidRDefault="00837096" w:rsidP="00BD45E7">
            <w:pPr>
              <w:pStyle w:val="TableText"/>
            </w:pPr>
            <w:r>
              <w:t>(III.ii.5.D.12)</w:t>
            </w:r>
          </w:p>
        </w:tc>
      </w:tr>
      <w:tr w:rsidR="002A1D3E" w14:paraId="626B39FB" w14:textId="77777777" w:rsidTr="00EF5989">
        <w:trPr>
          <w:trHeight w:val="180"/>
        </w:trPr>
        <w:tc>
          <w:tcPr>
            <w:tcW w:w="3750" w:type="pct"/>
            <w:shd w:val="clear" w:color="auto" w:fill="auto"/>
          </w:tcPr>
          <w:p w14:paraId="36210DB2" w14:textId="6B44BD31" w:rsidR="00BD45E7" w:rsidRDefault="00837096" w:rsidP="00BD45E7">
            <w:pPr>
              <w:pStyle w:val="ListParagraph"/>
              <w:numPr>
                <w:ilvl w:val="0"/>
                <w:numId w:val="11"/>
              </w:numPr>
              <w:ind w:left="158" w:hanging="187"/>
            </w:pPr>
            <w:r>
              <w:t xml:space="preserve">To remove unnecessary information </w:t>
            </w:r>
            <w:r w:rsidR="00F22E93">
              <w:t>regarding pending examinations in relation to permanently-</w:t>
            </w:r>
            <w:r>
              <w:t>transferred claims folders.</w:t>
            </w:r>
          </w:p>
          <w:p w14:paraId="6C2BF4BA" w14:textId="28B88EFA" w:rsidR="00837096" w:rsidRDefault="00837096" w:rsidP="00BD45E7">
            <w:pPr>
              <w:pStyle w:val="ListParagraph"/>
              <w:numPr>
                <w:ilvl w:val="0"/>
                <w:numId w:val="11"/>
              </w:numPr>
              <w:ind w:left="158" w:hanging="187"/>
            </w:pPr>
            <w:r>
              <w:t>To provide guidance that Pittsburgh Regional Office (RO) assumes permanent jurisdiction</w:t>
            </w:r>
            <w:r w:rsidR="00F22E93">
              <w:t xml:space="preserve"> when evidence indicates that the Veteran with a compensation claim resides outside of the United States and its territories</w:t>
            </w:r>
            <w:r>
              <w:t>.</w:t>
            </w:r>
          </w:p>
          <w:p w14:paraId="1B4FC3FC" w14:textId="455D8D02" w:rsidR="00837096" w:rsidRDefault="00837096" w:rsidP="00BD45E7">
            <w:pPr>
              <w:pStyle w:val="ListParagraph"/>
              <w:numPr>
                <w:ilvl w:val="0"/>
                <w:numId w:val="11"/>
              </w:numPr>
              <w:ind w:left="158" w:hanging="187"/>
            </w:pPr>
            <w:r>
              <w:t>To provide guidance that exclusive jurisdiction resides with the Philadelphia Pension Management Center (PMC)</w:t>
            </w:r>
            <w:r w:rsidR="00865928">
              <w:t xml:space="preserve"> when evidence indicates that a beneficiary resides outside of the United States and its territories and action involves a pension or survivors benefit determination</w:t>
            </w:r>
            <w:r>
              <w:t>.</w:t>
            </w:r>
          </w:p>
          <w:p w14:paraId="0768166D" w14:textId="5FFA8DC4" w:rsidR="00837096" w:rsidRDefault="00837096" w:rsidP="00BD45E7">
            <w:pPr>
              <w:pStyle w:val="ListParagraph"/>
              <w:numPr>
                <w:ilvl w:val="0"/>
                <w:numId w:val="11"/>
              </w:numPr>
              <w:ind w:left="158" w:hanging="187"/>
            </w:pPr>
            <w:r>
              <w:t>To remove outdated information on jurisdiction with the Whit</w:t>
            </w:r>
            <w:r w:rsidR="00865928">
              <w:t>e River Junction RO for Veteran</w:t>
            </w:r>
            <w:r>
              <w:t>s residing in Canada.</w:t>
            </w:r>
          </w:p>
          <w:p w14:paraId="682B18CF" w14:textId="6AAC4CE2" w:rsidR="00837096" w:rsidRDefault="00865928" w:rsidP="00BD45E7">
            <w:pPr>
              <w:pStyle w:val="ListParagraph"/>
              <w:numPr>
                <w:ilvl w:val="0"/>
                <w:numId w:val="11"/>
              </w:numPr>
              <w:ind w:left="158" w:hanging="187"/>
            </w:pPr>
            <w:r>
              <w:t xml:space="preserve">To provide guidance </w:t>
            </w:r>
            <w:r w:rsidR="00837096">
              <w:t>not</w:t>
            </w:r>
            <w:r>
              <w:t xml:space="preserve"> to</w:t>
            </w:r>
            <w:r w:rsidR="00837096">
              <w:t xml:space="preserve"> routinely permanently transfer claims folders from the station of jurisdiction (SOJ) when the claim has been redistributed from the station of origination (SOO) as part of a national workload redistribution strategy.</w:t>
            </w:r>
          </w:p>
          <w:p w14:paraId="329D2D3C" w14:textId="6F0E6732" w:rsidR="00D80A0A" w:rsidRDefault="00D80A0A" w:rsidP="00BD45E7">
            <w:pPr>
              <w:pStyle w:val="ListParagraph"/>
              <w:numPr>
                <w:ilvl w:val="0"/>
                <w:numId w:val="11"/>
              </w:numPr>
              <w:ind w:left="158" w:hanging="187"/>
            </w:pPr>
            <w:r>
              <w:lastRenderedPageBreak/>
              <w:t>To provide guidance that ROs should not transfer claims to another RO’s jurisdiction solely based on where the Veteran resides unless directed otherwise by the Office of Field Operations (OFO).</w:t>
            </w:r>
          </w:p>
          <w:p w14:paraId="6A899545" w14:textId="77777777" w:rsidR="00D80A0A" w:rsidRDefault="00D80A0A" w:rsidP="00BD45E7">
            <w:pPr>
              <w:pStyle w:val="ListParagraph"/>
              <w:numPr>
                <w:ilvl w:val="0"/>
                <w:numId w:val="11"/>
              </w:numPr>
              <w:ind w:left="158" w:hanging="187"/>
            </w:pPr>
            <w:r>
              <w:t>To add exceptions to the general guidance not to transfer claims to another RO’s jurisdiction to include a pending claim or appeal that requires a personal hearing and claims of appeals for homeless Veterans.</w:t>
            </w:r>
          </w:p>
          <w:p w14:paraId="7DD36B36" w14:textId="77777777" w:rsidR="00D80A0A" w:rsidRDefault="00D80A0A" w:rsidP="00BD45E7">
            <w:pPr>
              <w:pStyle w:val="ListParagraph"/>
              <w:numPr>
                <w:ilvl w:val="0"/>
                <w:numId w:val="11"/>
              </w:numPr>
              <w:ind w:left="158" w:hanging="187"/>
            </w:pPr>
            <w:r>
              <w:t>To add note that if a claim is received and the physical claims folder is located at another RO, the RO in possession of the claims folder must be notified immediately to ship the claims folder to the appropriate scanning vendor.</w:t>
            </w:r>
          </w:p>
          <w:p w14:paraId="16337847" w14:textId="671AA9B7" w:rsidR="00D80A0A" w:rsidRPr="00C24D50" w:rsidRDefault="00D80A0A" w:rsidP="00BD45E7">
            <w:pPr>
              <w:pStyle w:val="ListParagraph"/>
              <w:numPr>
                <w:ilvl w:val="0"/>
                <w:numId w:val="11"/>
              </w:numPr>
              <w:ind w:left="158" w:hanging="187"/>
            </w:pPr>
            <w:r>
              <w:t xml:space="preserve">To add </w:t>
            </w:r>
            <w:r w:rsidR="00865928">
              <w:t xml:space="preserve">a </w:t>
            </w:r>
            <w:r>
              <w:t>note that any resulting end products (EPs) from working and/or clearing work items must be retain</w:t>
            </w:r>
            <w:r w:rsidR="00865928">
              <w:t xml:space="preserve">ed </w:t>
            </w:r>
            <w:r>
              <w:t>at the RO in which the work item was assigned.</w:t>
            </w:r>
          </w:p>
        </w:tc>
        <w:tc>
          <w:tcPr>
            <w:tcW w:w="1250" w:type="pct"/>
            <w:shd w:val="clear" w:color="auto" w:fill="auto"/>
          </w:tcPr>
          <w:p w14:paraId="4F9A02D3" w14:textId="4AACC000" w:rsidR="002A1D3E" w:rsidRPr="00C24D50" w:rsidRDefault="00BD45E7" w:rsidP="00BD45E7">
            <w:pPr>
              <w:pStyle w:val="TableText"/>
            </w:pPr>
            <w:r>
              <w:lastRenderedPageBreak/>
              <w:t>III.ii.5.D.1</w:t>
            </w:r>
            <w:r w:rsidR="00837096">
              <w:t>.a</w:t>
            </w:r>
          </w:p>
        </w:tc>
      </w:tr>
      <w:tr w:rsidR="005D584A" w14:paraId="01C1AC3A" w14:textId="77777777" w:rsidTr="00EF5989">
        <w:trPr>
          <w:trHeight w:val="180"/>
        </w:trPr>
        <w:tc>
          <w:tcPr>
            <w:tcW w:w="3750" w:type="pct"/>
            <w:shd w:val="clear" w:color="auto" w:fill="auto"/>
          </w:tcPr>
          <w:p w14:paraId="7C81DFB7" w14:textId="5C98FEF7" w:rsidR="005D584A" w:rsidRDefault="005D584A" w:rsidP="005D584A">
            <w:pPr>
              <w:pStyle w:val="ListParagraph"/>
              <w:numPr>
                <w:ilvl w:val="0"/>
                <w:numId w:val="12"/>
              </w:numPr>
              <w:ind w:left="158" w:hanging="187"/>
            </w:pPr>
            <w:r>
              <w:lastRenderedPageBreak/>
              <w:t>To add a new guidance on sending paper claims folders to authorized scanning facilities and list exceptions.</w:t>
            </w:r>
          </w:p>
          <w:p w14:paraId="223D0D2D" w14:textId="77777777" w:rsidR="005D584A" w:rsidRDefault="005D584A" w:rsidP="005D584A">
            <w:pPr>
              <w:pStyle w:val="ListParagraph"/>
              <w:numPr>
                <w:ilvl w:val="0"/>
                <w:numId w:val="13"/>
              </w:numPr>
              <w:ind w:left="158" w:hanging="187"/>
            </w:pPr>
            <w:r>
              <w:t>To provide guidance to use Control of Veterans Records (COVERS) for controlling the physical location of a paper claims folder within an RO and/or for jurisdictional updates not possible through other applications.</w:t>
            </w:r>
          </w:p>
          <w:p w14:paraId="3CD822F3" w14:textId="7C70A7FA" w:rsidR="00C10A8C" w:rsidRDefault="00C10A8C" w:rsidP="005D584A">
            <w:pPr>
              <w:pStyle w:val="ListParagraph"/>
              <w:numPr>
                <w:ilvl w:val="0"/>
                <w:numId w:val="13"/>
              </w:numPr>
              <w:ind w:left="158" w:hanging="187"/>
            </w:pPr>
            <w:r>
              <w:t>To remove outdated guidance related to RO processing of a claim based on geographical location.</w:t>
            </w:r>
          </w:p>
        </w:tc>
        <w:tc>
          <w:tcPr>
            <w:tcW w:w="1250" w:type="pct"/>
            <w:shd w:val="clear" w:color="auto" w:fill="auto"/>
          </w:tcPr>
          <w:p w14:paraId="4AC1A41C" w14:textId="7DF8EFAE" w:rsidR="005D584A" w:rsidRDefault="005D584A" w:rsidP="002F7397">
            <w:pPr>
              <w:pStyle w:val="TableText"/>
            </w:pPr>
            <w:r>
              <w:t>III.ii.5.D.1.b</w:t>
            </w:r>
          </w:p>
        </w:tc>
      </w:tr>
      <w:tr w:rsidR="00C10A8C" w14:paraId="14C8789E" w14:textId="77777777" w:rsidTr="00EF5989">
        <w:trPr>
          <w:trHeight w:val="180"/>
        </w:trPr>
        <w:tc>
          <w:tcPr>
            <w:tcW w:w="3750" w:type="pct"/>
            <w:shd w:val="clear" w:color="auto" w:fill="auto"/>
          </w:tcPr>
          <w:p w14:paraId="0DCE63E7" w14:textId="06AB8C16" w:rsidR="00C10A8C" w:rsidRDefault="00C10A8C" w:rsidP="00C10A8C">
            <w:r>
              <w:t>To remove old Block c with guidance on permanent transfer of folders with loan default indebtedness as subject matter experts have confirmed that transfer is not required in such case.</w:t>
            </w:r>
          </w:p>
        </w:tc>
        <w:tc>
          <w:tcPr>
            <w:tcW w:w="1250" w:type="pct"/>
            <w:shd w:val="clear" w:color="auto" w:fill="auto"/>
          </w:tcPr>
          <w:p w14:paraId="41DB4A91" w14:textId="69C7F400" w:rsidR="00C10A8C" w:rsidRDefault="00C10A8C" w:rsidP="002F7397">
            <w:pPr>
              <w:pStyle w:val="TableText"/>
            </w:pPr>
            <w:r>
              <w:t>III.ii.5.D.1.c</w:t>
            </w:r>
          </w:p>
        </w:tc>
      </w:tr>
      <w:tr w:rsidR="002A1D3E" w14:paraId="5160FC56" w14:textId="77777777" w:rsidTr="00EF5989">
        <w:trPr>
          <w:trHeight w:val="180"/>
        </w:trPr>
        <w:tc>
          <w:tcPr>
            <w:tcW w:w="3750" w:type="pct"/>
            <w:shd w:val="clear" w:color="auto" w:fill="auto"/>
          </w:tcPr>
          <w:p w14:paraId="469C5083" w14:textId="1028556D" w:rsidR="00C10A8C" w:rsidRPr="00C24D50" w:rsidRDefault="00C10A8C" w:rsidP="00865928">
            <w:r>
              <w:t>To add a new Block c provid</w:t>
            </w:r>
            <w:r w:rsidR="00865928">
              <w:t>ing</w:t>
            </w:r>
            <w:r>
              <w:t xml:space="preserve"> guidance on the records to accompany claims folders whenever transferring a claims folder.</w:t>
            </w:r>
          </w:p>
        </w:tc>
        <w:tc>
          <w:tcPr>
            <w:tcW w:w="1250" w:type="pct"/>
            <w:shd w:val="clear" w:color="auto" w:fill="auto"/>
          </w:tcPr>
          <w:p w14:paraId="75C994DE" w14:textId="681EE0C0" w:rsidR="002A1D3E" w:rsidRPr="00C24D50" w:rsidRDefault="00C10A8C" w:rsidP="002F7397">
            <w:pPr>
              <w:pStyle w:val="TableText"/>
            </w:pPr>
            <w:r>
              <w:t>III.ii.5.D.1.c</w:t>
            </w:r>
          </w:p>
        </w:tc>
      </w:tr>
      <w:tr w:rsidR="00C10A8C" w14:paraId="5151683C" w14:textId="77777777" w:rsidTr="00EF5989">
        <w:trPr>
          <w:trHeight w:val="180"/>
        </w:trPr>
        <w:tc>
          <w:tcPr>
            <w:tcW w:w="3750" w:type="pct"/>
            <w:shd w:val="clear" w:color="auto" w:fill="auto"/>
          </w:tcPr>
          <w:p w14:paraId="1F1477A5" w14:textId="0E1A1B0A" w:rsidR="00C10A8C" w:rsidRDefault="00C10A8C" w:rsidP="00865928">
            <w:pPr>
              <w:pStyle w:val="TableText"/>
            </w:pPr>
            <w:r>
              <w:t xml:space="preserve">To </w:t>
            </w:r>
            <w:r w:rsidR="00865928">
              <w:t>relocate and update guidance</w:t>
            </w:r>
            <w:r>
              <w:t xml:space="preserve"> on permanent transfer of claims folders for insurance purposes </w:t>
            </w:r>
            <w:r w:rsidR="00865928">
              <w:t>from the previous location in old Topic 12</w:t>
            </w:r>
            <w:r>
              <w:t>.</w:t>
            </w:r>
          </w:p>
        </w:tc>
        <w:tc>
          <w:tcPr>
            <w:tcW w:w="1250" w:type="pct"/>
            <w:shd w:val="clear" w:color="auto" w:fill="auto"/>
          </w:tcPr>
          <w:p w14:paraId="6F3EA51E" w14:textId="3B1894B2" w:rsidR="00C10A8C" w:rsidRDefault="00C10A8C" w:rsidP="002F7397">
            <w:pPr>
              <w:pStyle w:val="TableText"/>
            </w:pPr>
            <w:r>
              <w:t>III.ii.5.D.1.d</w:t>
            </w:r>
          </w:p>
        </w:tc>
      </w:tr>
      <w:tr w:rsidR="00C10A8C" w14:paraId="58CA861A" w14:textId="77777777" w:rsidTr="00EF5989">
        <w:trPr>
          <w:trHeight w:val="180"/>
        </w:trPr>
        <w:tc>
          <w:tcPr>
            <w:tcW w:w="3750" w:type="pct"/>
            <w:shd w:val="clear" w:color="auto" w:fill="auto"/>
          </w:tcPr>
          <w:p w14:paraId="2F58EF27" w14:textId="063E37DD" w:rsidR="00C10A8C" w:rsidRDefault="00C10A8C" w:rsidP="002F7397">
            <w:pPr>
              <w:pStyle w:val="TableText"/>
            </w:pPr>
            <w:r>
              <w:t xml:space="preserve">To </w:t>
            </w:r>
            <w:r w:rsidR="007A4902">
              <w:t>clarify the transfer procedures for</w:t>
            </w:r>
            <w:r>
              <w:t xml:space="preserve"> employee-Veteran</w:t>
            </w:r>
            <w:r w:rsidR="007A4902">
              <w:t xml:space="preserve"> claims folders</w:t>
            </w:r>
            <w:r>
              <w:t>.</w:t>
            </w:r>
          </w:p>
        </w:tc>
        <w:tc>
          <w:tcPr>
            <w:tcW w:w="1250" w:type="pct"/>
            <w:shd w:val="clear" w:color="auto" w:fill="auto"/>
          </w:tcPr>
          <w:p w14:paraId="01DB6551" w14:textId="6C877DB2" w:rsidR="00C10A8C" w:rsidRDefault="00C10A8C" w:rsidP="002F7397">
            <w:pPr>
              <w:pStyle w:val="TableText"/>
            </w:pPr>
            <w:r>
              <w:t>III.ii.5.D.1.e</w:t>
            </w:r>
          </w:p>
        </w:tc>
      </w:tr>
      <w:tr w:rsidR="00C10A8C" w14:paraId="24D22E78" w14:textId="77777777" w:rsidTr="00EF5989">
        <w:trPr>
          <w:trHeight w:val="180"/>
        </w:trPr>
        <w:tc>
          <w:tcPr>
            <w:tcW w:w="3750" w:type="pct"/>
            <w:shd w:val="clear" w:color="auto" w:fill="auto"/>
          </w:tcPr>
          <w:p w14:paraId="3CADB28B" w14:textId="3A1D7EAE" w:rsidR="00C10A8C" w:rsidRDefault="00C10A8C" w:rsidP="007A4902">
            <w:r>
              <w:t xml:space="preserve">To remove old Block </w:t>
            </w:r>
            <w:proofErr w:type="spellStart"/>
            <w:r>
              <w:t>f</w:t>
            </w:r>
            <w:proofErr w:type="spellEnd"/>
            <w:r>
              <w:t xml:space="preserve"> information on forwarding correspondence to the claims folder or eFolder location.</w:t>
            </w:r>
          </w:p>
        </w:tc>
        <w:tc>
          <w:tcPr>
            <w:tcW w:w="1250" w:type="pct"/>
            <w:shd w:val="clear" w:color="auto" w:fill="auto"/>
          </w:tcPr>
          <w:p w14:paraId="6EA7576F" w14:textId="2E4D6FB6" w:rsidR="00C10A8C" w:rsidRDefault="00C10A8C" w:rsidP="002F7397">
            <w:pPr>
              <w:pStyle w:val="TableText"/>
            </w:pPr>
            <w:r>
              <w:t>III.ii.5.D.1.f</w:t>
            </w:r>
          </w:p>
        </w:tc>
      </w:tr>
      <w:tr w:rsidR="00C10A8C" w14:paraId="02D72E5D" w14:textId="77777777" w:rsidTr="00EF5989">
        <w:trPr>
          <w:trHeight w:val="180"/>
        </w:trPr>
        <w:tc>
          <w:tcPr>
            <w:tcW w:w="3750" w:type="pct"/>
            <w:shd w:val="clear" w:color="auto" w:fill="auto"/>
          </w:tcPr>
          <w:p w14:paraId="3AC2D29D" w14:textId="2642FF51" w:rsidR="00C10A8C" w:rsidRDefault="00C10A8C" w:rsidP="00EE01D9">
            <w:pPr>
              <w:pStyle w:val="TableText"/>
            </w:pPr>
            <w:r>
              <w:t xml:space="preserve">To </w:t>
            </w:r>
            <w:r w:rsidR="00EE01D9">
              <w:t>remove old Topic 14 on Principal Guardianship Folders (PGFs) since all PGFs are now electronic and managed in Virtual VA by the Fiduciary Hubs.</w:t>
            </w:r>
          </w:p>
        </w:tc>
        <w:tc>
          <w:tcPr>
            <w:tcW w:w="1250" w:type="pct"/>
            <w:shd w:val="clear" w:color="auto" w:fill="auto"/>
          </w:tcPr>
          <w:p w14:paraId="5F16A57A" w14:textId="28F54394" w:rsidR="00C10A8C" w:rsidRDefault="00EE01D9" w:rsidP="002F7397">
            <w:pPr>
              <w:pStyle w:val="TableText"/>
            </w:pPr>
            <w:r>
              <w:t>--</w:t>
            </w:r>
          </w:p>
        </w:tc>
      </w:tr>
      <w:tr w:rsidR="00C10A8C" w14:paraId="77008625" w14:textId="77777777" w:rsidTr="00EF5989">
        <w:trPr>
          <w:trHeight w:val="180"/>
        </w:trPr>
        <w:tc>
          <w:tcPr>
            <w:tcW w:w="3750" w:type="pct"/>
            <w:shd w:val="clear" w:color="auto" w:fill="auto"/>
          </w:tcPr>
          <w:p w14:paraId="2E157E1A" w14:textId="54EF973A" w:rsidR="00C10A8C" w:rsidRPr="00C10A8C" w:rsidRDefault="00C10A8C" w:rsidP="000627DA">
            <w:pPr>
              <w:pStyle w:val="TableText"/>
            </w:pPr>
            <w:r>
              <w:t xml:space="preserve">To add a note with guidance to reverse file </w:t>
            </w:r>
            <w:r>
              <w:rPr>
                <w:i/>
              </w:rPr>
              <w:t>VA Form 3797, Cross Reference to Confidential Report</w:t>
            </w:r>
            <w:r>
              <w:t xml:space="preserve">, on the inside left flap of the </w:t>
            </w:r>
            <w:r w:rsidR="000627DA">
              <w:t xml:space="preserve">paper </w:t>
            </w:r>
            <w:r>
              <w:t>claims folder to identify the existence of confidential records stored at VA Regional Office (VARO) Roanoke.</w:t>
            </w:r>
          </w:p>
        </w:tc>
        <w:tc>
          <w:tcPr>
            <w:tcW w:w="1250" w:type="pct"/>
            <w:shd w:val="clear" w:color="auto" w:fill="auto"/>
          </w:tcPr>
          <w:p w14:paraId="099367C4" w14:textId="396712F1" w:rsidR="00C10A8C" w:rsidRDefault="00C10A8C" w:rsidP="000627DA">
            <w:pPr>
              <w:pStyle w:val="TableText"/>
            </w:pPr>
            <w:r>
              <w:t>III.ii.5.D.</w:t>
            </w:r>
            <w:r w:rsidR="000627DA">
              <w:t>2</w:t>
            </w:r>
            <w:r>
              <w:t>.a</w:t>
            </w:r>
          </w:p>
        </w:tc>
      </w:tr>
      <w:tr w:rsidR="00A5052C" w14:paraId="536633B9" w14:textId="77777777" w:rsidTr="00EF5989">
        <w:trPr>
          <w:trHeight w:val="180"/>
        </w:trPr>
        <w:tc>
          <w:tcPr>
            <w:tcW w:w="3750" w:type="pct"/>
            <w:shd w:val="clear" w:color="auto" w:fill="auto"/>
          </w:tcPr>
          <w:p w14:paraId="47BFC573" w14:textId="7A21546D" w:rsidR="00A5052C" w:rsidRDefault="00A5052C" w:rsidP="000627DA">
            <w:pPr>
              <w:pStyle w:val="TableText"/>
            </w:pPr>
            <w:r>
              <w:t>To delete old Block b after incorporating the guidance into Block a.</w:t>
            </w:r>
          </w:p>
        </w:tc>
        <w:tc>
          <w:tcPr>
            <w:tcW w:w="1250" w:type="pct"/>
            <w:shd w:val="clear" w:color="auto" w:fill="auto"/>
          </w:tcPr>
          <w:p w14:paraId="2306B54E" w14:textId="6BB0CC03" w:rsidR="00A5052C" w:rsidRDefault="00A5052C" w:rsidP="000627DA">
            <w:pPr>
              <w:pStyle w:val="TableText"/>
            </w:pPr>
            <w:r>
              <w:t>III.ii.5.D.15.b (old)</w:t>
            </w:r>
          </w:p>
        </w:tc>
      </w:tr>
      <w:tr w:rsidR="00C10A8C" w14:paraId="70D5B471" w14:textId="77777777" w:rsidTr="00EF5989">
        <w:trPr>
          <w:trHeight w:val="180"/>
        </w:trPr>
        <w:tc>
          <w:tcPr>
            <w:tcW w:w="3750" w:type="pct"/>
            <w:shd w:val="clear" w:color="auto" w:fill="auto"/>
          </w:tcPr>
          <w:p w14:paraId="1FDA59B2" w14:textId="7A6BA10A" w:rsidR="00C10A8C" w:rsidRDefault="00C10A8C" w:rsidP="002F7397">
            <w:pPr>
              <w:pStyle w:val="TableText"/>
            </w:pPr>
            <w:r>
              <w:t>To remove old Topic 16 related to Employee-Veteran records as this has been incorporated at III.ii.5.D.1.</w:t>
            </w:r>
          </w:p>
        </w:tc>
        <w:tc>
          <w:tcPr>
            <w:tcW w:w="1250" w:type="pct"/>
            <w:shd w:val="clear" w:color="auto" w:fill="auto"/>
          </w:tcPr>
          <w:p w14:paraId="16AFC999" w14:textId="7A5B643E" w:rsidR="00C10A8C" w:rsidRDefault="00C10A8C" w:rsidP="002F7397">
            <w:pPr>
              <w:pStyle w:val="TableText"/>
            </w:pPr>
            <w:r>
              <w:t>III.ii.5.D.16</w:t>
            </w:r>
            <w:r w:rsidR="00A5052C">
              <w:t xml:space="preserve"> (old)</w:t>
            </w:r>
          </w:p>
        </w:tc>
      </w:tr>
      <w:tr w:rsidR="00C10A8C" w14:paraId="417BB187" w14:textId="77777777" w:rsidTr="00EF5989">
        <w:trPr>
          <w:trHeight w:val="180"/>
        </w:trPr>
        <w:tc>
          <w:tcPr>
            <w:tcW w:w="3750" w:type="pct"/>
            <w:shd w:val="clear" w:color="auto" w:fill="auto"/>
          </w:tcPr>
          <w:p w14:paraId="75A3CD8C" w14:textId="4FF80EC4" w:rsidR="00C10A8C" w:rsidRDefault="00C10A8C" w:rsidP="00A5052C">
            <w:pPr>
              <w:pStyle w:val="TableText"/>
            </w:pPr>
            <w:r>
              <w:t xml:space="preserve">To remove old Topic 17 related to transfer of claims folders or </w:t>
            </w:r>
            <w:proofErr w:type="spellStart"/>
            <w:r>
              <w:t>eFolders</w:t>
            </w:r>
            <w:proofErr w:type="spellEnd"/>
            <w:r>
              <w:t xml:space="preserve"> following Pre-Discharge claims processing as there are instructions related to this subject </w:t>
            </w:r>
            <w:r w:rsidR="00A5052C">
              <w:t>in</w:t>
            </w:r>
            <w:r>
              <w:t xml:space="preserve"> III.i.2.D.</w:t>
            </w:r>
          </w:p>
        </w:tc>
        <w:tc>
          <w:tcPr>
            <w:tcW w:w="1250" w:type="pct"/>
            <w:shd w:val="clear" w:color="auto" w:fill="auto"/>
          </w:tcPr>
          <w:p w14:paraId="281179D5" w14:textId="1F21A612" w:rsidR="00C10A8C" w:rsidRDefault="00C10A8C" w:rsidP="002F7397">
            <w:pPr>
              <w:pStyle w:val="TableText"/>
            </w:pPr>
            <w:r>
              <w:t>III.ii.5.D.17</w:t>
            </w:r>
            <w:r w:rsidR="00A5052C">
              <w:t xml:space="preserve"> (old)</w:t>
            </w:r>
          </w:p>
        </w:tc>
      </w:tr>
    </w:tbl>
    <w:p w14:paraId="09F0C9BE" w14:textId="77777777" w:rsidR="00504F80" w:rsidRDefault="00504F80" w:rsidP="00504F80">
      <w:pPr>
        <w:pStyle w:val="BlockLine"/>
      </w:pPr>
    </w:p>
    <w:tbl>
      <w:tblPr>
        <w:tblW w:w="0" w:type="auto"/>
        <w:tblLayout w:type="fixed"/>
        <w:tblLook w:val="0000" w:firstRow="0" w:lastRow="0" w:firstColumn="0" w:lastColumn="0" w:noHBand="0" w:noVBand="0"/>
      </w:tblPr>
      <w:tblGrid>
        <w:gridCol w:w="1728"/>
        <w:gridCol w:w="7740"/>
      </w:tblGrid>
      <w:tr w:rsidR="00504F80" w:rsidRPr="00B4163A" w14:paraId="0ADFF041" w14:textId="77777777" w:rsidTr="00237C22">
        <w:tc>
          <w:tcPr>
            <w:tcW w:w="1728" w:type="dxa"/>
          </w:tcPr>
          <w:p w14:paraId="7578371E" w14:textId="77777777" w:rsidR="00504F80" w:rsidRPr="00B4163A" w:rsidRDefault="00504F80" w:rsidP="00237C22">
            <w:pPr>
              <w:pStyle w:val="Heading5"/>
              <w:rPr>
                <w:sz w:val="24"/>
              </w:rPr>
            </w:pPr>
            <w:r w:rsidRPr="00B4163A">
              <w:rPr>
                <w:sz w:val="24"/>
              </w:rPr>
              <w:t>Rescissions</w:t>
            </w:r>
          </w:p>
        </w:tc>
        <w:tc>
          <w:tcPr>
            <w:tcW w:w="7740" w:type="dxa"/>
          </w:tcPr>
          <w:p w14:paraId="1FE7637A" w14:textId="77777777" w:rsidR="00504F80" w:rsidRPr="00B4163A" w:rsidRDefault="00504F80" w:rsidP="00237C22">
            <w:pPr>
              <w:pStyle w:val="BlockText"/>
            </w:pPr>
            <w:r w:rsidRPr="00B4163A">
              <w:t>None</w:t>
            </w:r>
          </w:p>
        </w:tc>
      </w:tr>
    </w:tbl>
    <w:p w14:paraId="4C10922E" w14:textId="77777777"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14:paraId="19FD00B4" w14:textId="77777777" w:rsidTr="00237C22">
        <w:tc>
          <w:tcPr>
            <w:tcW w:w="1728" w:type="dxa"/>
          </w:tcPr>
          <w:p w14:paraId="32C4BAC4" w14:textId="77777777" w:rsidR="00504F80" w:rsidRPr="00B4163A" w:rsidRDefault="00504F80" w:rsidP="00237C22">
            <w:pPr>
              <w:pStyle w:val="Heading5"/>
              <w:rPr>
                <w:sz w:val="24"/>
              </w:rPr>
            </w:pPr>
            <w:r w:rsidRPr="00B4163A">
              <w:rPr>
                <w:sz w:val="24"/>
              </w:rPr>
              <w:t>Authority</w:t>
            </w:r>
          </w:p>
        </w:tc>
        <w:tc>
          <w:tcPr>
            <w:tcW w:w="7740" w:type="dxa"/>
          </w:tcPr>
          <w:p w14:paraId="403DB2B1" w14:textId="77777777" w:rsidR="00504F80" w:rsidRPr="00B4163A" w:rsidRDefault="00504F80" w:rsidP="00237C22">
            <w:pPr>
              <w:pStyle w:val="BlockText"/>
            </w:pPr>
            <w:r w:rsidRPr="00B4163A">
              <w:t>By Direction of the Under Secretary for Benefits</w:t>
            </w:r>
          </w:p>
        </w:tc>
      </w:tr>
    </w:tbl>
    <w:p w14:paraId="1A10A90C" w14:textId="77777777" w:rsidR="00504F80" w:rsidRPr="00B4163A" w:rsidRDefault="00504F80" w:rsidP="00504F80">
      <w:pPr>
        <w:pStyle w:val="ContinuedOnNextPa"/>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14:paraId="64626BF0" w14:textId="77777777" w:rsidTr="00237C22">
        <w:tc>
          <w:tcPr>
            <w:tcW w:w="1728" w:type="dxa"/>
          </w:tcPr>
          <w:p w14:paraId="0C31F8EB" w14:textId="77777777" w:rsidR="00504F80" w:rsidRPr="00B4163A" w:rsidRDefault="00504F80" w:rsidP="00237C22">
            <w:pPr>
              <w:pStyle w:val="Heading5"/>
              <w:rPr>
                <w:sz w:val="24"/>
              </w:rPr>
            </w:pPr>
            <w:r w:rsidRPr="00B4163A">
              <w:rPr>
                <w:sz w:val="24"/>
              </w:rPr>
              <w:t>Signature</w:t>
            </w:r>
          </w:p>
        </w:tc>
        <w:tc>
          <w:tcPr>
            <w:tcW w:w="7740" w:type="dxa"/>
          </w:tcPr>
          <w:p w14:paraId="742714C0" w14:textId="77777777" w:rsidR="00504F80" w:rsidRPr="00B4163A" w:rsidRDefault="00504F80" w:rsidP="00237C22">
            <w:pPr>
              <w:pStyle w:val="BlockText"/>
            </w:pPr>
          </w:p>
          <w:p w14:paraId="1A541199" w14:textId="77777777" w:rsidR="00504F80" w:rsidRPr="00B4163A" w:rsidRDefault="00504F80" w:rsidP="00237C22">
            <w:pPr>
              <w:pStyle w:val="MemoLine"/>
              <w:ind w:left="-18" w:right="612"/>
            </w:pPr>
          </w:p>
          <w:p w14:paraId="2633DA33" w14:textId="77777777" w:rsidR="00504F80" w:rsidRPr="00B4163A" w:rsidRDefault="00504F80" w:rsidP="00237C22">
            <w:pPr>
              <w:rPr>
                <w:szCs w:val="20"/>
              </w:rPr>
            </w:pPr>
            <w:r w:rsidRPr="00B4163A">
              <w:t>Thomas J. Murphy, Director</w:t>
            </w:r>
          </w:p>
          <w:p w14:paraId="2E46922C" w14:textId="77777777" w:rsidR="00504F80" w:rsidRPr="00B4163A" w:rsidRDefault="00504F80" w:rsidP="00237C22">
            <w:pPr>
              <w:pStyle w:val="BlockText"/>
            </w:pPr>
            <w:r w:rsidRPr="00B4163A">
              <w:t>Compensation Service</w:t>
            </w:r>
          </w:p>
        </w:tc>
      </w:tr>
    </w:tbl>
    <w:p w14:paraId="2ED3BABE" w14:textId="77777777"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14:paraId="633AF0BB" w14:textId="77777777" w:rsidTr="00237C22">
        <w:tc>
          <w:tcPr>
            <w:tcW w:w="1728" w:type="dxa"/>
          </w:tcPr>
          <w:p w14:paraId="0BAFDBBA" w14:textId="77777777" w:rsidR="00504F80" w:rsidRPr="00B4163A" w:rsidRDefault="00504F80" w:rsidP="00237C22">
            <w:pPr>
              <w:pStyle w:val="Heading5"/>
              <w:rPr>
                <w:sz w:val="24"/>
              </w:rPr>
            </w:pPr>
            <w:r w:rsidRPr="00B4163A">
              <w:rPr>
                <w:sz w:val="24"/>
              </w:rPr>
              <w:t>Distribution</w:t>
            </w:r>
          </w:p>
        </w:tc>
        <w:tc>
          <w:tcPr>
            <w:tcW w:w="7740" w:type="dxa"/>
          </w:tcPr>
          <w:p w14:paraId="748D13BB" w14:textId="77777777" w:rsidR="00504F80" w:rsidRDefault="00504F80" w:rsidP="00237C22">
            <w:pPr>
              <w:pStyle w:val="BlockText"/>
              <w:jc w:val="center"/>
            </w:pPr>
            <w:r w:rsidRPr="00B4163A">
              <w:t>LOCAL REPRODUCTION AUTHORIZED</w:t>
            </w:r>
          </w:p>
        </w:tc>
      </w:tr>
    </w:tbl>
    <w:p w14:paraId="67322340" w14:textId="77777777" w:rsidR="00504F80" w:rsidRDefault="00504F80" w:rsidP="00504F80">
      <w:pPr>
        <w:pStyle w:val="BlockLine"/>
      </w:pP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RgBvAG4AdABTAGUAdABGAG8AbgB0AFMAZQB0AEYAbwBuAHQAUwBlAHQAaQBtAGkAcwB0AHkAbABl
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RgBvAG4AdABTAGUAdABGAG8AbgB0AFMAZQB0AEYAbwBuAHQAUwBlAHQARgBvAG4AdABTAGUAdABp
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AG8AbgB0AFMAZQB0AEYAbwBuAHQAUwBlAHQARgBvAG4AdABTAGUAdABpAG0AaQBzAHQAeQBsAGUA
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AG8AbgB0AFMAZQB0AEYAbwBuAHQAUwBlAHQARgBvAG4AdABTAGUAdABGAG8AbgB0AFMAZQB0AGkA
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bwBuAHQAUwBlAHQARgBvAG4AdABTAGUAdABpAG0AaQBzAHQAeQBsAGUAcwAuAHgAbQBsAA==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bwBuAHQAUwBlAHQARgBvAG4AdABTAGUAdABGAG8AbgB0AFMAZQB0AGkAbQBpAHMAdAB5AGwAZQBz
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bwBuAHQAUwBlAHQARgBvAG4AdABTAGUAdABGAG8AbgB0AFMAZQB0AEYAbwBuAHQAUwBlAHQAaQBt
AGkAcwB0AHkAbABlAHMALgB4AG0AbAA=
</w:fldData>
        </w:fldChar>
      </w:r>
      <w:r>
        <w:instrText xml:space="preserve"> ADDIN  \* MERGEFORMAT </w:instrText>
      </w:r>
      <w:r>
        <w:fldChar w:fldCharType="end"/>
      </w:r>
    </w:p>
    <w:p w14:paraId="097F4EFB" w14:textId="77777777" w:rsidR="007D5B97" w:rsidRDefault="00C24D50">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RgBvAG4AdABTAGUAdABpAG0AaQBzAHQAeQBsAGUAcwAuAHgAbQBsAA==
</w:fldData>
        </w:fldChar>
      </w:r>
      <w:r>
        <w:instrText xml:space="preserve"> ADDIN  \* MERGEFORMAT </w:instrText>
      </w:r>
      <w:r>
        <w:fldChar w:fldCharType="end"/>
      </w:r>
      <w:r w:rsidR="006D52FE">
        <w:fldChar w:fldCharType="begin">
          <w:fldData xml:space="preserve">RABvAGMAVABlAG0AcAAxAFYAYQByAFQAcgBhAGQAaQB0AGkAbwBuAGEAbAA=
</w:fldData>
        </w:fldChar>
      </w:r>
      <w:r w:rsidR="006D52FE">
        <w:instrText xml:space="preserve"> ADDIN  \* MERGEFORMAT </w:instrText>
      </w:r>
      <w:r w:rsidR="006D52FE">
        <w:fldChar w:fldCharType="end"/>
      </w:r>
      <w:r w:rsidR="006D52FE">
        <w:fldChar w:fldCharType="begin">
          <w:fldData xml:space="preserve">RgBvAG4AdABTAGUAdABGAG8AbgB0AFMAZQB0AGkAbQBpAHMAdAB5AGwAZQBzAC4AeABtAGwA
</w:fldData>
        </w:fldChar>
      </w:r>
      <w:r w:rsidR="006D52FE">
        <w:instrText xml:space="preserve"> ADDIN  \* MERGEFORMAT </w:instrText>
      </w:r>
      <w:r w:rsidR="006D52FE">
        <w:fldChar w:fldCharType="end"/>
      </w:r>
      <w:r w:rsidR="006D10E5">
        <w:fldChar w:fldCharType="begin">
          <w:fldData xml:space="preserve">RABvAGMAVABlAG0AcAAxAFYAYQByAFQAcgBhAGQAaQB0AGkAbwBuAGEAbAA=
</w:fldData>
        </w:fldChar>
      </w:r>
      <w:r w:rsidR="006D10E5">
        <w:instrText xml:space="preserve"> ADDIN  \* MERGEFORMAT </w:instrText>
      </w:r>
      <w:r w:rsidR="006D10E5">
        <w:fldChar w:fldCharType="end"/>
      </w:r>
      <w:r w:rsidR="006D10E5">
        <w:fldChar w:fldCharType="begin">
          <w:fldData xml:space="preserve">RgBvAG4AdABTAGUAdABGAG8AbgB0AFMAZQB0AEYAbwBuAHQAUwBlAHQAaQBtAGkAcwB0AHkAbABl
AHMALgB4AG0AbAA=
</w:fldData>
        </w:fldChar>
      </w:r>
      <w:r w:rsidR="006D10E5">
        <w:instrText xml:space="preserve"> ADDIN  \* MERGEFORMAT </w:instrText>
      </w:r>
      <w:r w:rsidR="006D10E5">
        <w:fldChar w:fldCharType="end"/>
      </w:r>
      <w:r w:rsidR="00600DC7">
        <w:fldChar w:fldCharType="begin">
          <w:fldData xml:space="preserve">RABvAGMAVABlAG0AcAAxAFYAYQByAFQAcgBhAGQAaQB0AGkAbwBuAGEAbAA=
</w:fldData>
        </w:fldChar>
      </w:r>
      <w:r w:rsidR="00600DC7">
        <w:instrText xml:space="preserve"> ADDIN  \* MERGEFORMAT </w:instrText>
      </w:r>
      <w:r w:rsidR="00600DC7">
        <w:fldChar w:fldCharType="end"/>
      </w:r>
      <w:r w:rsidR="00600DC7">
        <w:fldChar w:fldCharType="begin">
          <w:fldData xml:space="preserve">RgBvAG4AdABTAGUAdABGAG8AbgB0AFMAZQB0AEYAbwBuAHQAUwBlAHQARgBvAG4AdABTAGUAdABp
AG0AaQBzAHQAeQBsAGUAcwAuAHgAbQBsAA==
</w:fldData>
        </w:fldChar>
      </w:r>
      <w:r w:rsidR="00600DC7">
        <w:instrText xml:space="preserve"> ADDIN  \* MERGEFORMAT </w:instrText>
      </w:r>
      <w:r w:rsidR="00600DC7">
        <w:fldChar w:fldCharType="end"/>
      </w:r>
      <w:r w:rsidR="003F3021">
        <w:fldChar w:fldCharType="begin">
          <w:fldData xml:space="preserve">RABvAGMAVABlAG0AcAAxAFYAYQByAFQAcgBhAGQAaQB0AGkAbwBuAGEAbAA=
</w:fldData>
        </w:fldChar>
      </w:r>
      <w:r w:rsidR="003F3021">
        <w:instrText xml:space="preserve"> ADDIN  \* MERGEFORMAT </w:instrText>
      </w:r>
      <w:r w:rsidR="003F3021">
        <w:fldChar w:fldCharType="end"/>
      </w:r>
      <w:r w:rsidR="003F3021">
        <w:fldChar w:fldCharType="begin">
          <w:fldData xml:space="preserve">RgBvAG4AdABTAGUAdABpAG0AaQBzAHQAeQBsAGUAcwAuAHgAbQBsAA==
</w:fldData>
        </w:fldChar>
      </w:r>
      <w:r w:rsidR="003F3021">
        <w:instrText xml:space="preserve"> ADDIN  \* MERGEFORMAT </w:instrText>
      </w:r>
      <w:r w:rsidR="003F3021">
        <w:fldChar w:fldCharType="end"/>
      </w:r>
      <w:r w:rsidR="00D33A6E">
        <w:fldChar w:fldCharType="begin">
          <w:fldData xml:space="preserve">RABvAGMAVABlAG0AcAAxAFYAYQByAFQAcgBhAGQAaQB0AGkAbwBuAGEAbAA=
</w:fldData>
        </w:fldChar>
      </w:r>
      <w:r w:rsidR="00D33A6E">
        <w:instrText xml:space="preserve"> ADDIN  \* MERGEFORMAT </w:instrText>
      </w:r>
      <w:r w:rsidR="00D33A6E">
        <w:fldChar w:fldCharType="end"/>
      </w:r>
      <w:r w:rsidR="00D33A6E">
        <w:fldChar w:fldCharType="begin">
          <w:fldData xml:space="preserve">RgBvAG4AdABTAGUAdABpAG0AaQBzAHQAeQBsAGUAcwAuAHgAbQBsAA==
</w:fldData>
        </w:fldChar>
      </w:r>
      <w:r w:rsidR="00D33A6E">
        <w:instrText xml:space="preserve"> ADDIN  \* MERGEFORMAT </w:instrText>
      </w:r>
      <w:r w:rsidR="00D33A6E">
        <w:fldChar w:fldCharType="end"/>
      </w:r>
    </w:p>
    <w:sectPr w:rsidR="007D5B97" w:rsidSect="00237C22">
      <w:footerReference w:type="even" r:id="rId12"/>
      <w:footerReference w:type="default" r:id="rId13"/>
      <w:pgSz w:w="12240" w:h="15840"/>
      <w:pgMar w:top="1152" w:right="1440" w:bottom="1008"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89ABD" w14:textId="77777777" w:rsidR="002F33B1" w:rsidRDefault="002F33B1" w:rsidP="00C765C7">
      <w:r>
        <w:separator/>
      </w:r>
    </w:p>
  </w:endnote>
  <w:endnote w:type="continuationSeparator" w:id="0">
    <w:p w14:paraId="46052362" w14:textId="77777777" w:rsidR="002F33B1" w:rsidRDefault="002F33B1" w:rsidP="00C7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B1AA4" w14:textId="77777777" w:rsidR="00237C22" w:rsidRDefault="00237C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9A0376" w14:textId="77777777" w:rsidR="00237C22" w:rsidRDefault="00237C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8EC4B" w14:textId="77777777" w:rsidR="00237C22" w:rsidRDefault="00237C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294A">
      <w:rPr>
        <w:rStyle w:val="PageNumber"/>
        <w:noProof/>
      </w:rPr>
      <w:t>iii</w:t>
    </w:r>
    <w:r>
      <w:rPr>
        <w:rStyle w:val="PageNumber"/>
      </w:rPr>
      <w:fldChar w:fldCharType="end"/>
    </w:r>
  </w:p>
  <w:p w14:paraId="474DE238" w14:textId="77777777" w:rsidR="00237C22" w:rsidRDefault="00237C22" w:rsidP="00237C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05A8E8" w14:textId="77777777" w:rsidR="002F33B1" w:rsidRDefault="002F33B1" w:rsidP="00C765C7">
      <w:r>
        <w:separator/>
      </w:r>
    </w:p>
  </w:footnote>
  <w:footnote w:type="continuationSeparator" w:id="0">
    <w:p w14:paraId="2BA69549" w14:textId="77777777" w:rsidR="002F33B1" w:rsidRDefault="002F33B1" w:rsidP="00C76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55pt;height:12.55pt" o:bullet="t">
        <v:imagedata r:id="rId1" o:title="fspro_2columns"/>
      </v:shape>
    </w:pict>
  </w:numPicBullet>
  <w:numPicBullet w:numPicBulletId="1">
    <w:pict>
      <v:shape id="_x0000_i1027" type="#_x0000_t75" style="width:12.55pt;height:12.55pt" o:bullet="t">
        <v:imagedata r:id="rId2" o:title="advanced"/>
      </v:shape>
    </w:pict>
  </w:numPicBullet>
  <w:numPicBullet w:numPicBulletId="2">
    <w:pict>
      <v:shape id="_x0000_i1028" type="#_x0000_t75" style="width:12.55pt;height:12.55pt" o:bullet="t">
        <v:imagedata r:id="rId3" o:title="continue"/>
      </v:shape>
    </w:pict>
  </w:numPicBullet>
  <w:numPicBullet w:numPicBulletId="3">
    <w:pict>
      <v:shape id="_x0000_i1029" type="#_x0000_t75" style="width:12.55pt;height:12.55pt" o:bullet="t">
        <v:imagedata r:id="rId4" o:title="webpage"/>
      </v:shape>
    </w:pict>
  </w:numPicBullet>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0B1507"/>
    <w:multiLevelType w:val="hybridMultilevel"/>
    <w:tmpl w:val="E98E977C"/>
    <w:lvl w:ilvl="0" w:tplc="AF7CDDB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A86C76"/>
    <w:multiLevelType w:val="hybridMultilevel"/>
    <w:tmpl w:val="6D503998"/>
    <w:lvl w:ilvl="0" w:tplc="38E29A5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660BCF"/>
    <w:multiLevelType w:val="hybridMultilevel"/>
    <w:tmpl w:val="4E1604EA"/>
    <w:lvl w:ilvl="0" w:tplc="38E29A5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6">
    <w:nsid w:val="4AB259DA"/>
    <w:multiLevelType w:val="hybridMultilevel"/>
    <w:tmpl w:val="A866DC50"/>
    <w:lvl w:ilvl="0" w:tplc="38E29A5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8">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9">
    <w:nsid w:val="5EC90FC3"/>
    <w:multiLevelType w:val="hybridMultilevel"/>
    <w:tmpl w:val="C754825C"/>
    <w:lvl w:ilvl="0" w:tplc="38E29A5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A6B4C78"/>
    <w:multiLevelType w:val="singleLevel"/>
    <w:tmpl w:val="B4525DB6"/>
    <w:lvl w:ilvl="0">
      <w:start w:val="1"/>
      <w:numFmt w:val="bullet"/>
      <w:lvlText w:val=""/>
      <w:lvlJc w:val="left"/>
      <w:pPr>
        <w:tabs>
          <w:tab w:val="num" w:pos="533"/>
        </w:tabs>
        <w:ind w:left="533" w:hanging="360"/>
      </w:pPr>
      <w:rPr>
        <w:rFonts w:ascii="Symbol" w:hAnsi="Symbol" w:hint="default"/>
        <w:color w:val="auto"/>
      </w:rPr>
    </w:lvl>
  </w:abstractNum>
  <w:abstractNum w:abstractNumId="12">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1BF7B4F"/>
    <w:multiLevelType w:val="hybridMultilevel"/>
    <w:tmpl w:val="BBBED75C"/>
    <w:lvl w:ilvl="0" w:tplc="0140752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F16185"/>
    <w:multiLevelType w:val="hybridMultilevel"/>
    <w:tmpl w:val="0A327794"/>
    <w:lvl w:ilvl="0" w:tplc="0140752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16">
    <w:nsid w:val="78407290"/>
    <w:multiLevelType w:val="singleLevel"/>
    <w:tmpl w:val="67E094DC"/>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10"/>
  </w:num>
  <w:num w:numId="3">
    <w:abstractNumId w:val="0"/>
  </w:num>
  <w:num w:numId="4">
    <w:abstractNumId w:val="12"/>
  </w:num>
  <w:num w:numId="5">
    <w:abstractNumId w:val="8"/>
  </w:num>
  <w:num w:numId="6">
    <w:abstractNumId w:val="7"/>
  </w:num>
  <w:num w:numId="7">
    <w:abstractNumId w:val="15"/>
  </w:num>
  <w:num w:numId="8">
    <w:abstractNumId w:val="5"/>
  </w:num>
  <w:num w:numId="9">
    <w:abstractNumId w:val="4"/>
  </w:num>
  <w:num w:numId="10">
    <w:abstractNumId w:val="11"/>
  </w:num>
  <w:num w:numId="11">
    <w:abstractNumId w:val="1"/>
  </w:num>
  <w:num w:numId="12">
    <w:abstractNumId w:val="14"/>
  </w:num>
  <w:num w:numId="13">
    <w:abstractNumId w:val="13"/>
  </w:num>
  <w:num w:numId="14">
    <w:abstractNumId w:val="6"/>
  </w:num>
  <w:num w:numId="15">
    <w:abstractNumId w:val="3"/>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imistyles.xml"/>
  </w:docVars>
  <w:rsids>
    <w:rsidRoot w:val="00FF26A6"/>
    <w:rsid w:val="00002A1E"/>
    <w:rsid w:val="00005123"/>
    <w:rsid w:val="00014A89"/>
    <w:rsid w:val="000252C6"/>
    <w:rsid w:val="000256FB"/>
    <w:rsid w:val="000627DA"/>
    <w:rsid w:val="00093228"/>
    <w:rsid w:val="000A7776"/>
    <w:rsid w:val="00100433"/>
    <w:rsid w:val="0010215F"/>
    <w:rsid w:val="00106EEF"/>
    <w:rsid w:val="00123973"/>
    <w:rsid w:val="001253ED"/>
    <w:rsid w:val="0015768F"/>
    <w:rsid w:val="00186D46"/>
    <w:rsid w:val="001C3AE3"/>
    <w:rsid w:val="001C3EB5"/>
    <w:rsid w:val="002041BE"/>
    <w:rsid w:val="002220F1"/>
    <w:rsid w:val="00237C22"/>
    <w:rsid w:val="00240624"/>
    <w:rsid w:val="00271962"/>
    <w:rsid w:val="00272DF4"/>
    <w:rsid w:val="002A1D3E"/>
    <w:rsid w:val="002B7A7E"/>
    <w:rsid w:val="002F33B1"/>
    <w:rsid w:val="002F5B21"/>
    <w:rsid w:val="002F7397"/>
    <w:rsid w:val="00332B80"/>
    <w:rsid w:val="00341981"/>
    <w:rsid w:val="00366D36"/>
    <w:rsid w:val="00382C06"/>
    <w:rsid w:val="00386999"/>
    <w:rsid w:val="003B2927"/>
    <w:rsid w:val="003D47AF"/>
    <w:rsid w:val="003E2CA2"/>
    <w:rsid w:val="003F3021"/>
    <w:rsid w:val="003F6048"/>
    <w:rsid w:val="003F672A"/>
    <w:rsid w:val="00401EAD"/>
    <w:rsid w:val="0040351B"/>
    <w:rsid w:val="0041026E"/>
    <w:rsid w:val="00421403"/>
    <w:rsid w:val="00422836"/>
    <w:rsid w:val="00435BA5"/>
    <w:rsid w:val="00437647"/>
    <w:rsid w:val="00450FD6"/>
    <w:rsid w:val="00455EF7"/>
    <w:rsid w:val="004562CC"/>
    <w:rsid w:val="00471ECA"/>
    <w:rsid w:val="00477F9D"/>
    <w:rsid w:val="00482FA3"/>
    <w:rsid w:val="0048559D"/>
    <w:rsid w:val="00494175"/>
    <w:rsid w:val="004F375E"/>
    <w:rsid w:val="00504F80"/>
    <w:rsid w:val="00506485"/>
    <w:rsid w:val="00513DA7"/>
    <w:rsid w:val="00516C82"/>
    <w:rsid w:val="00526F0E"/>
    <w:rsid w:val="00594258"/>
    <w:rsid w:val="005D584A"/>
    <w:rsid w:val="005E4363"/>
    <w:rsid w:val="00600DC7"/>
    <w:rsid w:val="0062068D"/>
    <w:rsid w:val="006317AA"/>
    <w:rsid w:val="006473C3"/>
    <w:rsid w:val="006708D7"/>
    <w:rsid w:val="0067294A"/>
    <w:rsid w:val="006837E0"/>
    <w:rsid w:val="006B7262"/>
    <w:rsid w:val="006C3E5F"/>
    <w:rsid w:val="006C48FF"/>
    <w:rsid w:val="006C72DB"/>
    <w:rsid w:val="006D10E5"/>
    <w:rsid w:val="006D52FE"/>
    <w:rsid w:val="006F6D37"/>
    <w:rsid w:val="00724248"/>
    <w:rsid w:val="00732186"/>
    <w:rsid w:val="00737049"/>
    <w:rsid w:val="007A0C5F"/>
    <w:rsid w:val="007A4902"/>
    <w:rsid w:val="007D5B97"/>
    <w:rsid w:val="007E5515"/>
    <w:rsid w:val="0080590C"/>
    <w:rsid w:val="008144E7"/>
    <w:rsid w:val="00822A16"/>
    <w:rsid w:val="00837096"/>
    <w:rsid w:val="0086475B"/>
    <w:rsid w:val="00865928"/>
    <w:rsid w:val="00875AFA"/>
    <w:rsid w:val="0088609E"/>
    <w:rsid w:val="008929BE"/>
    <w:rsid w:val="008B4CB5"/>
    <w:rsid w:val="008C723F"/>
    <w:rsid w:val="008D12C3"/>
    <w:rsid w:val="008D458B"/>
    <w:rsid w:val="008E22CF"/>
    <w:rsid w:val="008E5824"/>
    <w:rsid w:val="008E589A"/>
    <w:rsid w:val="008F14EA"/>
    <w:rsid w:val="008F1D5B"/>
    <w:rsid w:val="009143C7"/>
    <w:rsid w:val="00916AE6"/>
    <w:rsid w:val="00930062"/>
    <w:rsid w:val="00933BDB"/>
    <w:rsid w:val="00945950"/>
    <w:rsid w:val="009769CD"/>
    <w:rsid w:val="00997D98"/>
    <w:rsid w:val="009C22C8"/>
    <w:rsid w:val="009E6E1A"/>
    <w:rsid w:val="00A315CB"/>
    <w:rsid w:val="00A3579D"/>
    <w:rsid w:val="00A5052C"/>
    <w:rsid w:val="00A55356"/>
    <w:rsid w:val="00A557BB"/>
    <w:rsid w:val="00A8520D"/>
    <w:rsid w:val="00AC2993"/>
    <w:rsid w:val="00AD0EDC"/>
    <w:rsid w:val="00AF2CD6"/>
    <w:rsid w:val="00B0548B"/>
    <w:rsid w:val="00B30D2F"/>
    <w:rsid w:val="00B50AD7"/>
    <w:rsid w:val="00B64F2F"/>
    <w:rsid w:val="00B926E2"/>
    <w:rsid w:val="00B93A3C"/>
    <w:rsid w:val="00B96287"/>
    <w:rsid w:val="00BB3345"/>
    <w:rsid w:val="00BD45E7"/>
    <w:rsid w:val="00BF7FE3"/>
    <w:rsid w:val="00C0404B"/>
    <w:rsid w:val="00C10A8C"/>
    <w:rsid w:val="00C24D50"/>
    <w:rsid w:val="00C273AD"/>
    <w:rsid w:val="00C765C7"/>
    <w:rsid w:val="00CD2D08"/>
    <w:rsid w:val="00D0712A"/>
    <w:rsid w:val="00D33A6E"/>
    <w:rsid w:val="00D36508"/>
    <w:rsid w:val="00D57B91"/>
    <w:rsid w:val="00D61497"/>
    <w:rsid w:val="00D77146"/>
    <w:rsid w:val="00D80A0A"/>
    <w:rsid w:val="00D823AF"/>
    <w:rsid w:val="00D87741"/>
    <w:rsid w:val="00D9207B"/>
    <w:rsid w:val="00DA11C2"/>
    <w:rsid w:val="00DB074F"/>
    <w:rsid w:val="00DB2902"/>
    <w:rsid w:val="00DB743E"/>
    <w:rsid w:val="00DE0E35"/>
    <w:rsid w:val="00DF44AC"/>
    <w:rsid w:val="00E2529E"/>
    <w:rsid w:val="00E36906"/>
    <w:rsid w:val="00E648E9"/>
    <w:rsid w:val="00E964FD"/>
    <w:rsid w:val="00ED4D5E"/>
    <w:rsid w:val="00ED71C8"/>
    <w:rsid w:val="00EE01D9"/>
    <w:rsid w:val="00EF5989"/>
    <w:rsid w:val="00F006B2"/>
    <w:rsid w:val="00F22E93"/>
    <w:rsid w:val="00F43DFA"/>
    <w:rsid w:val="00F87670"/>
    <w:rsid w:val="00F87F72"/>
    <w:rsid w:val="00F90609"/>
    <w:rsid w:val="00F9154A"/>
    <w:rsid w:val="00FB6AD1"/>
    <w:rsid w:val="00FF26A6"/>
    <w:rsid w:val="00FF6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1B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styleId="BlockText">
    <w:name w:val="Block Text"/>
    <w:basedOn w:val="Normal"/>
    <w:rsid w:val="008F14EA"/>
  </w:style>
  <w:style w:type="paragraph" w:customStyle="1" w:styleId="BulletText1">
    <w:name w:val="Bullet Text 1"/>
    <w:basedOn w:val="Normal"/>
    <w:rsid w:val="008F14EA"/>
    <w:pPr>
      <w:numPr>
        <w:numId w:val="2"/>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rsid w:val="008F14EA"/>
    <w:rPr>
      <w:szCs w:val="20"/>
    </w:rPr>
  </w:style>
  <w:style w:type="paragraph" w:customStyle="1" w:styleId="TableHeaderText">
    <w:name w:val="Table Header Text"/>
    <w:basedOn w:val="Normal"/>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3"/>
      </w:numPr>
    </w:pPr>
    <w:rPr>
      <w:szCs w:val="20"/>
    </w:rPr>
  </w:style>
  <w:style w:type="character" w:styleId="Hyperlink">
    <w:name w:val="Hyperlink"/>
    <w:uiPriority w:val="99"/>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uiPriority w:val="99"/>
    <w:semiHidden/>
    <w:unhideWhenUsed/>
    <w:rsid w:val="00B96287"/>
    <w:rPr>
      <w:sz w:val="16"/>
      <w:szCs w:val="16"/>
    </w:rPr>
  </w:style>
  <w:style w:type="paragraph" w:styleId="CommentText">
    <w:name w:val="annotation text"/>
    <w:basedOn w:val="Normal"/>
    <w:link w:val="CommentTextChar"/>
    <w:uiPriority w:val="99"/>
    <w:semiHidden/>
    <w:unhideWhenUsed/>
    <w:rsid w:val="00B96287"/>
    <w:rPr>
      <w:sz w:val="20"/>
      <w:szCs w:val="20"/>
    </w:rPr>
  </w:style>
  <w:style w:type="character" w:customStyle="1" w:styleId="CommentTextChar">
    <w:name w:val="Comment Text Char"/>
    <w:link w:val="CommentText"/>
    <w:uiPriority w:val="99"/>
    <w:semiHidden/>
    <w:rsid w:val="00B96287"/>
    <w:rPr>
      <w:rFonts w:eastAsia="Times New Roman"/>
      <w:color w:val="000000"/>
    </w:rPr>
  </w:style>
  <w:style w:type="paragraph" w:styleId="CommentSubject">
    <w:name w:val="annotation subject"/>
    <w:basedOn w:val="CommentText"/>
    <w:next w:val="CommentText"/>
    <w:link w:val="CommentSubjectChar"/>
    <w:uiPriority w:val="99"/>
    <w:semiHidden/>
    <w:unhideWhenUsed/>
    <w:rsid w:val="00B96287"/>
    <w:rPr>
      <w:b/>
      <w:bCs/>
    </w:rPr>
  </w:style>
  <w:style w:type="character" w:customStyle="1" w:styleId="CommentSubjectChar">
    <w:name w:val="Comment Subject Char"/>
    <w:link w:val="CommentSubject"/>
    <w:uiPriority w:val="99"/>
    <w:semiHidden/>
    <w:rsid w:val="00B96287"/>
    <w:rPr>
      <w:rFonts w:eastAsia="Times New Roman"/>
      <w:b/>
      <w:bCs/>
      <w:color w:val="000000"/>
    </w:rPr>
  </w:style>
  <w:style w:type="paragraph" w:styleId="BalloonText">
    <w:name w:val="Balloon Text"/>
    <w:basedOn w:val="Normal"/>
    <w:link w:val="BalloonTextChar"/>
    <w:semiHidden/>
    <w:rsid w:val="008F14EA"/>
    <w:rPr>
      <w:rFonts w:ascii="Tahoma" w:hAnsi="Tahoma" w:cs="Tahoma"/>
      <w:sz w:val="16"/>
      <w:szCs w:val="16"/>
    </w:rPr>
  </w:style>
  <w:style w:type="character" w:customStyle="1" w:styleId="BalloonTextChar">
    <w:name w:val="Balloon Text Char"/>
    <w:link w:val="BalloonText"/>
    <w:semiHidden/>
    <w:rsid w:val="00B96287"/>
    <w:rPr>
      <w:rFonts w:ascii="Tahoma" w:eastAsia="Times New Roman" w:hAnsi="Tahoma" w:cs="Tahoma"/>
      <w:color w:val="000000"/>
      <w:sz w:val="16"/>
      <w:szCs w:val="16"/>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
    <w:link w:val="Heading3"/>
    <w:rsid w:val="00C24D50"/>
    <w:rPr>
      <w:rFonts w:ascii="Arial" w:eastAsia="Times New Roman" w:hAnsi="Arial" w:cs="Arial"/>
      <w:b/>
      <w:color w:val="000000"/>
      <w:sz w:val="32"/>
    </w:rPr>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ulletText3">
    <w:name w:val="Bullet Text 3"/>
    <w:basedOn w:val="Normal"/>
    <w:rsid w:val="008F14EA"/>
    <w:pPr>
      <w:numPr>
        <w:numId w:val="4"/>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uiPriority w:val="39"/>
    <w:rsid w:val="008F14EA"/>
    <w:pPr>
      <w:ind w:left="480"/>
    </w:pPr>
  </w:style>
  <w:style w:type="paragraph" w:styleId="TOC4">
    <w:name w:val="toc 4"/>
    <w:basedOn w:val="Normal"/>
    <w:next w:val="Normal"/>
    <w:autoRedefine/>
    <w:uiPriority w:val="39"/>
    <w:rsid w:val="008F14EA"/>
    <w:pPr>
      <w:ind w:left="720"/>
    </w:pPr>
  </w:style>
  <w:style w:type="paragraph" w:styleId="ListParagraph">
    <w:name w:val="List Paragraph"/>
    <w:basedOn w:val="Normal"/>
    <w:uiPriority w:val="34"/>
    <w:qFormat/>
    <w:rsid w:val="001576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styleId="BlockText">
    <w:name w:val="Block Text"/>
    <w:basedOn w:val="Normal"/>
    <w:rsid w:val="008F14EA"/>
  </w:style>
  <w:style w:type="paragraph" w:customStyle="1" w:styleId="BulletText1">
    <w:name w:val="Bullet Text 1"/>
    <w:basedOn w:val="Normal"/>
    <w:rsid w:val="008F14EA"/>
    <w:pPr>
      <w:numPr>
        <w:numId w:val="2"/>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rsid w:val="008F14EA"/>
    <w:rPr>
      <w:szCs w:val="20"/>
    </w:rPr>
  </w:style>
  <w:style w:type="paragraph" w:customStyle="1" w:styleId="TableHeaderText">
    <w:name w:val="Table Header Text"/>
    <w:basedOn w:val="Normal"/>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3"/>
      </w:numPr>
    </w:pPr>
    <w:rPr>
      <w:szCs w:val="20"/>
    </w:rPr>
  </w:style>
  <w:style w:type="character" w:styleId="Hyperlink">
    <w:name w:val="Hyperlink"/>
    <w:uiPriority w:val="99"/>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uiPriority w:val="99"/>
    <w:semiHidden/>
    <w:unhideWhenUsed/>
    <w:rsid w:val="00B96287"/>
    <w:rPr>
      <w:sz w:val="16"/>
      <w:szCs w:val="16"/>
    </w:rPr>
  </w:style>
  <w:style w:type="paragraph" w:styleId="CommentText">
    <w:name w:val="annotation text"/>
    <w:basedOn w:val="Normal"/>
    <w:link w:val="CommentTextChar"/>
    <w:uiPriority w:val="99"/>
    <w:semiHidden/>
    <w:unhideWhenUsed/>
    <w:rsid w:val="00B96287"/>
    <w:rPr>
      <w:sz w:val="20"/>
      <w:szCs w:val="20"/>
    </w:rPr>
  </w:style>
  <w:style w:type="character" w:customStyle="1" w:styleId="CommentTextChar">
    <w:name w:val="Comment Text Char"/>
    <w:link w:val="CommentText"/>
    <w:uiPriority w:val="99"/>
    <w:semiHidden/>
    <w:rsid w:val="00B96287"/>
    <w:rPr>
      <w:rFonts w:eastAsia="Times New Roman"/>
      <w:color w:val="000000"/>
    </w:rPr>
  </w:style>
  <w:style w:type="paragraph" w:styleId="CommentSubject">
    <w:name w:val="annotation subject"/>
    <w:basedOn w:val="CommentText"/>
    <w:next w:val="CommentText"/>
    <w:link w:val="CommentSubjectChar"/>
    <w:uiPriority w:val="99"/>
    <w:semiHidden/>
    <w:unhideWhenUsed/>
    <w:rsid w:val="00B96287"/>
    <w:rPr>
      <w:b/>
      <w:bCs/>
    </w:rPr>
  </w:style>
  <w:style w:type="character" w:customStyle="1" w:styleId="CommentSubjectChar">
    <w:name w:val="Comment Subject Char"/>
    <w:link w:val="CommentSubject"/>
    <w:uiPriority w:val="99"/>
    <w:semiHidden/>
    <w:rsid w:val="00B96287"/>
    <w:rPr>
      <w:rFonts w:eastAsia="Times New Roman"/>
      <w:b/>
      <w:bCs/>
      <w:color w:val="000000"/>
    </w:rPr>
  </w:style>
  <w:style w:type="paragraph" w:styleId="BalloonText">
    <w:name w:val="Balloon Text"/>
    <w:basedOn w:val="Normal"/>
    <w:link w:val="BalloonTextChar"/>
    <w:semiHidden/>
    <w:rsid w:val="008F14EA"/>
    <w:rPr>
      <w:rFonts w:ascii="Tahoma" w:hAnsi="Tahoma" w:cs="Tahoma"/>
      <w:sz w:val="16"/>
      <w:szCs w:val="16"/>
    </w:rPr>
  </w:style>
  <w:style w:type="character" w:customStyle="1" w:styleId="BalloonTextChar">
    <w:name w:val="Balloon Text Char"/>
    <w:link w:val="BalloonText"/>
    <w:semiHidden/>
    <w:rsid w:val="00B96287"/>
    <w:rPr>
      <w:rFonts w:ascii="Tahoma" w:eastAsia="Times New Roman" w:hAnsi="Tahoma" w:cs="Tahoma"/>
      <w:color w:val="000000"/>
      <w:sz w:val="16"/>
      <w:szCs w:val="16"/>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
    <w:link w:val="Heading3"/>
    <w:rsid w:val="00C24D50"/>
    <w:rPr>
      <w:rFonts w:ascii="Arial" w:eastAsia="Times New Roman" w:hAnsi="Arial" w:cs="Arial"/>
      <w:b/>
      <w:color w:val="000000"/>
      <w:sz w:val="32"/>
    </w:rPr>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ulletText3">
    <w:name w:val="Bullet Text 3"/>
    <w:basedOn w:val="Normal"/>
    <w:rsid w:val="008F14EA"/>
    <w:pPr>
      <w:numPr>
        <w:numId w:val="4"/>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uiPriority w:val="39"/>
    <w:rsid w:val="008F14EA"/>
    <w:pPr>
      <w:ind w:left="480"/>
    </w:pPr>
  </w:style>
  <w:style w:type="paragraph" w:styleId="TOC4">
    <w:name w:val="toc 4"/>
    <w:basedOn w:val="Normal"/>
    <w:next w:val="Normal"/>
    <w:autoRedefine/>
    <w:uiPriority w:val="39"/>
    <w:rsid w:val="008F14EA"/>
    <w:pPr>
      <w:ind w:left="720"/>
    </w:pPr>
  </w:style>
  <w:style w:type="paragraph" w:styleId="ListParagraph">
    <w:name w:val="List Paragraph"/>
    <w:basedOn w:val="Normal"/>
    <w:uiPriority w:val="34"/>
    <w:qFormat/>
    <w:rsid w:val="001576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pktibb\AppData\Roaming\Microsoft\Templates\Transmittal%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F55FE2-175B-4D19-B4BB-51FFB039E27D}">
  <ds:schemaRefs>
    <ds:schemaRef ds:uri="http://schemas.microsoft.com/office/2006/metadata/longProperties"/>
  </ds:schemaRefs>
</ds:datastoreItem>
</file>

<file path=customXml/itemProps2.xml><?xml version="1.0" encoding="utf-8"?>
<ds:datastoreItem xmlns:ds="http://schemas.openxmlformats.org/officeDocument/2006/customXml" ds:itemID="{27B0E5C3-A606-4E28-86F8-925CC17CA5BD}">
  <ds:schemaRefs>
    <ds:schemaRef ds:uri="http://schemas.microsoft.com/sharepoint/v3/contenttype/forms"/>
  </ds:schemaRefs>
</ds:datastoreItem>
</file>

<file path=customXml/itemProps3.xml><?xml version="1.0" encoding="utf-8"?>
<ds:datastoreItem xmlns:ds="http://schemas.openxmlformats.org/officeDocument/2006/customXml" ds:itemID="{D0BB3262-7E72-4827-AF20-6F4868708AA5}">
  <ds:schemaRefs>
    <ds:schemaRef ds:uri="http://schemas.microsoft.com/office/infopath/2007/PartnerControls"/>
    <ds:schemaRef ds:uri="http://purl.org/dc/dcmitype/"/>
    <ds:schemaRef ds:uri="http://schemas.openxmlformats.org/package/2006/metadata/core-properties"/>
    <ds:schemaRef ds:uri="http://purl.org/dc/terms/"/>
    <ds:schemaRef ds:uri="http://purl.org/dc/elements/1.1/"/>
    <ds:schemaRef ds:uri="http://www.w3.org/XML/1998/namespace"/>
    <ds:schemaRef ds:uri="b438dcf7-3998-4283-b7fc-0ec6fa8e430f"/>
    <ds:schemaRef ds:uri="http://schemas.microsoft.com/office/2006/documentManagement/types"/>
    <ds:schemaRef ds:uri="http://schemas.microsoft.com/office/2006/metadata/properties"/>
  </ds:schemaRefs>
</ds:datastoreItem>
</file>

<file path=customXml/itemProps4.xml><?xml version="1.0" encoding="utf-8"?>
<ds:datastoreItem xmlns:ds="http://schemas.openxmlformats.org/officeDocument/2006/customXml" ds:itemID="{569E17B2-9C2F-42B4-AB27-C64D83F37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Transmittal Sheet</Template>
  <TotalTime>92</TotalTime>
  <Pages>3</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capktibb</dc:creator>
  <cp:lastModifiedBy>Kimberly Martin-Butler</cp:lastModifiedBy>
  <cp:revision>18</cp:revision>
  <dcterms:created xsi:type="dcterms:W3CDTF">2015-02-03T16:19:00Z</dcterms:created>
  <dcterms:modified xsi:type="dcterms:W3CDTF">2015-07-16T12:51:00Z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0x010100A3776AF772BF364D8E899CBB1EA8E540</vt:lpwstr>
  </property>
</Properties>
</file>