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606FD" w14:textId="65FD1507" w:rsidR="00504F80" w:rsidRPr="00462679" w:rsidRDefault="00504F80" w:rsidP="00504F80">
      <w:pPr>
        <w:pStyle w:val="Heading4"/>
        <w:tabs>
          <w:tab w:val="left" w:pos="6840"/>
        </w:tabs>
        <w:spacing w:after="0"/>
        <w:ind w:right="-720"/>
        <w:rPr>
          <w:rFonts w:ascii="Times New Roman" w:hAnsi="Times New Roman"/>
          <w:sz w:val="20"/>
        </w:rPr>
      </w:pPr>
      <w:r w:rsidRPr="00462679">
        <w:rPr>
          <w:rFonts w:ascii="Times New Roman" w:hAnsi="Times New Roman"/>
          <w:sz w:val="20"/>
        </w:rPr>
        <w:t>Department of Veterans Affairs</w:t>
      </w:r>
      <w:r w:rsidRPr="00462679">
        <w:rPr>
          <w:rFonts w:ascii="Times New Roman" w:hAnsi="Times New Roman"/>
          <w:sz w:val="20"/>
        </w:rPr>
        <w:tab/>
        <w:t xml:space="preserve">M21-1, Part </w:t>
      </w:r>
      <w:r w:rsidR="00945950" w:rsidRPr="00462679">
        <w:rPr>
          <w:rFonts w:ascii="Times New Roman" w:hAnsi="Times New Roman"/>
          <w:sz w:val="20"/>
        </w:rPr>
        <w:t>III</w:t>
      </w:r>
      <w:r w:rsidRPr="00462679">
        <w:rPr>
          <w:rFonts w:ascii="Times New Roman" w:hAnsi="Times New Roman"/>
          <w:sz w:val="20"/>
        </w:rPr>
        <w:t xml:space="preserve">, Subpart </w:t>
      </w:r>
      <w:r w:rsidR="00042742" w:rsidRPr="00462679">
        <w:rPr>
          <w:rFonts w:ascii="Times New Roman" w:hAnsi="Times New Roman"/>
          <w:sz w:val="20"/>
        </w:rPr>
        <w:t>ii</w:t>
      </w:r>
    </w:p>
    <w:p w14:paraId="0066FE3B" w14:textId="3BD72FF4" w:rsidR="00504F80" w:rsidRPr="00462679" w:rsidRDefault="00504F80" w:rsidP="00504F80">
      <w:pPr>
        <w:rPr>
          <w:b/>
          <w:bCs/>
          <w:sz w:val="20"/>
        </w:rPr>
      </w:pPr>
      <w:r w:rsidRPr="00462679">
        <w:rPr>
          <w:b/>
          <w:bCs/>
          <w:sz w:val="20"/>
        </w:rPr>
        <w:t>Veterans Benefits Administration</w:t>
      </w:r>
      <w:r w:rsidRPr="00462679">
        <w:rPr>
          <w:b/>
          <w:bCs/>
          <w:sz w:val="20"/>
        </w:rPr>
        <w:tab/>
      </w:r>
      <w:r w:rsidRPr="00462679">
        <w:rPr>
          <w:b/>
          <w:bCs/>
          <w:sz w:val="20"/>
        </w:rPr>
        <w:tab/>
      </w:r>
      <w:r w:rsidRPr="00462679">
        <w:rPr>
          <w:b/>
          <w:bCs/>
          <w:sz w:val="20"/>
        </w:rPr>
        <w:tab/>
      </w:r>
      <w:r w:rsidRPr="00462679">
        <w:rPr>
          <w:b/>
          <w:bCs/>
          <w:sz w:val="20"/>
        </w:rPr>
        <w:tab/>
      </w:r>
      <w:r w:rsidRPr="00462679">
        <w:rPr>
          <w:b/>
          <w:bCs/>
          <w:sz w:val="20"/>
        </w:rPr>
        <w:tab/>
      </w:r>
      <w:r w:rsidRPr="00462679">
        <w:rPr>
          <w:b/>
          <w:bCs/>
          <w:sz w:val="20"/>
        </w:rPr>
        <w:tab/>
        <w:t xml:space="preserve">                   </w:t>
      </w:r>
      <w:r w:rsidR="00462679" w:rsidRPr="00462679">
        <w:rPr>
          <w:b/>
          <w:bCs/>
          <w:sz w:val="20"/>
        </w:rPr>
        <w:t xml:space="preserve">June 15, </w:t>
      </w:r>
      <w:r w:rsidR="00DE672E" w:rsidRPr="00462679">
        <w:rPr>
          <w:b/>
          <w:bCs/>
          <w:sz w:val="20"/>
        </w:rPr>
        <w:t>2015</w:t>
      </w:r>
      <w:r w:rsidRPr="00462679">
        <w:rPr>
          <w:b/>
          <w:bCs/>
          <w:sz w:val="20"/>
        </w:rPr>
        <w:tab/>
      </w:r>
    </w:p>
    <w:p w14:paraId="0A33BEDB" w14:textId="77777777" w:rsidR="00504F80" w:rsidRPr="00462679" w:rsidRDefault="00504F80" w:rsidP="00504F80">
      <w:pPr>
        <w:rPr>
          <w:b/>
          <w:bCs/>
          <w:sz w:val="20"/>
        </w:rPr>
      </w:pPr>
      <w:r w:rsidRPr="00462679">
        <w:rPr>
          <w:b/>
          <w:bCs/>
          <w:sz w:val="20"/>
        </w:rPr>
        <w:t>Washington, DC  20420</w:t>
      </w:r>
    </w:p>
    <w:p w14:paraId="7E2D8B7B" w14:textId="77777777" w:rsidR="00504F80" w:rsidRPr="00462679" w:rsidRDefault="00504F80" w:rsidP="00504F80">
      <w:pPr>
        <w:rPr>
          <w:b/>
          <w:bCs/>
          <w:sz w:val="20"/>
        </w:rPr>
      </w:pPr>
    </w:p>
    <w:p w14:paraId="344CF78B" w14:textId="77777777" w:rsidR="00504F80" w:rsidRPr="00462679" w:rsidRDefault="00504F80" w:rsidP="00504F80">
      <w:pPr>
        <w:pStyle w:val="Heading4"/>
      </w:pPr>
      <w:r w:rsidRPr="00462679">
        <w:t xml:space="preserve">Transmittal Sheet </w:t>
      </w:r>
    </w:p>
    <w:p w14:paraId="07C16298" w14:textId="77777777" w:rsidR="00504F80" w:rsidRPr="00462679" w:rsidRDefault="00504F80" w:rsidP="00504F80">
      <w:pPr>
        <w:pStyle w:val="BlockLine"/>
      </w:pPr>
      <w:r w:rsidRPr="00462679">
        <w:t xml:space="preserve"> </w:t>
      </w:r>
    </w:p>
    <w:tbl>
      <w:tblPr>
        <w:tblW w:w="9468" w:type="dxa"/>
        <w:tblLayout w:type="fixed"/>
        <w:tblLook w:val="0000" w:firstRow="0" w:lastRow="0" w:firstColumn="0" w:lastColumn="0" w:noHBand="0" w:noVBand="0"/>
      </w:tblPr>
      <w:tblGrid>
        <w:gridCol w:w="1728"/>
        <w:gridCol w:w="7740"/>
      </w:tblGrid>
      <w:tr w:rsidR="00504F80" w:rsidRPr="00462679" w14:paraId="3E91F83A" w14:textId="77777777" w:rsidTr="00C24D50">
        <w:tc>
          <w:tcPr>
            <w:tcW w:w="1728" w:type="dxa"/>
          </w:tcPr>
          <w:p w14:paraId="20F0258E" w14:textId="77777777" w:rsidR="00504F80" w:rsidRPr="00462679" w:rsidRDefault="00504F80" w:rsidP="00237C22">
            <w:pPr>
              <w:pStyle w:val="Heading5"/>
            </w:pPr>
            <w:r w:rsidRPr="00462679">
              <w:t>Changes Included in This Revision</w:t>
            </w:r>
          </w:p>
        </w:tc>
        <w:tc>
          <w:tcPr>
            <w:tcW w:w="7740" w:type="dxa"/>
          </w:tcPr>
          <w:p w14:paraId="37DD853D" w14:textId="18993439" w:rsidR="00504F80" w:rsidRPr="00462679" w:rsidRDefault="00504F80" w:rsidP="00237C22">
            <w:pPr>
              <w:pStyle w:val="BlockText"/>
            </w:pPr>
            <w:r w:rsidRPr="00462679">
              <w:t xml:space="preserve">The table below describes the changes included in this revision of Veterans Benefits Manual M21-1, Part </w:t>
            </w:r>
            <w:r w:rsidR="00BB3345" w:rsidRPr="00462679">
              <w:t>III</w:t>
            </w:r>
            <w:r w:rsidRPr="00462679">
              <w:t>, “</w:t>
            </w:r>
            <w:r w:rsidR="00BB3345" w:rsidRPr="00462679">
              <w:t>General Claims Process</w:t>
            </w:r>
            <w:r w:rsidRPr="00462679">
              <w:t xml:space="preserve">,” Subpart </w:t>
            </w:r>
            <w:r w:rsidR="00042742" w:rsidRPr="00462679">
              <w:t>ii</w:t>
            </w:r>
            <w:r w:rsidRPr="00462679">
              <w:t>, “</w:t>
            </w:r>
            <w:r w:rsidR="00042742" w:rsidRPr="00462679">
              <w:t>Initial Screening and Determining Veteran Status</w:t>
            </w:r>
            <w:r w:rsidRPr="00462679">
              <w:t>.”</w:t>
            </w:r>
          </w:p>
          <w:p w14:paraId="484D4808" w14:textId="77777777" w:rsidR="00504F80" w:rsidRPr="00462679" w:rsidRDefault="00504F80" w:rsidP="00237C22">
            <w:pPr>
              <w:pStyle w:val="BulletText1"/>
              <w:numPr>
                <w:ilvl w:val="0"/>
                <w:numId w:val="0"/>
              </w:numPr>
            </w:pPr>
          </w:p>
          <w:p w14:paraId="57D130B3" w14:textId="77777777" w:rsidR="00504F80" w:rsidRPr="00462679" w:rsidRDefault="00504F80" w:rsidP="00237C22">
            <w:pPr>
              <w:pStyle w:val="BulletText1"/>
              <w:numPr>
                <w:ilvl w:val="0"/>
                <w:numId w:val="0"/>
              </w:numPr>
            </w:pPr>
            <w:r w:rsidRPr="00462679">
              <w:rPr>
                <w:b/>
                <w:i/>
              </w:rPr>
              <w:t>Notes</w:t>
            </w:r>
            <w:r w:rsidRPr="00462679">
              <w:t xml:space="preserve">:  </w:t>
            </w:r>
          </w:p>
          <w:p w14:paraId="0F461C0C" w14:textId="77777777" w:rsidR="00042742" w:rsidRPr="00462679" w:rsidRDefault="00042742" w:rsidP="00042742">
            <w:pPr>
              <w:pStyle w:val="BulletText1"/>
            </w:pPr>
            <w:r w:rsidRPr="00462679">
              <w:t>The term regional office (RO) also includes pension management center (PMC), where appropriate.</w:t>
            </w:r>
          </w:p>
          <w:p w14:paraId="0FAEA3BF" w14:textId="77777777" w:rsidR="00042742" w:rsidRPr="00462679" w:rsidRDefault="00042742" w:rsidP="00042742">
            <w:pPr>
              <w:pStyle w:val="BulletText1"/>
            </w:pPr>
            <w:r w:rsidRPr="00462679">
              <w:t xml:space="preserve">Minor editorial changes have also been made to </w:t>
            </w:r>
          </w:p>
          <w:p w14:paraId="39CC9062" w14:textId="77777777" w:rsidR="00042742" w:rsidRPr="00462679" w:rsidRDefault="00042742" w:rsidP="00042742">
            <w:pPr>
              <w:pStyle w:val="BulletText2"/>
              <w:tabs>
                <w:tab w:val="num" w:pos="547"/>
              </w:tabs>
            </w:pPr>
            <w:r w:rsidRPr="00462679">
              <w:t>remove references to rescinded portions of M21-1</w:t>
            </w:r>
          </w:p>
          <w:p w14:paraId="77CBC9B4" w14:textId="77777777" w:rsidR="00042742" w:rsidRPr="00462679" w:rsidRDefault="00042742" w:rsidP="00042742">
            <w:pPr>
              <w:pStyle w:val="BulletText2"/>
              <w:tabs>
                <w:tab w:val="num" w:pos="547"/>
              </w:tabs>
            </w:pPr>
            <w:r w:rsidRPr="00462679">
              <w:t>update incorrect or obsolete hyperlink references</w:t>
            </w:r>
          </w:p>
          <w:p w14:paraId="09158ED9" w14:textId="31B9F146" w:rsidR="00184305" w:rsidRPr="00462679" w:rsidRDefault="00184305" w:rsidP="008C6D69">
            <w:pPr>
              <w:pStyle w:val="BulletText2"/>
              <w:tabs>
                <w:tab w:val="num" w:pos="547"/>
              </w:tabs>
            </w:pPr>
            <w:r w:rsidRPr="00462679">
              <w:t>unless otherwise noted, the term “claims folder” refers to either paper or electronic folders in which VA stores documentation relevant to claims</w:t>
            </w:r>
          </w:p>
          <w:p w14:paraId="63442415" w14:textId="7C4AE86A" w:rsidR="008C6D69" w:rsidRPr="00462679" w:rsidRDefault="008C6D69" w:rsidP="008C6D69">
            <w:pPr>
              <w:pStyle w:val="BulletText2"/>
              <w:tabs>
                <w:tab w:val="num" w:pos="547"/>
              </w:tabs>
            </w:pPr>
            <w:r w:rsidRPr="00462679">
              <w:t>reassign alphabetical designations to individual blocks and repaginate, where necessary, to account for new and/or deleted blocks within a topic</w:t>
            </w:r>
          </w:p>
          <w:p w14:paraId="75AFAC7F" w14:textId="77777777" w:rsidR="00D33801" w:rsidRPr="00462679" w:rsidRDefault="00042742" w:rsidP="00042742">
            <w:pPr>
              <w:pStyle w:val="BulletText2"/>
              <w:tabs>
                <w:tab w:val="num" w:pos="547"/>
              </w:tabs>
            </w:pPr>
            <w:r w:rsidRPr="00462679">
              <w:t xml:space="preserve">renumber each topic based on the standard that the first topic in each section is Topic 1, </w:t>
            </w:r>
          </w:p>
          <w:p w14:paraId="6005F0E1" w14:textId="778A821F" w:rsidR="00042742" w:rsidRPr="00462679" w:rsidRDefault="00D33801" w:rsidP="00D33801">
            <w:pPr>
              <w:pStyle w:val="BulletText2"/>
              <w:tabs>
                <w:tab w:val="num" w:pos="547"/>
              </w:tabs>
            </w:pPr>
            <w:r w:rsidRPr="00462679">
              <w:t xml:space="preserve">update topic titles to more accurately reflect their content, </w:t>
            </w:r>
            <w:r w:rsidR="00042742" w:rsidRPr="00462679">
              <w:t xml:space="preserve">and </w:t>
            </w:r>
          </w:p>
          <w:p w14:paraId="5EF6D68E" w14:textId="4875227B" w:rsidR="00504F80" w:rsidRPr="00462679" w:rsidRDefault="008C6D69" w:rsidP="00042742">
            <w:pPr>
              <w:pStyle w:val="BulletText2"/>
            </w:pPr>
            <w:proofErr w:type="gramStart"/>
            <w:r w:rsidRPr="00462679">
              <w:t>bring</w:t>
            </w:r>
            <w:proofErr w:type="gramEnd"/>
            <w:r w:rsidRPr="00462679">
              <w:t xml:space="preserve"> the documents into con</w:t>
            </w:r>
            <w:r w:rsidR="00042742" w:rsidRPr="00462679">
              <w:t>formance with M21-1 standards.</w:t>
            </w:r>
          </w:p>
        </w:tc>
      </w:tr>
    </w:tbl>
    <w:p w14:paraId="00EC9F78" w14:textId="77777777" w:rsidR="00C24D50" w:rsidRPr="00462679"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rsidRPr="00462679" w14:paraId="54671453" w14:textId="77777777" w:rsidTr="002220F1">
        <w:trPr>
          <w:trHeight w:val="180"/>
        </w:trPr>
        <w:tc>
          <w:tcPr>
            <w:tcW w:w="3942" w:type="pct"/>
            <w:shd w:val="clear" w:color="auto" w:fill="auto"/>
          </w:tcPr>
          <w:p w14:paraId="10AE5C45" w14:textId="77777777" w:rsidR="002A1D3E" w:rsidRPr="00462679" w:rsidRDefault="002A1D3E" w:rsidP="002F7397">
            <w:pPr>
              <w:pStyle w:val="TableHeaderText"/>
            </w:pPr>
            <w:r w:rsidRPr="00462679">
              <w:t>Reason(s) for the Change</w:t>
            </w:r>
          </w:p>
        </w:tc>
        <w:tc>
          <w:tcPr>
            <w:tcW w:w="1058" w:type="pct"/>
            <w:shd w:val="clear" w:color="auto" w:fill="auto"/>
          </w:tcPr>
          <w:p w14:paraId="0C1673D9" w14:textId="77777777" w:rsidR="002A1D3E" w:rsidRPr="00462679" w:rsidRDefault="002A1D3E" w:rsidP="002F7397">
            <w:pPr>
              <w:pStyle w:val="TableHeaderText"/>
            </w:pPr>
            <w:r w:rsidRPr="00462679">
              <w:t>Citation</w:t>
            </w:r>
          </w:p>
        </w:tc>
      </w:tr>
      <w:tr w:rsidR="002A1D3E" w:rsidRPr="00462679" w14:paraId="72E240F4" w14:textId="77777777" w:rsidTr="002220F1">
        <w:trPr>
          <w:trHeight w:val="180"/>
        </w:trPr>
        <w:tc>
          <w:tcPr>
            <w:tcW w:w="3942" w:type="pct"/>
            <w:shd w:val="clear" w:color="auto" w:fill="auto"/>
          </w:tcPr>
          <w:p w14:paraId="1EBB0CD7" w14:textId="77777777" w:rsidR="004A59A7" w:rsidRPr="00462679" w:rsidRDefault="004A59A7" w:rsidP="00462679">
            <w:pPr>
              <w:pStyle w:val="ListParagraph"/>
              <w:numPr>
                <w:ilvl w:val="0"/>
                <w:numId w:val="11"/>
              </w:numPr>
              <w:ind w:left="158" w:hanging="187"/>
            </w:pPr>
            <w:r w:rsidRPr="00462679">
              <w:t>To update that the Pittsburgh Regional Office (RO) has jurisdiction of live compensation claims and appeals involving a foreign residence.</w:t>
            </w:r>
          </w:p>
          <w:p w14:paraId="51D2E31E" w14:textId="77777777" w:rsidR="00D33801" w:rsidRPr="00462679" w:rsidRDefault="004A59A7" w:rsidP="00462679">
            <w:pPr>
              <w:pStyle w:val="ListParagraph"/>
              <w:numPr>
                <w:ilvl w:val="0"/>
                <w:numId w:val="11"/>
              </w:numPr>
              <w:ind w:left="158" w:hanging="187"/>
            </w:pPr>
            <w:r w:rsidRPr="00462679">
              <w:t>To update that the Philadelphia Pension Management Center (PMC) has jurisdiction of pension claims, survivors claims, and appeals for pension and survivors claims involving a foreign residence.</w:t>
            </w:r>
          </w:p>
          <w:p w14:paraId="11839719" w14:textId="50B8B63A" w:rsidR="002A1D3E" w:rsidRPr="00462679" w:rsidRDefault="00D33801" w:rsidP="00462679">
            <w:pPr>
              <w:pStyle w:val="ListParagraph"/>
              <w:numPr>
                <w:ilvl w:val="0"/>
                <w:numId w:val="11"/>
              </w:numPr>
              <w:ind w:left="158" w:hanging="187"/>
            </w:pPr>
            <w:r w:rsidRPr="00462679">
              <w:t>To add a reference to refer to jurisdiction of claims folders for living Veterans.</w:t>
            </w:r>
          </w:p>
        </w:tc>
        <w:tc>
          <w:tcPr>
            <w:tcW w:w="1058" w:type="pct"/>
            <w:shd w:val="clear" w:color="auto" w:fill="auto"/>
          </w:tcPr>
          <w:p w14:paraId="784CD23E" w14:textId="77777777" w:rsidR="002A1D3E" w:rsidRPr="00462679" w:rsidRDefault="00042742" w:rsidP="00042742">
            <w:pPr>
              <w:pStyle w:val="TableText"/>
            </w:pPr>
            <w:r w:rsidRPr="00462679">
              <w:t>Part III, Subpart ii</w:t>
            </w:r>
            <w:r w:rsidR="00CC0A7F" w:rsidRPr="00462679">
              <w:t xml:space="preserve">, Chapter </w:t>
            </w:r>
            <w:r w:rsidRPr="00462679">
              <w:t>5</w:t>
            </w:r>
            <w:r w:rsidR="00CC0A7F" w:rsidRPr="00462679">
              <w:t xml:space="preserve">, Section </w:t>
            </w:r>
            <w:r w:rsidRPr="00462679">
              <w:t>B</w:t>
            </w:r>
            <w:r w:rsidR="004A59A7" w:rsidRPr="00462679">
              <w:t>, Block b</w:t>
            </w:r>
          </w:p>
          <w:p w14:paraId="00485B46" w14:textId="2E0B813B" w:rsidR="004A59A7" w:rsidRPr="00462679" w:rsidRDefault="004A59A7" w:rsidP="00042742">
            <w:pPr>
              <w:pStyle w:val="TableText"/>
            </w:pPr>
            <w:r w:rsidRPr="00462679">
              <w:t>(III.ii.5.B.1.b)</w:t>
            </w:r>
          </w:p>
        </w:tc>
      </w:tr>
      <w:tr w:rsidR="00D7324F" w:rsidRPr="00462679" w14:paraId="7448481C" w14:textId="77777777" w:rsidTr="002220F1">
        <w:trPr>
          <w:trHeight w:val="180"/>
        </w:trPr>
        <w:tc>
          <w:tcPr>
            <w:tcW w:w="3942" w:type="pct"/>
            <w:shd w:val="clear" w:color="auto" w:fill="auto"/>
          </w:tcPr>
          <w:p w14:paraId="668FC1C6" w14:textId="0D5462A6" w:rsidR="00D7324F" w:rsidRPr="00462679" w:rsidRDefault="00D7324F" w:rsidP="00D7324F">
            <w:pPr>
              <w:pStyle w:val="TableText"/>
            </w:pPr>
            <w:r w:rsidRPr="00462679">
              <w:t>To update that the Philadelphia PMC has jurisdiction of burial or accrued claims in which expenses of last illness or burial involve foreign currency.</w:t>
            </w:r>
          </w:p>
        </w:tc>
        <w:tc>
          <w:tcPr>
            <w:tcW w:w="1058" w:type="pct"/>
            <w:shd w:val="clear" w:color="auto" w:fill="auto"/>
          </w:tcPr>
          <w:p w14:paraId="3409BA99" w14:textId="6AE1784D" w:rsidR="00D7324F" w:rsidRPr="00462679" w:rsidDel="00D33801" w:rsidRDefault="00D7324F" w:rsidP="002F7397">
            <w:pPr>
              <w:pStyle w:val="TableText"/>
            </w:pPr>
            <w:r w:rsidRPr="00462679">
              <w:t>III.ii.5.B.1.c</w:t>
            </w:r>
          </w:p>
        </w:tc>
      </w:tr>
      <w:tr w:rsidR="002A1D3E" w:rsidRPr="00462679" w14:paraId="13120538" w14:textId="77777777" w:rsidTr="002220F1">
        <w:trPr>
          <w:trHeight w:val="180"/>
        </w:trPr>
        <w:tc>
          <w:tcPr>
            <w:tcW w:w="3942" w:type="pct"/>
            <w:shd w:val="clear" w:color="auto" w:fill="auto"/>
          </w:tcPr>
          <w:p w14:paraId="6CE2B724" w14:textId="3119DF55" w:rsidR="002A1D3E" w:rsidRPr="00462679" w:rsidRDefault="00D33801" w:rsidP="00042742">
            <w:pPr>
              <w:pStyle w:val="TableText"/>
            </w:pPr>
            <w:r w:rsidRPr="00462679">
              <w:t>To delete block entitled “Areas Under Jurisdiction of Houston, White River Junction, and Pittsburgh” because it contained outdated information regarding jurisdiction of foreign residence cases and updated information is located in III.ii.5.B.1.b.</w:t>
            </w:r>
          </w:p>
        </w:tc>
        <w:tc>
          <w:tcPr>
            <w:tcW w:w="1058" w:type="pct"/>
            <w:shd w:val="clear" w:color="auto" w:fill="auto"/>
          </w:tcPr>
          <w:p w14:paraId="5098DAE3" w14:textId="48997D8B" w:rsidR="002A1D3E" w:rsidRPr="00462679" w:rsidRDefault="00D33801" w:rsidP="002F7397">
            <w:pPr>
              <w:pStyle w:val="TableText"/>
            </w:pPr>
            <w:r w:rsidRPr="00462679">
              <w:t>----------------------</w:t>
            </w:r>
          </w:p>
        </w:tc>
      </w:tr>
      <w:tr w:rsidR="00B31F6D" w:rsidRPr="00462679" w:rsidDel="00D7324F" w14:paraId="4B80D8EB" w14:textId="77777777" w:rsidTr="002220F1">
        <w:trPr>
          <w:trHeight w:val="180"/>
        </w:trPr>
        <w:tc>
          <w:tcPr>
            <w:tcW w:w="3942" w:type="pct"/>
            <w:shd w:val="clear" w:color="auto" w:fill="auto"/>
          </w:tcPr>
          <w:p w14:paraId="5BC38A89" w14:textId="34E2D9DB" w:rsidR="00B31F6D" w:rsidRPr="00462679" w:rsidDel="00184305" w:rsidRDefault="00B31F6D" w:rsidP="00042742">
            <w:pPr>
              <w:pStyle w:val="TableText"/>
            </w:pPr>
            <w:r w:rsidRPr="00462679">
              <w:t>To update guidance for jurisdiction of in-service death claims to indicate that the Philadelphia Veterans Service (VSC) has jurisdiction of all original claims, and that the PMC of jurisdiction has jurisdiction of all reopened claims.</w:t>
            </w:r>
          </w:p>
        </w:tc>
        <w:tc>
          <w:tcPr>
            <w:tcW w:w="1058" w:type="pct"/>
            <w:shd w:val="clear" w:color="auto" w:fill="auto"/>
          </w:tcPr>
          <w:p w14:paraId="77A68D1F" w14:textId="290E968D" w:rsidR="00B31F6D" w:rsidRPr="00462679" w:rsidDel="00D33801" w:rsidRDefault="00B31F6D" w:rsidP="002F7397">
            <w:pPr>
              <w:pStyle w:val="TableText"/>
            </w:pPr>
            <w:r w:rsidRPr="00462679">
              <w:t>III.ii.5.B.1.e</w:t>
            </w:r>
          </w:p>
        </w:tc>
      </w:tr>
    </w:tbl>
    <w:p w14:paraId="62CF86BD" w14:textId="77777777" w:rsidR="00504F80" w:rsidRPr="00462679"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462679" w14:paraId="233DDFF7" w14:textId="77777777" w:rsidTr="00237C22">
        <w:tc>
          <w:tcPr>
            <w:tcW w:w="1728" w:type="dxa"/>
          </w:tcPr>
          <w:p w14:paraId="4E70EEA8" w14:textId="77777777" w:rsidR="00504F80" w:rsidRPr="00462679" w:rsidRDefault="00504F80" w:rsidP="00237C22">
            <w:pPr>
              <w:pStyle w:val="Heading5"/>
              <w:rPr>
                <w:sz w:val="24"/>
              </w:rPr>
            </w:pPr>
            <w:r w:rsidRPr="00462679">
              <w:rPr>
                <w:sz w:val="24"/>
              </w:rPr>
              <w:t>Rescissions</w:t>
            </w:r>
          </w:p>
        </w:tc>
        <w:tc>
          <w:tcPr>
            <w:tcW w:w="7740" w:type="dxa"/>
          </w:tcPr>
          <w:p w14:paraId="5D806F62" w14:textId="77777777" w:rsidR="00504F80" w:rsidRPr="00462679" w:rsidRDefault="00504F80" w:rsidP="00237C22">
            <w:pPr>
              <w:pStyle w:val="BlockText"/>
            </w:pPr>
            <w:r w:rsidRPr="00462679">
              <w:t>None</w:t>
            </w:r>
          </w:p>
        </w:tc>
      </w:tr>
    </w:tbl>
    <w:p w14:paraId="17C5C6A6" w14:textId="77777777" w:rsidR="00504F80" w:rsidRPr="00462679" w:rsidRDefault="00504F80" w:rsidP="00504F80">
      <w:pPr>
        <w:pStyle w:val="BlockLine"/>
      </w:pPr>
      <w:r w:rsidRPr="00462679">
        <w:lastRenderedPageBreak/>
        <w:t xml:space="preserve"> </w:t>
      </w:r>
    </w:p>
    <w:tbl>
      <w:tblPr>
        <w:tblW w:w="0" w:type="auto"/>
        <w:tblLayout w:type="fixed"/>
        <w:tblLook w:val="0000" w:firstRow="0" w:lastRow="0" w:firstColumn="0" w:lastColumn="0" w:noHBand="0" w:noVBand="0"/>
      </w:tblPr>
      <w:tblGrid>
        <w:gridCol w:w="1728"/>
        <w:gridCol w:w="7740"/>
      </w:tblGrid>
      <w:tr w:rsidR="00504F80" w:rsidRPr="00462679" w14:paraId="5FAE484B" w14:textId="77777777" w:rsidTr="00237C22">
        <w:tc>
          <w:tcPr>
            <w:tcW w:w="1728" w:type="dxa"/>
          </w:tcPr>
          <w:p w14:paraId="19627F76" w14:textId="77777777" w:rsidR="00504F80" w:rsidRPr="00462679" w:rsidRDefault="00504F80" w:rsidP="00237C22">
            <w:pPr>
              <w:pStyle w:val="Heading5"/>
              <w:rPr>
                <w:sz w:val="24"/>
              </w:rPr>
            </w:pPr>
            <w:r w:rsidRPr="00462679">
              <w:rPr>
                <w:sz w:val="24"/>
              </w:rPr>
              <w:t>Authority</w:t>
            </w:r>
          </w:p>
        </w:tc>
        <w:tc>
          <w:tcPr>
            <w:tcW w:w="7740" w:type="dxa"/>
          </w:tcPr>
          <w:p w14:paraId="72C08B56" w14:textId="77777777" w:rsidR="00504F80" w:rsidRPr="00462679" w:rsidRDefault="00504F80" w:rsidP="00237C22">
            <w:pPr>
              <w:pStyle w:val="BlockText"/>
            </w:pPr>
            <w:r w:rsidRPr="00462679">
              <w:t>By Direction of the Under Secretary for Benefits</w:t>
            </w:r>
          </w:p>
        </w:tc>
      </w:tr>
    </w:tbl>
    <w:p w14:paraId="3C184E5F" w14:textId="77777777" w:rsidR="00504F80" w:rsidRPr="00462679" w:rsidRDefault="00504F80" w:rsidP="00504F80">
      <w:pPr>
        <w:pStyle w:val="ContinuedOnNextPa"/>
      </w:pPr>
      <w:r w:rsidRPr="00462679">
        <w:t xml:space="preserve"> </w:t>
      </w:r>
    </w:p>
    <w:tbl>
      <w:tblPr>
        <w:tblW w:w="0" w:type="auto"/>
        <w:tblLayout w:type="fixed"/>
        <w:tblLook w:val="0000" w:firstRow="0" w:lastRow="0" w:firstColumn="0" w:lastColumn="0" w:noHBand="0" w:noVBand="0"/>
      </w:tblPr>
      <w:tblGrid>
        <w:gridCol w:w="1728"/>
        <w:gridCol w:w="7740"/>
      </w:tblGrid>
      <w:tr w:rsidR="00504F80" w:rsidRPr="00462679" w14:paraId="206A30E8" w14:textId="77777777" w:rsidTr="00237C22">
        <w:tc>
          <w:tcPr>
            <w:tcW w:w="1728" w:type="dxa"/>
          </w:tcPr>
          <w:p w14:paraId="0B836649" w14:textId="048AC650" w:rsidR="00504F80" w:rsidRPr="00462679" w:rsidRDefault="00504F80" w:rsidP="00237C22">
            <w:pPr>
              <w:pStyle w:val="Heading5"/>
              <w:rPr>
                <w:sz w:val="24"/>
              </w:rPr>
            </w:pPr>
            <w:r w:rsidRPr="00462679">
              <w:rPr>
                <w:sz w:val="24"/>
              </w:rPr>
              <w:t>Signature</w:t>
            </w:r>
            <w:r w:rsidR="00D90A32" w:rsidRPr="00462679">
              <w:rPr>
                <w:sz w:val="24"/>
              </w:rPr>
              <w:t>s</w:t>
            </w:r>
          </w:p>
        </w:tc>
        <w:tc>
          <w:tcPr>
            <w:tcW w:w="7740" w:type="dxa"/>
          </w:tcPr>
          <w:p w14:paraId="4AF7B4D8" w14:textId="77777777" w:rsidR="00504F80" w:rsidRPr="00462679" w:rsidRDefault="00504F80" w:rsidP="00237C22">
            <w:pPr>
              <w:pStyle w:val="BlockText"/>
            </w:pPr>
          </w:p>
          <w:p w14:paraId="272F562C" w14:textId="77777777" w:rsidR="00D90A32" w:rsidRPr="00462679" w:rsidRDefault="00D90A32" w:rsidP="00237C22">
            <w:pPr>
              <w:pStyle w:val="BlockText"/>
            </w:pPr>
          </w:p>
          <w:p w14:paraId="2F64001C" w14:textId="77777777" w:rsidR="00D90A32" w:rsidRPr="00462679" w:rsidRDefault="00D90A32" w:rsidP="00D90A32">
            <w:pPr>
              <w:pStyle w:val="MemoLine"/>
              <w:ind w:left="-18" w:right="612"/>
            </w:pPr>
          </w:p>
          <w:p w14:paraId="2A64F7EF" w14:textId="77777777" w:rsidR="00D90A32" w:rsidRPr="00462679" w:rsidRDefault="00D90A32" w:rsidP="00D90A32">
            <w:pPr>
              <w:rPr>
                <w:szCs w:val="20"/>
              </w:rPr>
            </w:pPr>
            <w:r w:rsidRPr="00462679">
              <w:t>Thomas J. Murphy, Director</w:t>
            </w:r>
          </w:p>
          <w:p w14:paraId="7E88436B" w14:textId="77777777" w:rsidR="00D90A32" w:rsidRPr="00462679" w:rsidRDefault="00D90A32" w:rsidP="00D90A32">
            <w:pPr>
              <w:pStyle w:val="BlockText"/>
            </w:pPr>
            <w:r w:rsidRPr="00462679">
              <w:t xml:space="preserve">Compensation Service </w:t>
            </w:r>
          </w:p>
          <w:p w14:paraId="5E098C9B" w14:textId="77777777" w:rsidR="00D90A32" w:rsidRPr="00462679" w:rsidRDefault="00D90A32" w:rsidP="00237C22">
            <w:pPr>
              <w:pStyle w:val="BlockText"/>
            </w:pPr>
          </w:p>
          <w:p w14:paraId="1BE19066" w14:textId="77777777" w:rsidR="00504F80" w:rsidRPr="00462679" w:rsidRDefault="00504F80" w:rsidP="00237C22">
            <w:pPr>
              <w:pStyle w:val="MemoLine"/>
              <w:ind w:left="-18" w:right="612"/>
            </w:pPr>
          </w:p>
          <w:p w14:paraId="376D48EF" w14:textId="77777777" w:rsidR="00087807" w:rsidRPr="00462679" w:rsidRDefault="00087807" w:rsidP="00087807">
            <w:r w:rsidRPr="00462679">
              <w:t>David McLenachen, Director</w:t>
            </w:r>
          </w:p>
          <w:p w14:paraId="7693D548" w14:textId="77777777" w:rsidR="00504F80" w:rsidRPr="00462679" w:rsidRDefault="00087807" w:rsidP="00087807">
            <w:pPr>
              <w:pStyle w:val="BlockText"/>
            </w:pPr>
            <w:r w:rsidRPr="00462679">
              <w:t>Pension and Fiduciary Service</w:t>
            </w:r>
          </w:p>
        </w:tc>
      </w:tr>
    </w:tbl>
    <w:p w14:paraId="24E2F09A" w14:textId="77777777" w:rsidR="00504F80" w:rsidRPr="00462679" w:rsidRDefault="00504F80" w:rsidP="00504F80">
      <w:pPr>
        <w:pStyle w:val="BlockLine"/>
      </w:pPr>
      <w:r w:rsidRPr="00462679">
        <w:t xml:space="preserve"> </w:t>
      </w:r>
    </w:p>
    <w:tbl>
      <w:tblPr>
        <w:tblW w:w="0" w:type="auto"/>
        <w:tblLayout w:type="fixed"/>
        <w:tblLook w:val="0000" w:firstRow="0" w:lastRow="0" w:firstColumn="0" w:lastColumn="0" w:noHBand="0" w:noVBand="0"/>
      </w:tblPr>
      <w:tblGrid>
        <w:gridCol w:w="1728"/>
        <w:gridCol w:w="7740"/>
      </w:tblGrid>
      <w:tr w:rsidR="00504F80" w:rsidRPr="00462679" w14:paraId="75BE4A50" w14:textId="77777777" w:rsidTr="00237C22">
        <w:tc>
          <w:tcPr>
            <w:tcW w:w="1728" w:type="dxa"/>
          </w:tcPr>
          <w:p w14:paraId="3134FFE4" w14:textId="77777777" w:rsidR="00504F80" w:rsidRPr="00462679" w:rsidRDefault="00504F80" w:rsidP="00237C22">
            <w:pPr>
              <w:pStyle w:val="Heading5"/>
              <w:rPr>
                <w:sz w:val="24"/>
              </w:rPr>
            </w:pPr>
            <w:r w:rsidRPr="00462679">
              <w:rPr>
                <w:sz w:val="24"/>
              </w:rPr>
              <w:t>Distribution</w:t>
            </w:r>
          </w:p>
        </w:tc>
        <w:tc>
          <w:tcPr>
            <w:tcW w:w="7740" w:type="dxa"/>
          </w:tcPr>
          <w:p w14:paraId="59498D4B" w14:textId="77777777" w:rsidR="00504F80" w:rsidRPr="00462679" w:rsidRDefault="00504F80" w:rsidP="00237C22">
            <w:pPr>
              <w:pStyle w:val="BlockText"/>
              <w:jc w:val="center"/>
            </w:pPr>
            <w:r w:rsidRPr="00462679">
              <w:t>LOCAL REPRODUCTION AUTHORIZED</w:t>
            </w:r>
          </w:p>
        </w:tc>
      </w:tr>
    </w:tbl>
    <w:p w14:paraId="2035D7A0" w14:textId="77777777" w:rsidR="00504F80" w:rsidRDefault="00504F80" w:rsidP="00504F80">
      <w:pPr>
        <w:pStyle w:val="BlockLine"/>
      </w:pP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RgBvAG4AdABTAGUAdABGAG8AbgB0AFMAZQB0AGkAbQBpAHMAdAB5AGwAZQBzAC4AeABtAGwA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RgBvAG4AdABTAGUAdABGAG8AbgB0AFMAZQB0AEYAbwBuAHQAUwBlAHQAaQBtAGkAcwB0AHkAbABl
AHMALgB4AG0AbAA=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RgBvAG4AdABTAGUAdABGAG8AbgB0AFMAZQB0AEYAbwBuAHQAUwBlAHQARgBvAG4AdABTAGUAdABp
AG0AaQBzAHQAeQBsAGUAcwAuAHgAbQBsAA==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AG8AbgB0AFMAZQB0AGkAbQBpAHMAdAB5AGwAZQBzAC4AeABtAGwA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AG8AbgB0AFMAZQB0AEYAbwBuAHQAUwBlAHQAaQBtAGkAcwB0AHkAbABlAHMALgB4AG0AbAA=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AG8AbgB0AFMAZQB0AEYAbwBuAHQAUwBlAHQARgBvAG4AdABTAGUAdABpAG0AaQBzAHQAeQBsAGUA
cwAuAHgAbQBsAA==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AG8AbgB0AFMAZQB0AEYAbwBuAHQAUwBlAHQARgBvAG4AdABTAGUAdABGAG8AbgB0AFMAZQB0AGkA
bQBpAHMAdAB5AGwAZQBzAC4AeABtAGwA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462679">
        <w:instrText xml:space="preserve"> ADDIN  \* MERGEFORMAT </w:instrText>
      </w:r>
      <w:r w:rsidRPr="00462679">
        <w:fldChar w:fldCharType="end"/>
      </w:r>
      <w:r w:rsidRPr="00462679">
        <w:fldChar w:fldCharType="begin">
          <w:fldData xml:space="preserve">RABvAGMAVABlAG0AcAAxAFYAYQByAFQAcgBhAGQAaQB0AGkAbwBuAGEAbAA=
</w:fldData>
        </w:fldChar>
      </w:r>
      <w:r w:rsidRPr="00462679">
        <w:instrText xml:space="preserve"> ADDIN  \* MERGEFORMAT </w:instrText>
      </w:r>
      <w:r w:rsidRPr="00462679">
        <w:fldChar w:fldCharType="end"/>
      </w:r>
      <w:r w:rsidRPr="0046267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462679">
        <w:instrText xml:space="preserve"> ADDIN  \* MERGEFORMAT </w:instrText>
      </w:r>
      <w:r w:rsidRPr="00462679">
        <w:fldChar w:fldCharType="end"/>
      </w:r>
      <w:bookmarkStart w:id="0" w:name="_GoBack"/>
      <w:bookmarkEnd w:id="0"/>
    </w:p>
    <w:sectPr w:rsidR="00504F80"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C5DE" w14:textId="77777777" w:rsidR="00FD1344" w:rsidRDefault="00FD1344" w:rsidP="00C765C7">
      <w:r>
        <w:separator/>
      </w:r>
    </w:p>
  </w:endnote>
  <w:endnote w:type="continuationSeparator" w:id="0">
    <w:p w14:paraId="371753FC" w14:textId="77777777" w:rsidR="00FD1344" w:rsidRDefault="00FD134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23D30"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237DF"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DE8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679">
      <w:rPr>
        <w:rStyle w:val="PageNumber"/>
        <w:noProof/>
      </w:rPr>
      <w:t>i</w:t>
    </w:r>
    <w:r>
      <w:rPr>
        <w:rStyle w:val="PageNumber"/>
      </w:rPr>
      <w:fldChar w:fldCharType="end"/>
    </w:r>
  </w:p>
  <w:p w14:paraId="2E498276"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D2A4" w14:textId="77777777" w:rsidR="00FD1344" w:rsidRDefault="00FD1344" w:rsidP="00C765C7">
      <w:r>
        <w:separator/>
      </w:r>
    </w:p>
  </w:footnote>
  <w:footnote w:type="continuationSeparator" w:id="0">
    <w:p w14:paraId="60922D23" w14:textId="77777777" w:rsidR="00FD1344" w:rsidRDefault="00FD134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4E514FB8"/>
    <w:multiLevelType w:val="hybridMultilevel"/>
    <w:tmpl w:val="1010B17E"/>
    <w:lvl w:ilvl="0" w:tplc="7F847B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9"/>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42742"/>
    <w:rsid w:val="00087807"/>
    <w:rsid w:val="00093228"/>
    <w:rsid w:val="000A7776"/>
    <w:rsid w:val="00100433"/>
    <w:rsid w:val="0010215F"/>
    <w:rsid w:val="00106EEF"/>
    <w:rsid w:val="001149DF"/>
    <w:rsid w:val="00123973"/>
    <w:rsid w:val="001253ED"/>
    <w:rsid w:val="00184305"/>
    <w:rsid w:val="00186D46"/>
    <w:rsid w:val="001C3AE3"/>
    <w:rsid w:val="001C3EB5"/>
    <w:rsid w:val="002041BE"/>
    <w:rsid w:val="002220F1"/>
    <w:rsid w:val="00237C22"/>
    <w:rsid w:val="00240624"/>
    <w:rsid w:val="00253C6D"/>
    <w:rsid w:val="00271962"/>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62679"/>
    <w:rsid w:val="00471ECA"/>
    <w:rsid w:val="004728E8"/>
    <w:rsid w:val="00482FA3"/>
    <w:rsid w:val="0048559D"/>
    <w:rsid w:val="00494175"/>
    <w:rsid w:val="004A59A7"/>
    <w:rsid w:val="004F375E"/>
    <w:rsid w:val="00504F80"/>
    <w:rsid w:val="00506485"/>
    <w:rsid w:val="00512ED8"/>
    <w:rsid w:val="00513DA7"/>
    <w:rsid w:val="00516C82"/>
    <w:rsid w:val="00526F0E"/>
    <w:rsid w:val="00594258"/>
    <w:rsid w:val="005E27CB"/>
    <w:rsid w:val="005E4363"/>
    <w:rsid w:val="00600DC7"/>
    <w:rsid w:val="0062068D"/>
    <w:rsid w:val="006317AA"/>
    <w:rsid w:val="00642037"/>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6D69"/>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E6E1A"/>
    <w:rsid w:val="00A315CB"/>
    <w:rsid w:val="00A3579D"/>
    <w:rsid w:val="00A55356"/>
    <w:rsid w:val="00A557BB"/>
    <w:rsid w:val="00A8520D"/>
    <w:rsid w:val="00AC2993"/>
    <w:rsid w:val="00AD0EDC"/>
    <w:rsid w:val="00AF2CD6"/>
    <w:rsid w:val="00B0548B"/>
    <w:rsid w:val="00B30D2F"/>
    <w:rsid w:val="00B31F6D"/>
    <w:rsid w:val="00B5061F"/>
    <w:rsid w:val="00B50AD7"/>
    <w:rsid w:val="00B64F2F"/>
    <w:rsid w:val="00B93A3C"/>
    <w:rsid w:val="00B96287"/>
    <w:rsid w:val="00BB3345"/>
    <w:rsid w:val="00BF7FE3"/>
    <w:rsid w:val="00C0404B"/>
    <w:rsid w:val="00C24D50"/>
    <w:rsid w:val="00C273AD"/>
    <w:rsid w:val="00C765C7"/>
    <w:rsid w:val="00C87524"/>
    <w:rsid w:val="00CC0A7F"/>
    <w:rsid w:val="00CD2D08"/>
    <w:rsid w:val="00D33801"/>
    <w:rsid w:val="00D33A6E"/>
    <w:rsid w:val="00D36508"/>
    <w:rsid w:val="00D57B91"/>
    <w:rsid w:val="00D61497"/>
    <w:rsid w:val="00D7324F"/>
    <w:rsid w:val="00D77146"/>
    <w:rsid w:val="00D823AF"/>
    <w:rsid w:val="00D87741"/>
    <w:rsid w:val="00D90A32"/>
    <w:rsid w:val="00D9207B"/>
    <w:rsid w:val="00DA11C2"/>
    <w:rsid w:val="00DB074F"/>
    <w:rsid w:val="00DB2902"/>
    <w:rsid w:val="00DB743E"/>
    <w:rsid w:val="00DE0E35"/>
    <w:rsid w:val="00DE672E"/>
    <w:rsid w:val="00DF44AC"/>
    <w:rsid w:val="00E2529E"/>
    <w:rsid w:val="00E36906"/>
    <w:rsid w:val="00E648E9"/>
    <w:rsid w:val="00E964FD"/>
    <w:rsid w:val="00ED4D5E"/>
    <w:rsid w:val="00ED71C8"/>
    <w:rsid w:val="00F006B2"/>
    <w:rsid w:val="00F43DFA"/>
    <w:rsid w:val="00F87670"/>
    <w:rsid w:val="00F87F72"/>
    <w:rsid w:val="00F90609"/>
    <w:rsid w:val="00FB6AD1"/>
    <w:rsid w:val="00FD1344"/>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Revision">
    <w:name w:val="Revision"/>
    <w:hidden/>
    <w:uiPriority w:val="99"/>
    <w:semiHidden/>
    <w:rsid w:val="00D90A32"/>
    <w:rPr>
      <w:rFonts w:eastAsia="Times New Roman"/>
      <w:color w:val="000000"/>
      <w:sz w:val="24"/>
      <w:szCs w:val="24"/>
    </w:rPr>
  </w:style>
  <w:style w:type="paragraph" w:styleId="ListParagraph">
    <w:name w:val="List Paragraph"/>
    <w:basedOn w:val="Normal"/>
    <w:uiPriority w:val="34"/>
    <w:qFormat/>
    <w:rsid w:val="004A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Revision">
    <w:name w:val="Revision"/>
    <w:hidden/>
    <w:uiPriority w:val="99"/>
    <w:semiHidden/>
    <w:rsid w:val="00D90A32"/>
    <w:rPr>
      <w:rFonts w:eastAsia="Times New Roman"/>
      <w:color w:val="000000"/>
      <w:sz w:val="24"/>
      <w:szCs w:val="24"/>
    </w:rPr>
  </w:style>
  <w:style w:type="paragraph" w:styleId="ListParagraph">
    <w:name w:val="List Paragraph"/>
    <w:basedOn w:val="Normal"/>
    <w:uiPriority w:val="34"/>
    <w:qFormat/>
    <w:rsid w:val="004A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b438dcf7-3998-4283-b7fc-0ec6fa8e430f"/>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C022A56D-A63E-4D6F-B2A8-C04B92EC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25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11</cp:revision>
  <dcterms:created xsi:type="dcterms:W3CDTF">2015-01-27T13:30:00Z</dcterms:created>
  <dcterms:modified xsi:type="dcterms:W3CDTF">2015-06-15T18:27:00Z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