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E701B" w14:textId="522BD29F" w:rsidR="00CC5FE7" w:rsidRPr="00A31380" w:rsidRDefault="00CC5FE7">
      <w:pPr>
        <w:pStyle w:val="Heading3"/>
      </w:pPr>
      <w:proofErr w:type="gramStart"/>
      <w:r w:rsidRPr="00A31380">
        <w:t>Section D.</w:t>
      </w:r>
      <w:proofErr w:type="gramEnd"/>
      <w:r w:rsidRPr="00A31380">
        <w:t xml:space="preserve">  Lost Folders</w:t>
      </w:r>
      <w:r w:rsidR="005B49DF" w:rsidRPr="00A31380">
        <w:t xml:space="preserve"> and Reconciliation of Duplicate Records in the Beneficiary Identification and Records Locator Subsystem (BIRLS)</w:t>
      </w:r>
    </w:p>
    <w:p w14:paraId="2E4E701C" w14:textId="6B931C03" w:rsidR="00CC5FE7" w:rsidRPr="00A31380" w:rsidRDefault="00CC5FE7">
      <w:pPr>
        <w:pStyle w:val="Heading4"/>
      </w:pPr>
      <w:r w:rsidRPr="00A31380">
        <w:t>Overview</w:t>
      </w:r>
    </w:p>
    <w:p w14:paraId="2E4E701D" w14:textId="77777777" w:rsidR="00CC5FE7" w:rsidRPr="00A31380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20" w14:textId="77777777">
        <w:trPr>
          <w:cantSplit/>
        </w:trPr>
        <w:tc>
          <w:tcPr>
            <w:tcW w:w="1728" w:type="dxa"/>
          </w:tcPr>
          <w:p w14:paraId="2E4E701E" w14:textId="62690DB5" w:rsidR="00CC5FE7" w:rsidRPr="00A31380" w:rsidRDefault="00BA3544">
            <w:pPr>
              <w:pStyle w:val="Heading5"/>
            </w:pPr>
            <w:r w:rsidRPr="00A31380">
              <w:t>In T</w:t>
            </w:r>
            <w:r w:rsidR="00CC5FE7" w:rsidRPr="00A31380">
              <w:t>his Section</w:t>
            </w:r>
          </w:p>
        </w:tc>
        <w:tc>
          <w:tcPr>
            <w:tcW w:w="7740" w:type="dxa"/>
          </w:tcPr>
          <w:p w14:paraId="2E4E701F" w14:textId="77777777" w:rsidR="00CC5FE7" w:rsidRPr="00A31380" w:rsidRDefault="00CC5FE7">
            <w:pPr>
              <w:pStyle w:val="BlockText"/>
            </w:pPr>
            <w:r w:rsidRPr="00A31380">
              <w:t>This section contains the following topics:</w:t>
            </w:r>
          </w:p>
        </w:tc>
      </w:tr>
    </w:tbl>
    <w:p w14:paraId="2E4E7021" w14:textId="77777777" w:rsidR="00CC5FE7" w:rsidRPr="00A31380" w:rsidRDefault="00CC5FE7"/>
    <w:tbl>
      <w:tblPr>
        <w:tblW w:w="0" w:type="auto"/>
        <w:tblInd w:w="1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6"/>
        <w:gridCol w:w="6344"/>
      </w:tblGrid>
      <w:tr w:rsidR="00FD5E45" w:rsidRPr="00A31380" w14:paraId="2E4E7025" w14:textId="77777777" w:rsidTr="00FD5E45">
        <w:trPr>
          <w:cantSplit/>
        </w:trPr>
        <w:tc>
          <w:tcPr>
            <w:tcW w:w="1296" w:type="dxa"/>
          </w:tcPr>
          <w:p w14:paraId="2E4E7022" w14:textId="77777777" w:rsidR="00FD5E45" w:rsidRPr="00A31380" w:rsidRDefault="00FD5E45">
            <w:pPr>
              <w:pStyle w:val="TableHeaderText"/>
            </w:pPr>
            <w:r w:rsidRPr="00A31380">
              <w:t>Topic</w:t>
            </w:r>
          </w:p>
        </w:tc>
        <w:tc>
          <w:tcPr>
            <w:tcW w:w="6344" w:type="dxa"/>
          </w:tcPr>
          <w:p w14:paraId="2E4E7023" w14:textId="77777777" w:rsidR="00FD5E45" w:rsidRPr="00A31380" w:rsidRDefault="00FD5E45">
            <w:pPr>
              <w:pStyle w:val="TableHeaderText"/>
            </w:pPr>
            <w:r w:rsidRPr="00A31380">
              <w:t>Topic Name</w:t>
            </w:r>
          </w:p>
        </w:tc>
      </w:tr>
      <w:tr w:rsidR="00FD5E45" w:rsidRPr="00A31380" w14:paraId="2E4E7029" w14:textId="77777777" w:rsidTr="00FD5E45">
        <w:trPr>
          <w:cantSplit/>
        </w:trPr>
        <w:tc>
          <w:tcPr>
            <w:tcW w:w="1296" w:type="dxa"/>
          </w:tcPr>
          <w:p w14:paraId="2E4E7026" w14:textId="1D13277A" w:rsidR="00FD5E45" w:rsidRPr="00A31380" w:rsidRDefault="00FD5E45">
            <w:pPr>
              <w:pStyle w:val="TableText"/>
              <w:jc w:val="center"/>
            </w:pPr>
            <w:r w:rsidRPr="00A31380">
              <w:t xml:space="preserve">1 </w:t>
            </w:r>
          </w:p>
        </w:tc>
        <w:tc>
          <w:tcPr>
            <w:tcW w:w="6344" w:type="dxa"/>
          </w:tcPr>
          <w:p w14:paraId="2E4E7027" w14:textId="77777777" w:rsidR="00FD5E45" w:rsidRPr="00A31380" w:rsidRDefault="00FD5E45">
            <w:pPr>
              <w:pStyle w:val="TableText"/>
            </w:pPr>
            <w:r w:rsidRPr="00A31380">
              <w:t>Lost Folder Searches</w:t>
            </w:r>
          </w:p>
        </w:tc>
      </w:tr>
      <w:tr w:rsidR="00FD5E45" w:rsidRPr="00A31380" w14:paraId="2E4E702D" w14:textId="77777777" w:rsidTr="00FD5E45">
        <w:trPr>
          <w:cantSplit/>
        </w:trPr>
        <w:tc>
          <w:tcPr>
            <w:tcW w:w="1296" w:type="dxa"/>
          </w:tcPr>
          <w:p w14:paraId="2E4E702A" w14:textId="21381E20" w:rsidR="00FD5E45" w:rsidRPr="00A31380" w:rsidRDefault="00FD5E45">
            <w:pPr>
              <w:pStyle w:val="TableText"/>
              <w:jc w:val="center"/>
            </w:pPr>
            <w:r w:rsidRPr="00A31380">
              <w:t xml:space="preserve">2 </w:t>
            </w:r>
          </w:p>
        </w:tc>
        <w:tc>
          <w:tcPr>
            <w:tcW w:w="6344" w:type="dxa"/>
          </w:tcPr>
          <w:p w14:paraId="2E4E702B" w14:textId="77777777" w:rsidR="00FD5E45" w:rsidRPr="00A31380" w:rsidRDefault="00FD5E45">
            <w:pPr>
              <w:pStyle w:val="TableText"/>
            </w:pPr>
            <w:r w:rsidRPr="00A31380">
              <w:t>Requests for 24-Hour Searches</w:t>
            </w:r>
          </w:p>
        </w:tc>
      </w:tr>
      <w:tr w:rsidR="00FD5E45" w:rsidRPr="00A31380" w14:paraId="2E4E7031" w14:textId="77777777" w:rsidTr="00FD5E45">
        <w:trPr>
          <w:cantSplit/>
        </w:trPr>
        <w:tc>
          <w:tcPr>
            <w:tcW w:w="1296" w:type="dxa"/>
          </w:tcPr>
          <w:p w14:paraId="2E4E702E" w14:textId="2BC067A2" w:rsidR="00FD5E45" w:rsidRPr="00A31380" w:rsidRDefault="00FD5E45">
            <w:pPr>
              <w:pStyle w:val="TableText"/>
              <w:jc w:val="center"/>
            </w:pPr>
            <w:r w:rsidRPr="00A31380">
              <w:t xml:space="preserve">3 </w:t>
            </w:r>
          </w:p>
        </w:tc>
        <w:tc>
          <w:tcPr>
            <w:tcW w:w="6344" w:type="dxa"/>
          </w:tcPr>
          <w:p w14:paraId="2E4E702F" w14:textId="0F54719E" w:rsidR="00FD5E45" w:rsidRPr="00A31380" w:rsidRDefault="00633371">
            <w:pPr>
              <w:pStyle w:val="TableText"/>
            </w:pPr>
            <w:r w:rsidRPr="00A31380">
              <w:t xml:space="preserve">Claims Folder </w:t>
            </w:r>
            <w:r w:rsidR="00FD5E45" w:rsidRPr="00A31380">
              <w:t>Number Reconciliation and Cancellation</w:t>
            </w:r>
          </w:p>
        </w:tc>
      </w:tr>
    </w:tbl>
    <w:p w14:paraId="2E4E7032" w14:textId="77777777" w:rsidR="00CC5FE7" w:rsidRPr="00A31380" w:rsidRDefault="00CC5FE7">
      <w:pPr>
        <w:pStyle w:val="BlockLine"/>
      </w:pPr>
    </w:p>
    <w:p w14:paraId="2E4E7033" w14:textId="3C966590" w:rsidR="00CC5FE7" w:rsidRPr="00A31380" w:rsidRDefault="00CC5FE7">
      <w:pPr>
        <w:pStyle w:val="Heading4"/>
      </w:pPr>
      <w:bookmarkStart w:id="0" w:name="_GoBack"/>
      <w:bookmarkEnd w:id="0"/>
      <w:r w:rsidRPr="00A31380">
        <w:br w:type="page"/>
      </w:r>
      <w:r w:rsidR="004C79D1" w:rsidRPr="00A31380">
        <w:lastRenderedPageBreak/>
        <w:t>1</w:t>
      </w:r>
      <w:r w:rsidRPr="00A31380">
        <w:t xml:space="preserve">.  </w:t>
      </w:r>
      <w:bookmarkStart w:id="1" w:name="Topic15"/>
      <w:bookmarkEnd w:id="1"/>
      <w:r w:rsidRPr="00A31380">
        <w:t>Lost Folder Searches</w:t>
      </w:r>
    </w:p>
    <w:p w14:paraId="2E4E7034" w14:textId="77777777" w:rsidR="00CC5FE7" w:rsidRPr="00A31380" w:rsidRDefault="00CC5FE7">
      <w:pPr>
        <w:pStyle w:val="BlockLine"/>
      </w:pPr>
      <w:r w:rsidRPr="00A31380">
        <w:fldChar w:fldCharType="begin"/>
      </w:r>
      <w:r w:rsidRPr="00A31380">
        <w:instrText xml:space="preserve"> PRIVATE INFOTYPE="OTHER" </w:instrText>
      </w:r>
      <w:r w:rsidRPr="00A3138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3C" w14:textId="77777777">
        <w:trPr>
          <w:cantSplit/>
        </w:trPr>
        <w:tc>
          <w:tcPr>
            <w:tcW w:w="1728" w:type="dxa"/>
          </w:tcPr>
          <w:p w14:paraId="2E4E7035" w14:textId="77777777" w:rsidR="00CC5FE7" w:rsidRPr="00A31380" w:rsidRDefault="00CC5FE7">
            <w:pPr>
              <w:pStyle w:val="Heading5"/>
            </w:pPr>
            <w:r w:rsidRPr="00A31380">
              <w:t>Introduction</w:t>
            </w:r>
          </w:p>
        </w:tc>
        <w:tc>
          <w:tcPr>
            <w:tcW w:w="7740" w:type="dxa"/>
          </w:tcPr>
          <w:p w14:paraId="2E4E7036" w14:textId="77777777" w:rsidR="00CC5FE7" w:rsidRPr="00A31380" w:rsidRDefault="00CC5FE7">
            <w:pPr>
              <w:pStyle w:val="BlockText"/>
            </w:pPr>
            <w:r w:rsidRPr="00A31380">
              <w:t>This topic contains information on searching for lost folders, including</w:t>
            </w:r>
          </w:p>
          <w:p w14:paraId="2E4E7037" w14:textId="77777777" w:rsidR="00CC5FE7" w:rsidRPr="00A31380" w:rsidRDefault="00CC5FE7">
            <w:pPr>
              <w:pStyle w:val="BlockText"/>
            </w:pPr>
          </w:p>
          <w:p w14:paraId="2E4E7038" w14:textId="4A5F5000" w:rsidR="00CC5FE7" w:rsidRPr="00A31380" w:rsidRDefault="005B49DF">
            <w:pPr>
              <w:pStyle w:val="BulletText1"/>
            </w:pPr>
            <w:r w:rsidRPr="00A31380">
              <w:t>general search procedure</w:t>
            </w:r>
          </w:p>
          <w:p w14:paraId="2E4E7039" w14:textId="359783FB" w:rsidR="00CC5FE7" w:rsidRPr="00A31380" w:rsidRDefault="002810D4">
            <w:pPr>
              <w:pStyle w:val="BulletText1"/>
            </w:pPr>
            <w:r w:rsidRPr="00A31380">
              <w:t xml:space="preserve">rebuilding lost </w:t>
            </w:r>
            <w:r w:rsidR="00CC5FE7" w:rsidRPr="00A31380">
              <w:t>claims folders</w:t>
            </w:r>
          </w:p>
          <w:p w14:paraId="2E4E703A" w14:textId="10AEF5E6" w:rsidR="00CC5FE7" w:rsidRPr="00A31380" w:rsidRDefault="00415741">
            <w:pPr>
              <w:pStyle w:val="BulletText1"/>
            </w:pPr>
            <w:r w:rsidRPr="00A31380">
              <w:t xml:space="preserve">rebuilding lost </w:t>
            </w:r>
            <w:r w:rsidR="0044773F" w:rsidRPr="00A31380">
              <w:t>n</w:t>
            </w:r>
            <w:r w:rsidR="000E5EA4" w:rsidRPr="00A31380">
              <w:t xml:space="preserve">otice of </w:t>
            </w:r>
            <w:r w:rsidR="0044773F" w:rsidRPr="00A31380">
              <w:t>d</w:t>
            </w:r>
            <w:r w:rsidR="000E5EA4" w:rsidRPr="00A31380">
              <w:t>eath (NOD) folders or Dependents’ Educational Assistance (DEA) folders</w:t>
            </w:r>
            <w:r w:rsidR="00CC5FE7" w:rsidRPr="00A31380">
              <w:t>, and</w:t>
            </w:r>
          </w:p>
          <w:p w14:paraId="2E4E703B" w14:textId="231C377F" w:rsidR="00CC5FE7" w:rsidRPr="00A31380" w:rsidRDefault="00F976E3">
            <w:pPr>
              <w:pStyle w:val="BulletText1"/>
            </w:pPr>
            <w:proofErr w:type="gramStart"/>
            <w:r w:rsidRPr="00A31380">
              <w:t>combining</w:t>
            </w:r>
            <w:proofErr w:type="gramEnd"/>
            <w:r w:rsidRPr="00A31380">
              <w:t xml:space="preserve"> folders when the original</w:t>
            </w:r>
            <w:r w:rsidR="00CC5FE7" w:rsidRPr="00A31380">
              <w:t xml:space="preserve"> folder is located.</w:t>
            </w:r>
          </w:p>
        </w:tc>
      </w:tr>
    </w:tbl>
    <w:p w14:paraId="2E4E703D" w14:textId="77777777" w:rsidR="00CC5FE7" w:rsidRPr="00A31380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40" w14:textId="77777777">
        <w:trPr>
          <w:cantSplit/>
        </w:trPr>
        <w:tc>
          <w:tcPr>
            <w:tcW w:w="1728" w:type="dxa"/>
          </w:tcPr>
          <w:p w14:paraId="2E4E703E" w14:textId="77777777" w:rsidR="00CC5FE7" w:rsidRPr="00A31380" w:rsidRDefault="00CC5FE7">
            <w:pPr>
              <w:pStyle w:val="Heading5"/>
            </w:pPr>
            <w:r w:rsidRPr="00A31380">
              <w:t>Change Date</w:t>
            </w:r>
          </w:p>
        </w:tc>
        <w:tc>
          <w:tcPr>
            <w:tcW w:w="7740" w:type="dxa"/>
          </w:tcPr>
          <w:p w14:paraId="2E4E703F" w14:textId="2DA988E5" w:rsidR="00CC5FE7" w:rsidRPr="00A31380" w:rsidRDefault="00F91984">
            <w:pPr>
              <w:pStyle w:val="BlockText"/>
            </w:pPr>
            <w:r w:rsidRPr="00A31380">
              <w:t>June 3, 2015</w:t>
            </w:r>
          </w:p>
        </w:tc>
      </w:tr>
    </w:tbl>
    <w:p w14:paraId="2E4E7041" w14:textId="77777777" w:rsidR="00CC5FE7" w:rsidRPr="00A31380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46" w14:textId="77777777">
        <w:trPr>
          <w:cantSplit/>
        </w:trPr>
        <w:tc>
          <w:tcPr>
            <w:tcW w:w="1728" w:type="dxa"/>
          </w:tcPr>
          <w:p w14:paraId="2E4E7042" w14:textId="77777777" w:rsidR="00CC5FE7" w:rsidRPr="00A31380" w:rsidRDefault="00CC5FE7">
            <w:pPr>
              <w:pStyle w:val="Heading5"/>
            </w:pPr>
            <w:r w:rsidRPr="00A31380">
              <w:t xml:space="preserve">a.  </w:t>
            </w:r>
            <w:bookmarkStart w:id="2" w:name="a15"/>
            <w:bookmarkEnd w:id="2"/>
            <w:r w:rsidRPr="00A31380">
              <w:t>General Search Procedure</w:t>
            </w:r>
          </w:p>
        </w:tc>
        <w:tc>
          <w:tcPr>
            <w:tcW w:w="7740" w:type="dxa"/>
          </w:tcPr>
          <w:p w14:paraId="2E4E7043" w14:textId="1161E7B9" w:rsidR="00CC5FE7" w:rsidRPr="00A31380" w:rsidRDefault="006A46A5">
            <w:pPr>
              <w:pStyle w:val="BlockText"/>
            </w:pPr>
            <w:r w:rsidRPr="00A31380">
              <w:t>Upon discovering that</w:t>
            </w:r>
            <w:r w:rsidR="00CC5FE7" w:rsidRPr="00A31380">
              <w:t xml:space="preserve"> </w:t>
            </w:r>
            <w:r w:rsidRPr="00A31380">
              <w:t xml:space="preserve">the </w:t>
            </w:r>
            <w:r w:rsidR="00CC5FE7" w:rsidRPr="00A31380">
              <w:t>claims folder</w:t>
            </w:r>
            <w:r w:rsidRPr="00A31380">
              <w:t xml:space="preserve"> of a living or </w:t>
            </w:r>
            <w:r w:rsidR="00CC5FE7" w:rsidRPr="00A31380">
              <w:t xml:space="preserve">deceased Veteran, </w:t>
            </w:r>
            <w:r w:rsidRPr="00A31380">
              <w:t xml:space="preserve">a </w:t>
            </w:r>
            <w:r w:rsidR="0044773F" w:rsidRPr="00A31380">
              <w:t>n</w:t>
            </w:r>
            <w:r w:rsidR="00CC5FE7" w:rsidRPr="00A31380">
              <w:t xml:space="preserve">otice of </w:t>
            </w:r>
            <w:r w:rsidR="0044773F" w:rsidRPr="00A31380">
              <w:t>d</w:t>
            </w:r>
            <w:r w:rsidR="00CC5FE7" w:rsidRPr="00A31380">
              <w:t>eath (NOD) folder, or Dependents’ Educational Assistance (DEA) folder</w:t>
            </w:r>
            <w:r w:rsidRPr="00A31380">
              <w:t xml:space="preserve"> is missing</w:t>
            </w:r>
            <w:r w:rsidR="00CC5FE7" w:rsidRPr="00A31380">
              <w:t>, make an exhaustive search of the entire office.</w:t>
            </w:r>
          </w:p>
          <w:p w14:paraId="2E4E7044" w14:textId="77777777" w:rsidR="00CC5FE7" w:rsidRPr="00A31380" w:rsidRDefault="00CC5FE7">
            <w:pPr>
              <w:pStyle w:val="BlockText"/>
            </w:pPr>
          </w:p>
          <w:p w14:paraId="2E4E7045" w14:textId="77777777" w:rsidR="00CC5FE7" w:rsidRPr="00A31380" w:rsidRDefault="00CC5FE7">
            <w:pPr>
              <w:pStyle w:val="BlockText"/>
            </w:pPr>
            <w:r w:rsidRPr="00A31380">
              <w:t>Follow the steps in the table below to search the office.</w:t>
            </w:r>
          </w:p>
        </w:tc>
      </w:tr>
    </w:tbl>
    <w:p w14:paraId="2E4E7047" w14:textId="77777777" w:rsidR="00CC5FE7" w:rsidRPr="00A31380" w:rsidRDefault="00CC5FE7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CC5FE7" w:rsidRPr="00A31380" w14:paraId="2E4E704A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8" w14:textId="77777777" w:rsidR="00CC5FE7" w:rsidRPr="00A31380" w:rsidRDefault="00CC5FE7">
            <w:pPr>
              <w:pStyle w:val="TableHeaderText"/>
            </w:pPr>
            <w:r w:rsidRPr="00A31380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9" w14:textId="77777777" w:rsidR="00CC5FE7" w:rsidRPr="00A31380" w:rsidRDefault="00CC5FE7">
            <w:pPr>
              <w:pStyle w:val="TableHeaderText"/>
            </w:pPr>
            <w:r w:rsidRPr="00A31380">
              <w:t>Action</w:t>
            </w:r>
          </w:p>
        </w:tc>
      </w:tr>
      <w:tr w:rsidR="00CC5FE7" w:rsidRPr="00A31380" w14:paraId="2E4E704D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B" w14:textId="77777777" w:rsidR="00CC5FE7" w:rsidRPr="00A31380" w:rsidRDefault="00CC5FE7">
            <w:pPr>
              <w:pStyle w:val="TableText"/>
              <w:jc w:val="center"/>
            </w:pPr>
            <w:r w:rsidRPr="00A31380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C" w14:textId="77777777" w:rsidR="00CC5FE7" w:rsidRPr="00A31380" w:rsidRDefault="00CC5FE7">
            <w:pPr>
              <w:pStyle w:val="TableText"/>
            </w:pPr>
            <w:r w:rsidRPr="00A31380">
              <w:t>Conduct a name search of the entire drawer where the folder should be filed.</w:t>
            </w:r>
          </w:p>
        </w:tc>
      </w:tr>
      <w:tr w:rsidR="00CC5FE7" w:rsidRPr="00A31380" w14:paraId="2E4E7050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E" w14:textId="77777777" w:rsidR="00CC5FE7" w:rsidRPr="00A31380" w:rsidRDefault="00CC5FE7">
            <w:pPr>
              <w:pStyle w:val="TableText"/>
              <w:jc w:val="center"/>
            </w:pPr>
            <w:r w:rsidRPr="00A31380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F" w14:textId="0C89CCCB" w:rsidR="00CC5FE7" w:rsidRPr="00A31380" w:rsidRDefault="00CC5FE7" w:rsidP="00633371">
            <w:pPr>
              <w:pStyle w:val="TableText"/>
            </w:pPr>
            <w:r w:rsidRPr="00A31380">
              <w:t xml:space="preserve">Add the </w:t>
            </w:r>
            <w:r w:rsidR="00633371" w:rsidRPr="00A31380">
              <w:t xml:space="preserve">claims folder </w:t>
            </w:r>
            <w:r w:rsidRPr="00A31380">
              <w:t>number to the search list.</w:t>
            </w:r>
          </w:p>
        </w:tc>
      </w:tr>
      <w:tr w:rsidR="00CC5FE7" w:rsidRPr="00A31380" w14:paraId="2E4E7056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1" w14:textId="77777777" w:rsidR="00CC5FE7" w:rsidRPr="00A31380" w:rsidRDefault="00CC5FE7">
            <w:pPr>
              <w:pStyle w:val="TableText"/>
              <w:jc w:val="center"/>
            </w:pPr>
            <w:r w:rsidRPr="00A31380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2" w14:textId="77777777" w:rsidR="00CC5FE7" w:rsidRPr="00A31380" w:rsidRDefault="00CC5FE7">
            <w:pPr>
              <w:pStyle w:val="TableText"/>
            </w:pPr>
            <w:r w:rsidRPr="00A31380">
              <w:t>Check the</w:t>
            </w:r>
          </w:p>
          <w:p w14:paraId="2E4E7053" w14:textId="77777777" w:rsidR="00CC5FE7" w:rsidRPr="00A31380" w:rsidRDefault="00CC5FE7">
            <w:pPr>
              <w:pStyle w:val="TableText"/>
            </w:pPr>
          </w:p>
          <w:p w14:paraId="2E4E7054" w14:textId="77777777" w:rsidR="00CC5FE7" w:rsidRPr="00A31380" w:rsidRDefault="00CC5FE7">
            <w:pPr>
              <w:pStyle w:val="BulletText1"/>
            </w:pPr>
            <w:r w:rsidRPr="00A31380">
              <w:t>pending files of the transfer and correspondence activities, and</w:t>
            </w:r>
          </w:p>
          <w:p w14:paraId="2E4E7055" w14:textId="77777777" w:rsidR="00CC5FE7" w:rsidRPr="00A31380" w:rsidRDefault="00CC5FE7">
            <w:pPr>
              <w:pStyle w:val="BulletText1"/>
            </w:pPr>
            <w:r w:rsidRPr="00A31380">
              <w:t>principal guardianship files.</w:t>
            </w:r>
          </w:p>
        </w:tc>
      </w:tr>
      <w:tr w:rsidR="00CC5FE7" w:rsidRPr="00A31380" w14:paraId="2E4E7059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7" w14:textId="77777777" w:rsidR="00CC5FE7" w:rsidRPr="00A31380" w:rsidRDefault="00CC5FE7">
            <w:pPr>
              <w:pStyle w:val="TableText"/>
              <w:jc w:val="center"/>
            </w:pPr>
            <w:r w:rsidRPr="00A31380"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8" w14:textId="0F7665B9" w:rsidR="00CC5FE7" w:rsidRPr="00A31380" w:rsidRDefault="00CC5FE7" w:rsidP="006A46A5">
            <w:pPr>
              <w:pStyle w:val="TableText"/>
            </w:pPr>
            <w:r w:rsidRPr="00A31380">
              <w:t xml:space="preserve">If the </w:t>
            </w:r>
            <w:r w:rsidR="006D4B3F" w:rsidRPr="00A31380">
              <w:t>computer system</w:t>
            </w:r>
            <w:r w:rsidRPr="00A31380">
              <w:t xml:space="preserve"> shows an active compensation, pension, or education record, check the records of recent payment history.  If </w:t>
            </w:r>
            <w:r w:rsidR="00EA05BB" w:rsidRPr="00A31380">
              <w:t>these records show</w:t>
            </w:r>
            <w:r w:rsidRPr="00A31380">
              <w:t xml:space="preserve"> payment </w:t>
            </w:r>
            <w:r w:rsidR="006A46A5" w:rsidRPr="00A31380">
              <w:t>of benefits by</w:t>
            </w:r>
            <w:r w:rsidRPr="00A31380">
              <w:t xml:space="preserve"> another </w:t>
            </w:r>
            <w:r w:rsidR="00DF2D7C" w:rsidRPr="00A31380">
              <w:t>regional office (</w:t>
            </w:r>
            <w:r w:rsidRPr="00A31380">
              <w:t>RO</w:t>
            </w:r>
            <w:r w:rsidR="00DF2D7C" w:rsidRPr="00A31380">
              <w:t>)</w:t>
            </w:r>
            <w:r w:rsidRPr="00A31380">
              <w:t>, contact that RO to determine whether or not the folder is located there.</w:t>
            </w:r>
          </w:p>
        </w:tc>
      </w:tr>
      <w:tr w:rsidR="00CC5FE7" w:rsidRPr="00A31380" w14:paraId="2E4E705E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A" w14:textId="77777777" w:rsidR="00CC5FE7" w:rsidRPr="00A31380" w:rsidRDefault="00CC5FE7">
            <w:pPr>
              <w:pStyle w:val="TableText"/>
              <w:jc w:val="center"/>
            </w:pPr>
            <w:r w:rsidRPr="00A31380">
              <w:t>5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B" w14:textId="14BA0D60" w:rsidR="00CC5FE7" w:rsidRPr="00A31380" w:rsidRDefault="00CC5FE7">
            <w:pPr>
              <w:pStyle w:val="TableText"/>
            </w:pPr>
            <w:r w:rsidRPr="00A31380">
              <w:t xml:space="preserve">If </w:t>
            </w:r>
            <w:r w:rsidR="006A46A5" w:rsidRPr="00A31380">
              <w:t>completion of the preceding steps fails to result in location of the missing</w:t>
            </w:r>
            <w:r w:rsidRPr="00A31380">
              <w:t xml:space="preserve"> folder, consider the folder lost.</w:t>
            </w:r>
          </w:p>
          <w:p w14:paraId="2E4E705C" w14:textId="77777777" w:rsidR="00CC5FE7" w:rsidRPr="00A31380" w:rsidRDefault="00CC5FE7">
            <w:pPr>
              <w:pStyle w:val="TableText"/>
            </w:pPr>
          </w:p>
          <w:p w14:paraId="2E4E705D" w14:textId="2B5446C8" w:rsidR="00CC5FE7" w:rsidRPr="00A31380" w:rsidRDefault="00CC5FE7" w:rsidP="00DF2D7C">
            <w:pPr>
              <w:pStyle w:val="TableText"/>
            </w:pPr>
            <w:r w:rsidRPr="00A31380">
              <w:rPr>
                <w:b/>
                <w:i/>
              </w:rPr>
              <w:t>Note</w:t>
            </w:r>
            <w:r w:rsidRPr="00A31380">
              <w:t>:  The RO that has mail for the folder and is requesting the folder should report the folder missing.</w:t>
            </w:r>
          </w:p>
        </w:tc>
      </w:tr>
      <w:tr w:rsidR="00CC5FE7" w:rsidRPr="00A31380" w14:paraId="2E4E7064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F" w14:textId="77777777" w:rsidR="00CC5FE7" w:rsidRPr="00A31380" w:rsidRDefault="00CC5FE7">
            <w:pPr>
              <w:pStyle w:val="TableText"/>
              <w:jc w:val="center"/>
            </w:pPr>
            <w:r w:rsidRPr="00A31380">
              <w:t>6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60" w14:textId="77777777" w:rsidR="00CC5FE7" w:rsidRPr="00A31380" w:rsidRDefault="00CC5FE7">
            <w:pPr>
              <w:pStyle w:val="TableText"/>
            </w:pPr>
            <w:r w:rsidRPr="00A31380">
              <w:t>Maintain the end product (EP) with a 60-day suspense from the date of receipt of the claim.  At the expiration of 60 days</w:t>
            </w:r>
          </w:p>
          <w:p w14:paraId="2E4E7061" w14:textId="77777777" w:rsidR="00CC5FE7" w:rsidRPr="00A31380" w:rsidRDefault="00CC5FE7">
            <w:pPr>
              <w:pStyle w:val="TableText"/>
            </w:pPr>
          </w:p>
          <w:p w14:paraId="2E4E7062" w14:textId="77777777" w:rsidR="00CC5FE7" w:rsidRPr="00A31380" w:rsidRDefault="00CC5FE7">
            <w:pPr>
              <w:pStyle w:val="BulletText1"/>
            </w:pPr>
            <w:r w:rsidRPr="00A31380">
              <w:t>create a rebuilt claims folder for processing the claim, and</w:t>
            </w:r>
          </w:p>
          <w:p w14:paraId="2E4E7063" w14:textId="4B6D240F" w:rsidR="005B49DF" w:rsidRPr="00A31380" w:rsidRDefault="00CC5FE7" w:rsidP="00633371">
            <w:pPr>
              <w:pStyle w:val="BulletText1"/>
            </w:pPr>
            <w:proofErr w:type="gramStart"/>
            <w:r w:rsidRPr="00A31380">
              <w:t>continue</w:t>
            </w:r>
            <w:proofErr w:type="gramEnd"/>
            <w:r w:rsidRPr="00A31380">
              <w:t xml:space="preserve"> any incomplete search efforts to find the original folder.</w:t>
            </w:r>
          </w:p>
        </w:tc>
      </w:tr>
    </w:tbl>
    <w:p w14:paraId="2E4E7067" w14:textId="6274D658" w:rsidR="00CC5FE7" w:rsidRPr="00A31380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6A" w14:textId="77777777" w:rsidTr="00861D2A">
        <w:tc>
          <w:tcPr>
            <w:tcW w:w="1728" w:type="dxa"/>
          </w:tcPr>
          <w:p w14:paraId="2E4E7068" w14:textId="350D220D" w:rsidR="00CC5FE7" w:rsidRPr="00A31380" w:rsidRDefault="00CC5FE7" w:rsidP="002810D4">
            <w:pPr>
              <w:pStyle w:val="Heading5"/>
            </w:pPr>
            <w:proofErr w:type="gramStart"/>
            <w:r w:rsidRPr="00A31380">
              <w:t xml:space="preserve">b.  </w:t>
            </w:r>
            <w:bookmarkStart w:id="3" w:name="b15"/>
            <w:bookmarkEnd w:id="3"/>
            <w:r w:rsidR="002810D4" w:rsidRPr="00A31380">
              <w:t>Rebuilding</w:t>
            </w:r>
            <w:proofErr w:type="gramEnd"/>
            <w:r w:rsidR="002810D4" w:rsidRPr="00A31380">
              <w:t xml:space="preserve"> </w:t>
            </w:r>
            <w:r w:rsidR="002810D4" w:rsidRPr="00A31380">
              <w:lastRenderedPageBreak/>
              <w:t xml:space="preserve">Lost </w:t>
            </w:r>
            <w:r w:rsidRPr="00A31380">
              <w:t xml:space="preserve">Claims Folders </w:t>
            </w:r>
          </w:p>
        </w:tc>
        <w:tc>
          <w:tcPr>
            <w:tcW w:w="7740" w:type="dxa"/>
          </w:tcPr>
          <w:p w14:paraId="2E4E7069" w14:textId="78D337D2" w:rsidR="00CC5FE7" w:rsidRPr="00A31380" w:rsidRDefault="00CC5FE7" w:rsidP="005B49DF">
            <w:pPr>
              <w:pStyle w:val="BlockText"/>
            </w:pPr>
            <w:r w:rsidRPr="00A31380">
              <w:lastRenderedPageBreak/>
              <w:t xml:space="preserve">Follow the steps in the table below if the missing folder is a claims folder </w:t>
            </w:r>
            <w:r w:rsidR="005B49DF" w:rsidRPr="00A31380">
              <w:lastRenderedPageBreak/>
              <w:t>belonging to a living or deceased Veteran</w:t>
            </w:r>
            <w:r w:rsidRPr="00A31380">
              <w:t>.</w:t>
            </w:r>
          </w:p>
        </w:tc>
      </w:tr>
    </w:tbl>
    <w:p w14:paraId="2E4E706B" w14:textId="77777777" w:rsidR="00CC5FE7" w:rsidRPr="00A31380" w:rsidRDefault="00CC5FE7">
      <w:r w:rsidRPr="00A31380">
        <w:lastRenderedPageBreak/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CC5FE7" w:rsidRPr="00A31380" w14:paraId="2E4E706E" w14:textId="77777777" w:rsidTr="00633371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6C" w14:textId="77777777" w:rsidR="00CC5FE7" w:rsidRPr="00A31380" w:rsidRDefault="00CC5FE7">
            <w:pPr>
              <w:pStyle w:val="TableHeaderText"/>
            </w:pPr>
            <w:r w:rsidRPr="00A31380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6D" w14:textId="77777777" w:rsidR="00CC5FE7" w:rsidRPr="00A31380" w:rsidRDefault="00CC5FE7">
            <w:pPr>
              <w:pStyle w:val="TableHeaderText"/>
            </w:pPr>
            <w:r w:rsidRPr="00A31380">
              <w:t>Action</w:t>
            </w:r>
          </w:p>
        </w:tc>
      </w:tr>
      <w:tr w:rsidR="00CC5FE7" w:rsidRPr="00A31380" w14:paraId="2E4E7075" w14:textId="77777777" w:rsidTr="00633371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6F" w14:textId="77777777" w:rsidR="00CC5FE7" w:rsidRPr="00A31380" w:rsidRDefault="00CC5FE7">
            <w:pPr>
              <w:pStyle w:val="TableText"/>
              <w:jc w:val="center"/>
            </w:pPr>
            <w:r w:rsidRPr="00A31380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70" w14:textId="6A5539FE" w:rsidR="00CC5FE7" w:rsidRPr="00A31380" w:rsidRDefault="006A46A5">
            <w:pPr>
              <w:pStyle w:val="TableText"/>
            </w:pPr>
            <w:r w:rsidRPr="00A31380">
              <w:t>Ask</w:t>
            </w:r>
            <w:r w:rsidR="00CC5FE7" w:rsidRPr="00A31380">
              <w:t xml:space="preserve"> the Records Management Center (RMC) </w:t>
            </w:r>
            <w:r w:rsidRPr="00A31380">
              <w:t xml:space="preserve">to </w:t>
            </w:r>
            <w:r w:rsidR="00CC5FE7" w:rsidRPr="00A31380">
              <w:t>conduct a “</w:t>
            </w:r>
            <w:r w:rsidR="00CC5FE7" w:rsidRPr="00A31380">
              <w:rPr>
                <w:iCs/>
              </w:rPr>
              <w:t>missing folder search</w:t>
            </w:r>
            <w:r w:rsidRPr="00A31380">
              <w:rPr>
                <w:i/>
                <w:iCs/>
              </w:rPr>
              <w:t>.</w:t>
            </w:r>
            <w:r w:rsidR="00CC5FE7" w:rsidRPr="00A31380">
              <w:t xml:space="preserve">”  Submit </w:t>
            </w:r>
            <w:r w:rsidRPr="00A31380">
              <w:t>the</w:t>
            </w:r>
            <w:r w:rsidR="00CC5FE7" w:rsidRPr="00A31380">
              <w:t xml:space="preserve"> request via e-mail to </w:t>
            </w:r>
            <w:r w:rsidRPr="00A31380">
              <w:t>VAVBASTL/RMC/CIR</w:t>
            </w:r>
            <w:r w:rsidR="00CC5FE7" w:rsidRPr="00A31380">
              <w:t>.</w:t>
            </w:r>
          </w:p>
          <w:p w14:paraId="2E4E7071" w14:textId="77777777" w:rsidR="00CC5FE7" w:rsidRPr="00A31380" w:rsidRDefault="00CC5FE7">
            <w:pPr>
              <w:pStyle w:val="TableText"/>
            </w:pPr>
          </w:p>
          <w:p w14:paraId="69BFA7B7" w14:textId="6D24C9A0" w:rsidR="0078210A" w:rsidRPr="00A31380" w:rsidRDefault="00CC5FE7">
            <w:pPr>
              <w:pStyle w:val="TableText"/>
            </w:pPr>
            <w:r w:rsidRPr="00A31380">
              <w:rPr>
                <w:b/>
                <w:i/>
              </w:rPr>
              <w:t>Result</w:t>
            </w:r>
            <w:r w:rsidRPr="00A31380">
              <w:t xml:space="preserve">:  The RMC searches for the </w:t>
            </w:r>
            <w:r w:rsidR="004639B0" w:rsidRPr="00A31380">
              <w:t xml:space="preserve">claims </w:t>
            </w:r>
            <w:r w:rsidRPr="00A31380">
              <w:t xml:space="preserve">folder in its holdings.  If the </w:t>
            </w:r>
            <w:r w:rsidR="004639B0" w:rsidRPr="00A31380">
              <w:t xml:space="preserve">claims </w:t>
            </w:r>
            <w:r w:rsidRPr="00A31380">
              <w:t>folder is not at the RMC, the RMC</w:t>
            </w:r>
          </w:p>
          <w:p w14:paraId="2B3FAC6A" w14:textId="77777777" w:rsidR="0078210A" w:rsidRPr="00A31380" w:rsidRDefault="00CC5FE7" w:rsidP="0078210A">
            <w:pPr>
              <w:pStyle w:val="BulletText1"/>
            </w:pPr>
            <w:r w:rsidRPr="00A31380">
              <w:t xml:space="preserve">places a </w:t>
            </w:r>
            <w:r w:rsidR="0078210A" w:rsidRPr="00A31380">
              <w:t>“</w:t>
            </w:r>
            <w:r w:rsidRPr="00A31380">
              <w:rPr>
                <w:iCs/>
              </w:rPr>
              <w:t>missing folder</w:t>
            </w:r>
            <w:r w:rsidR="0078210A" w:rsidRPr="00A31380">
              <w:rPr>
                <w:iCs/>
              </w:rPr>
              <w:t>”</w:t>
            </w:r>
            <w:r w:rsidRPr="00A31380">
              <w:t xml:space="preserve"> charge card in its place</w:t>
            </w:r>
            <w:r w:rsidR="0078210A" w:rsidRPr="00A31380">
              <w:t>,</w:t>
            </w:r>
            <w:r w:rsidRPr="00A31380">
              <w:t xml:space="preserve"> and</w:t>
            </w:r>
          </w:p>
          <w:p w14:paraId="2E4E7072" w14:textId="3757E5A1" w:rsidR="00CC5FE7" w:rsidRPr="00A31380" w:rsidRDefault="00CC5FE7" w:rsidP="0078210A">
            <w:pPr>
              <w:pStyle w:val="BulletText1"/>
            </w:pPr>
            <w:r w:rsidRPr="00A31380">
              <w:t xml:space="preserve">notifies the RO that the </w:t>
            </w:r>
            <w:r w:rsidR="004639B0" w:rsidRPr="00A31380">
              <w:t xml:space="preserve">claims </w:t>
            </w:r>
            <w:r w:rsidRPr="00A31380">
              <w:t>folder is missing.</w:t>
            </w:r>
          </w:p>
          <w:p w14:paraId="2E4E7073" w14:textId="77777777" w:rsidR="00CC5FE7" w:rsidRPr="00A31380" w:rsidRDefault="00CC5FE7">
            <w:pPr>
              <w:pStyle w:val="TableText"/>
            </w:pPr>
          </w:p>
          <w:p w14:paraId="2E4E7074" w14:textId="62CA80FD" w:rsidR="00CC5FE7" w:rsidRPr="00A31380" w:rsidRDefault="00CC5FE7" w:rsidP="0078210A">
            <w:pPr>
              <w:pStyle w:val="TableText"/>
            </w:pPr>
            <w:r w:rsidRPr="00A31380">
              <w:rPr>
                <w:b/>
                <w:i/>
              </w:rPr>
              <w:t>Note</w:t>
            </w:r>
            <w:r w:rsidRPr="00A31380">
              <w:t xml:space="preserve">:  The RMC does not maintain NOD </w:t>
            </w:r>
            <w:r w:rsidR="0078210A" w:rsidRPr="00A31380">
              <w:t>or</w:t>
            </w:r>
            <w:r w:rsidRPr="00A31380">
              <w:t xml:space="preserve"> DEA folders.</w:t>
            </w:r>
          </w:p>
        </w:tc>
      </w:tr>
      <w:tr w:rsidR="00CC5FE7" w:rsidRPr="00A31380" w14:paraId="2E4E707F" w14:textId="77777777" w:rsidTr="00633371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76" w14:textId="77777777" w:rsidR="00CC5FE7" w:rsidRPr="00A31380" w:rsidRDefault="00CC5FE7">
            <w:pPr>
              <w:pStyle w:val="TableText"/>
              <w:jc w:val="center"/>
            </w:pPr>
            <w:r w:rsidRPr="00A31380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77" w14:textId="01800963" w:rsidR="00CC5FE7" w:rsidRPr="00A31380" w:rsidRDefault="00CC5FE7">
            <w:pPr>
              <w:pStyle w:val="BlockText"/>
            </w:pPr>
            <w:r w:rsidRPr="00A31380">
              <w:t xml:space="preserve">Request a physical check for the </w:t>
            </w:r>
            <w:r w:rsidR="00861D2A" w:rsidRPr="00A31380">
              <w:t xml:space="preserve">claims </w:t>
            </w:r>
            <w:r w:rsidRPr="00A31380">
              <w:t>folder in the file bank by</w:t>
            </w:r>
          </w:p>
          <w:p w14:paraId="2E4E7078" w14:textId="77777777" w:rsidR="00CC5FE7" w:rsidRPr="00A31380" w:rsidRDefault="00CC5FE7">
            <w:pPr>
              <w:pStyle w:val="BlockText"/>
            </w:pPr>
          </w:p>
          <w:p w14:paraId="2E4E7079" w14:textId="77777777" w:rsidR="00CC5FE7" w:rsidRPr="00A31380" w:rsidRDefault="00CC5FE7">
            <w:pPr>
              <w:pStyle w:val="BulletText1"/>
            </w:pPr>
            <w:r w:rsidRPr="00A31380">
              <w:t>sending an e-mail message to the Veterans Service Center Manager (VSCM) of any RO where there is reason to believe the folder may be located, and</w:t>
            </w:r>
          </w:p>
          <w:p w14:paraId="2E4E707A" w14:textId="77777777" w:rsidR="00CC5FE7" w:rsidRPr="00A31380" w:rsidRDefault="00CC5FE7">
            <w:pPr>
              <w:pStyle w:val="BulletText1"/>
            </w:pPr>
            <w:r w:rsidRPr="00A31380">
              <w:t>requesting a response within a specific period of time.</w:t>
            </w:r>
          </w:p>
          <w:p w14:paraId="2E4E707B" w14:textId="77777777" w:rsidR="00CC5FE7" w:rsidRPr="00A31380" w:rsidRDefault="00CC5FE7">
            <w:pPr>
              <w:pStyle w:val="TableText"/>
            </w:pPr>
          </w:p>
          <w:p w14:paraId="2E4E707C" w14:textId="5690B260" w:rsidR="00CC5FE7" w:rsidRPr="00A31380" w:rsidRDefault="00CC5FE7">
            <w:pPr>
              <w:pStyle w:val="TableText"/>
            </w:pPr>
            <w:r w:rsidRPr="00A31380">
              <w:rPr>
                <w:b/>
                <w:i/>
              </w:rPr>
              <w:t>Note</w:t>
            </w:r>
            <w:r w:rsidRPr="00A31380">
              <w:t xml:space="preserve">:  For </w:t>
            </w:r>
            <w:r w:rsidR="004639B0" w:rsidRPr="00A31380">
              <w:t>priority processing claims</w:t>
            </w:r>
            <w:r w:rsidRPr="00A31380">
              <w:t>, request a response time of 24 hours.  For routine requests, request a response time of five work days.</w:t>
            </w:r>
          </w:p>
          <w:p w14:paraId="2E4E707D" w14:textId="77777777" w:rsidR="00CC5FE7" w:rsidRPr="00A31380" w:rsidRDefault="00CC5FE7">
            <w:pPr>
              <w:pStyle w:val="TableText"/>
            </w:pPr>
          </w:p>
          <w:p w14:paraId="509FF7DC" w14:textId="77777777" w:rsidR="004639B0" w:rsidRPr="00A31380" w:rsidRDefault="00CC5FE7" w:rsidP="000F26E4">
            <w:pPr>
              <w:pStyle w:val="TableText"/>
            </w:pPr>
            <w:r w:rsidRPr="00A31380">
              <w:rPr>
                <w:b/>
                <w:i/>
              </w:rPr>
              <w:t>Reference</w:t>
            </w:r>
            <w:r w:rsidR="004639B0" w:rsidRPr="00A31380">
              <w:rPr>
                <w:b/>
                <w:i/>
              </w:rPr>
              <w:t>s</w:t>
            </w:r>
            <w:r w:rsidRPr="00A31380">
              <w:t xml:space="preserve">:  For more information on </w:t>
            </w:r>
          </w:p>
          <w:p w14:paraId="554AC25E" w14:textId="77777777" w:rsidR="004639B0" w:rsidRPr="00A31380" w:rsidRDefault="00CC5FE7" w:rsidP="004639B0">
            <w:pPr>
              <w:numPr>
                <w:ilvl w:val="0"/>
                <w:numId w:val="29"/>
              </w:numPr>
              <w:ind w:left="158" w:hanging="187"/>
            </w:pPr>
            <w:r w:rsidRPr="00A31380">
              <w:t xml:space="preserve">24-hour searches, see </w:t>
            </w:r>
            <w:r w:rsidR="00FD5E45" w:rsidRPr="00A31380">
              <w:t>M21-1</w:t>
            </w:r>
            <w:r w:rsidR="002F223C" w:rsidRPr="00A31380">
              <w:t>, Part III, Subpart ii, 4.D.</w:t>
            </w:r>
            <w:r w:rsidR="000F26E4" w:rsidRPr="00A31380">
              <w:rPr>
                <w:rStyle w:val="Hyperlink"/>
                <w:color w:val="auto"/>
                <w:u w:val="none"/>
              </w:rPr>
              <w:t>2</w:t>
            </w:r>
            <w:r w:rsidR="004639B0" w:rsidRPr="00A31380">
              <w:t>, and</w:t>
            </w:r>
          </w:p>
          <w:p w14:paraId="2E4E707E" w14:textId="41932E87" w:rsidR="00CC5FE7" w:rsidRPr="00A31380" w:rsidRDefault="004639B0" w:rsidP="004639B0">
            <w:pPr>
              <w:numPr>
                <w:ilvl w:val="0"/>
                <w:numId w:val="29"/>
              </w:numPr>
              <w:ind w:left="158" w:hanging="187"/>
            </w:pPr>
            <w:r w:rsidRPr="00A31380">
              <w:t>Priority processing claims, see M21-1, Part III, Subpart ii, 1.D.1.</w:t>
            </w:r>
          </w:p>
        </w:tc>
      </w:tr>
      <w:tr w:rsidR="00CC5FE7" w:rsidRPr="00A31380" w14:paraId="2E4E708A" w14:textId="77777777" w:rsidTr="00633371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80" w14:textId="300F70F5" w:rsidR="00CC5FE7" w:rsidRPr="00A31380" w:rsidRDefault="00CC5FE7">
            <w:pPr>
              <w:pStyle w:val="TableText"/>
              <w:jc w:val="center"/>
            </w:pPr>
            <w:r w:rsidRPr="00A31380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81" w14:textId="0817EFA2" w:rsidR="00CC5FE7" w:rsidRPr="00A31380" w:rsidRDefault="005B49DF">
            <w:pPr>
              <w:pStyle w:val="BlockText"/>
            </w:pPr>
            <w:r w:rsidRPr="00A31380">
              <w:t>Upon receipt of</w:t>
            </w:r>
            <w:r w:rsidR="00CC5FE7" w:rsidRPr="00A31380">
              <w:t xml:space="preserve"> negative replies from all locations, rebuild the claims folder</w:t>
            </w:r>
            <w:r w:rsidR="006F4551" w:rsidRPr="00A31380">
              <w:t xml:space="preserve"> </w:t>
            </w:r>
            <w:r w:rsidR="00CF4050" w:rsidRPr="00A31380">
              <w:t>using</w:t>
            </w:r>
            <w:r w:rsidR="006F4551" w:rsidRPr="00A31380">
              <w:t xml:space="preserve"> the table below.</w:t>
            </w:r>
          </w:p>
          <w:p w14:paraId="2E4E7082" w14:textId="77777777" w:rsidR="00CC5FE7" w:rsidRPr="00A31380" w:rsidRDefault="00CC5FE7">
            <w:pPr>
              <w:pStyle w:val="BlockText"/>
            </w:pPr>
          </w:p>
          <w:tbl>
            <w:tblPr>
              <w:tblStyle w:val="TableGrid"/>
              <w:tblW w:w="6468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4308"/>
            </w:tblGrid>
            <w:tr w:rsidR="006F4551" w:rsidRPr="00A31380" w14:paraId="57792BAB" w14:textId="77777777" w:rsidTr="006F4551">
              <w:tc>
                <w:tcPr>
                  <w:tcW w:w="2160" w:type="dxa"/>
                </w:tcPr>
                <w:p w14:paraId="73C21628" w14:textId="77777777" w:rsidR="006F4551" w:rsidRPr="00A31380" w:rsidRDefault="006F4551" w:rsidP="006F4551">
                  <w:pPr>
                    <w:rPr>
                      <w:b/>
                    </w:rPr>
                  </w:pPr>
                  <w:r w:rsidRPr="00A31380">
                    <w:rPr>
                      <w:b/>
                    </w:rPr>
                    <w:t>If the claims folder to be rebuilt will be in a(n)...</w:t>
                  </w:r>
                </w:p>
              </w:tc>
              <w:tc>
                <w:tcPr>
                  <w:tcW w:w="4308" w:type="dxa"/>
                </w:tcPr>
                <w:p w14:paraId="77D8E940" w14:textId="77777777" w:rsidR="006F4551" w:rsidRPr="00A31380" w:rsidRDefault="006F4551" w:rsidP="006F4551">
                  <w:pPr>
                    <w:rPr>
                      <w:b/>
                    </w:rPr>
                  </w:pPr>
                  <w:r w:rsidRPr="00A31380">
                    <w:rPr>
                      <w:b/>
                    </w:rPr>
                    <w:t>Then ...</w:t>
                  </w:r>
                </w:p>
              </w:tc>
            </w:tr>
            <w:tr w:rsidR="006F4551" w:rsidRPr="00A31380" w14:paraId="264A4FE2" w14:textId="77777777" w:rsidTr="006F4551">
              <w:tc>
                <w:tcPr>
                  <w:tcW w:w="2160" w:type="dxa"/>
                </w:tcPr>
                <w:p w14:paraId="5E8D1CDB" w14:textId="36F6A4E5" w:rsidR="006F4551" w:rsidRPr="00A31380" w:rsidRDefault="002810D4" w:rsidP="002810D4">
                  <w:r w:rsidRPr="00A31380">
                    <w:t xml:space="preserve">electronic format </w:t>
                  </w:r>
                </w:p>
              </w:tc>
              <w:tc>
                <w:tcPr>
                  <w:tcW w:w="4308" w:type="dxa"/>
                </w:tcPr>
                <w:p w14:paraId="6698E050" w14:textId="2596F3C3" w:rsidR="006F4551" w:rsidRPr="00A31380" w:rsidRDefault="004B03A2" w:rsidP="006F455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158" w:hanging="187"/>
                  </w:pPr>
                  <w:r w:rsidRPr="00A31380">
                    <w:t>c</w:t>
                  </w:r>
                  <w:r w:rsidR="006F4551" w:rsidRPr="00A31380">
                    <w:t xml:space="preserve">reate a </w:t>
                  </w:r>
                  <w:r w:rsidR="002810D4" w:rsidRPr="00A31380">
                    <w:t>Veterans Benefits Management System (</w:t>
                  </w:r>
                  <w:r w:rsidR="006F4551" w:rsidRPr="00A31380">
                    <w:t>VBMS</w:t>
                  </w:r>
                  <w:r w:rsidR="002810D4" w:rsidRPr="00A31380">
                    <w:t>) electronic folder</w:t>
                  </w:r>
                  <w:r w:rsidR="006F4551" w:rsidRPr="00A31380">
                    <w:t xml:space="preserve"> </w:t>
                  </w:r>
                  <w:r w:rsidR="002810D4" w:rsidRPr="00A31380">
                    <w:t>(</w:t>
                  </w:r>
                  <w:r w:rsidR="006F4551" w:rsidRPr="00A31380">
                    <w:t>eFolder</w:t>
                  </w:r>
                  <w:r w:rsidR="002810D4" w:rsidRPr="00A31380">
                    <w:t>)</w:t>
                  </w:r>
                </w:p>
                <w:p w14:paraId="11E24657" w14:textId="77777777" w:rsidR="006F4551" w:rsidRPr="00A31380" w:rsidRDefault="006F4551" w:rsidP="006F455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158" w:hanging="187"/>
                  </w:pPr>
                  <w:r w:rsidRPr="00A31380">
                    <w:t>submit requests for copies of any relevant evidence or documentation in the possession of the claimant and, if applicable, his/her power of attorney</w:t>
                  </w:r>
                </w:p>
                <w:p w14:paraId="30B132F3" w14:textId="76A061D9" w:rsidR="006F4551" w:rsidRPr="00A31380" w:rsidRDefault="004B03A2" w:rsidP="006F455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158" w:hanging="187"/>
                    <w:rPr>
                      <w:rFonts w:eastAsia="Times New Roman"/>
                      <w:bCs/>
                      <w:szCs w:val="24"/>
                    </w:rPr>
                  </w:pPr>
                  <w:r w:rsidRPr="00A31380">
                    <w:rPr>
                      <w:rFonts w:eastAsia="Times New Roman"/>
                      <w:bCs/>
                      <w:szCs w:val="24"/>
                    </w:rPr>
                    <w:t>u</w:t>
                  </w:r>
                  <w:r w:rsidR="006F4551" w:rsidRPr="00A31380">
                    <w:rPr>
                      <w:rFonts w:eastAsia="Times New Roman"/>
                      <w:bCs/>
                      <w:szCs w:val="24"/>
                    </w:rPr>
                    <w:t>pdate of the Beneficiary Identification and Records Locator Subsystem (BIRLS) LOC screen to show the eFolder at the RO is a rebuilt eFolder, and</w:t>
                  </w:r>
                </w:p>
                <w:p w14:paraId="26A08744" w14:textId="7A523BE0" w:rsidR="006F4551" w:rsidRPr="00A31380" w:rsidRDefault="004B03A2" w:rsidP="006F455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158" w:hanging="187"/>
                  </w:pPr>
                  <w:r w:rsidRPr="00A31380">
                    <w:rPr>
                      <w:rFonts w:eastAsia="Times New Roman"/>
                      <w:bCs/>
                      <w:szCs w:val="24"/>
                    </w:rPr>
                    <w:t>a</w:t>
                  </w:r>
                  <w:r w:rsidR="006F4551" w:rsidRPr="00A31380">
                    <w:rPr>
                      <w:rFonts w:eastAsia="Times New Roman"/>
                      <w:bCs/>
                      <w:szCs w:val="24"/>
                    </w:rPr>
                    <w:t xml:space="preserve">ppend </w:t>
                  </w:r>
                  <w:r w:rsidR="004953F5" w:rsidRPr="00A31380">
                    <w:rPr>
                      <w:rFonts w:eastAsia="Times New Roman"/>
                      <w:bCs/>
                      <w:szCs w:val="24"/>
                    </w:rPr>
                    <w:t xml:space="preserve">the </w:t>
                  </w:r>
                  <w:r w:rsidR="006F4551" w:rsidRPr="00A31380">
                    <w:rPr>
                      <w:rFonts w:eastAsia="Times New Roman"/>
                      <w:bCs/>
                      <w:szCs w:val="24"/>
                    </w:rPr>
                    <w:t xml:space="preserve">“Rebuilt Folder” corporate </w:t>
                  </w:r>
                  <w:r w:rsidR="006F4551" w:rsidRPr="00A31380">
                    <w:rPr>
                      <w:rFonts w:eastAsia="Times New Roman"/>
                      <w:bCs/>
                      <w:szCs w:val="24"/>
                    </w:rPr>
                    <w:lastRenderedPageBreak/>
                    <w:t>flash.</w:t>
                  </w:r>
                </w:p>
                <w:p w14:paraId="7771F432" w14:textId="77777777" w:rsidR="006F4551" w:rsidRPr="00A31380" w:rsidRDefault="006F4551" w:rsidP="002810D4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/>
                      <w:bCs/>
                      <w:szCs w:val="24"/>
                    </w:rPr>
                  </w:pPr>
                </w:p>
                <w:p w14:paraId="45027142" w14:textId="54FC0E38" w:rsidR="004B03A2" w:rsidRPr="00A31380" w:rsidRDefault="006F4551" w:rsidP="00633371">
                  <w:r w:rsidRPr="00A31380">
                    <w:rPr>
                      <w:b/>
                      <w:i/>
                    </w:rPr>
                    <w:t>Reference</w:t>
                  </w:r>
                  <w:r w:rsidR="00CF4050" w:rsidRPr="00A31380">
                    <w:rPr>
                      <w:b/>
                      <w:i/>
                    </w:rPr>
                    <w:t>s</w:t>
                  </w:r>
                  <w:r w:rsidRPr="00A31380">
                    <w:t xml:space="preserve">:  For more information on </w:t>
                  </w:r>
                </w:p>
                <w:p w14:paraId="1C0963A7" w14:textId="64BA542E" w:rsidR="004B03A2" w:rsidRPr="00A31380" w:rsidRDefault="004B03A2" w:rsidP="00633371">
                  <w:pPr>
                    <w:numPr>
                      <w:ilvl w:val="0"/>
                      <w:numId w:val="34"/>
                    </w:numPr>
                    <w:ind w:left="158" w:hanging="187"/>
                  </w:pPr>
                  <w:r w:rsidRPr="00A31380">
                    <w:t>creation of eFolders, see M21-1, Part III, Subpart ii, 3.B.2</w:t>
                  </w:r>
                </w:p>
                <w:p w14:paraId="1D93488A" w14:textId="16D950B5" w:rsidR="004B03A2" w:rsidRPr="00A31380" w:rsidRDefault="006F4551" w:rsidP="00633371">
                  <w:pPr>
                    <w:numPr>
                      <w:ilvl w:val="0"/>
                      <w:numId w:val="34"/>
                    </w:numPr>
                    <w:ind w:left="158" w:hanging="187"/>
                  </w:pPr>
                  <w:r w:rsidRPr="00A31380">
                    <w:t>appending a corporate flash</w:t>
                  </w:r>
                  <w:r w:rsidR="004B03A2" w:rsidRPr="00A31380">
                    <w:t>,</w:t>
                  </w:r>
                  <w:r w:rsidR="00CF4050" w:rsidRPr="00A31380">
                    <w:t xml:space="preserve"> see the </w:t>
                  </w:r>
                  <w:hyperlink r:id="rId12" w:history="1">
                    <w:r w:rsidR="00CF4050" w:rsidRPr="00A31380">
                      <w:rPr>
                        <w:rStyle w:val="Hyperlink"/>
                        <w:i/>
                      </w:rPr>
                      <w:t>Share User’s Guide</w:t>
                    </w:r>
                  </w:hyperlink>
                  <w:r w:rsidR="00CF4050" w:rsidRPr="00A31380">
                    <w:t>,</w:t>
                  </w:r>
                  <w:r w:rsidR="004B03A2" w:rsidRPr="00A31380">
                    <w:t xml:space="preserve"> and </w:t>
                  </w:r>
                </w:p>
                <w:p w14:paraId="18FC68B9" w14:textId="36528976" w:rsidR="006F4551" w:rsidRPr="00A31380" w:rsidRDefault="004B03A2" w:rsidP="00633371">
                  <w:pPr>
                    <w:numPr>
                      <w:ilvl w:val="0"/>
                      <w:numId w:val="35"/>
                    </w:numPr>
                    <w:ind w:left="158" w:hanging="187"/>
                  </w:pPr>
                  <w:r w:rsidRPr="00A31380">
                    <w:t>updating BIRLS to show a rebuilt folder</w:t>
                  </w:r>
                  <w:r w:rsidR="006F4551" w:rsidRPr="00A31380">
                    <w:t xml:space="preserve">, see the </w:t>
                  </w:r>
                  <w:hyperlink r:id="rId13" w:history="1">
                    <w:r w:rsidR="006F4551" w:rsidRPr="00A31380">
                      <w:rPr>
                        <w:rStyle w:val="Hyperlink"/>
                        <w:i/>
                      </w:rPr>
                      <w:t>Share User’s Guide</w:t>
                    </w:r>
                  </w:hyperlink>
                  <w:r w:rsidR="006F4551" w:rsidRPr="00A31380">
                    <w:t>.</w:t>
                  </w:r>
                </w:p>
              </w:tc>
            </w:tr>
            <w:tr w:rsidR="006F4551" w:rsidRPr="00A31380" w14:paraId="7E6D1035" w14:textId="77777777" w:rsidTr="006F4551">
              <w:tc>
                <w:tcPr>
                  <w:tcW w:w="2160" w:type="dxa"/>
                </w:tcPr>
                <w:p w14:paraId="0BE7604E" w14:textId="77777777" w:rsidR="006F4551" w:rsidRPr="00A31380" w:rsidRDefault="006F4551" w:rsidP="006F4551">
                  <w:r w:rsidRPr="00A31380">
                    <w:lastRenderedPageBreak/>
                    <w:t>paper format</w:t>
                  </w:r>
                </w:p>
              </w:tc>
              <w:tc>
                <w:tcPr>
                  <w:tcW w:w="4308" w:type="dxa"/>
                </w:tcPr>
                <w:p w14:paraId="46664396" w14:textId="77777777" w:rsidR="006F4551" w:rsidRPr="00A31380" w:rsidRDefault="006F4551" w:rsidP="006F4551">
                  <w:pPr>
                    <w:pStyle w:val="BulletText1"/>
                  </w:pPr>
                  <w:r w:rsidRPr="00A31380">
                    <w:t xml:space="preserve">prepare a </w:t>
                  </w:r>
                  <w:r w:rsidRPr="00A31380">
                    <w:rPr>
                      <w:i/>
                      <w:iCs/>
                    </w:rPr>
                    <w:t>rebuilt</w:t>
                  </w:r>
                  <w:r w:rsidRPr="00A31380">
                    <w:t xml:space="preserve"> folder</w:t>
                  </w:r>
                </w:p>
                <w:p w14:paraId="5C3BB49F" w14:textId="77777777" w:rsidR="006F4551" w:rsidRPr="00A31380" w:rsidRDefault="006F4551" w:rsidP="006F4551">
                  <w:pPr>
                    <w:pStyle w:val="BulletText1"/>
                  </w:pPr>
                  <w:r w:rsidRPr="00A31380">
                    <w:t>submit requests for copies of any relevant evidence or documentation in the possession of the claimant and, if applicable, his/her power of attorney</w:t>
                  </w:r>
                </w:p>
                <w:p w14:paraId="798D1D83" w14:textId="4E32068C" w:rsidR="006F4551" w:rsidRPr="00A31380" w:rsidRDefault="006F4551" w:rsidP="006F4551">
                  <w:pPr>
                    <w:pStyle w:val="BulletText1"/>
                  </w:pPr>
                  <w:r w:rsidRPr="00A31380">
                    <w:t>update the BIRLS FOLDER LOCATION screen to reflect that the folder at the RO is a rebuilt folder, and</w:t>
                  </w:r>
                </w:p>
                <w:p w14:paraId="35B21E0E" w14:textId="18E309BA" w:rsidR="006F4551" w:rsidRPr="00A31380" w:rsidRDefault="004953F5" w:rsidP="006F4551">
                  <w:pPr>
                    <w:pStyle w:val="BulletText1"/>
                  </w:pPr>
                  <w:r w:rsidRPr="00A31380">
                    <w:t>p</w:t>
                  </w:r>
                  <w:r w:rsidR="006F4551" w:rsidRPr="00A31380">
                    <w:t>rominently mark the cover of the rebuilt folder with the words Rebuilt Folder.</w:t>
                  </w:r>
                </w:p>
                <w:p w14:paraId="1B00D0FD" w14:textId="77777777" w:rsidR="006F4551" w:rsidRPr="00A31380" w:rsidRDefault="006F4551" w:rsidP="006F4551">
                  <w:pPr>
                    <w:pStyle w:val="TableText"/>
                  </w:pPr>
                </w:p>
                <w:p w14:paraId="095E36E8" w14:textId="77777777" w:rsidR="006F4551" w:rsidRPr="00A31380" w:rsidRDefault="006F4551" w:rsidP="006F4551">
                  <w:pPr>
                    <w:pStyle w:val="TableText"/>
                  </w:pPr>
                  <w:r w:rsidRPr="00A31380">
                    <w:rPr>
                      <w:b/>
                      <w:i/>
                    </w:rPr>
                    <w:t>Reference</w:t>
                  </w:r>
                  <w:r w:rsidRPr="00A31380">
                    <w:t>:  For more information on standard notations for folders, see M21-1, Part III, Subpart ii, 3.B.4.b.</w:t>
                  </w:r>
                </w:p>
              </w:tc>
            </w:tr>
          </w:tbl>
          <w:p w14:paraId="3913CEB8" w14:textId="77777777" w:rsidR="006F4551" w:rsidRPr="00A31380" w:rsidRDefault="006F4551" w:rsidP="006F4551"/>
          <w:p w14:paraId="2E4E7089" w14:textId="7FFDE0BB" w:rsidR="00EA2D75" w:rsidRPr="00A31380" w:rsidRDefault="006F4551" w:rsidP="004639B0">
            <w:pPr>
              <w:pStyle w:val="TableText"/>
            </w:pPr>
            <w:r w:rsidRPr="00A31380">
              <w:rPr>
                <w:b/>
                <w:bCs/>
                <w:i/>
                <w:iCs/>
              </w:rPr>
              <w:t>Important</w:t>
            </w:r>
            <w:r w:rsidRPr="00A31380">
              <w:t>:  Create a rebuilt folder no more than 60 days from the date a corresponding claim is received, if the original claims folder is not located.</w:t>
            </w:r>
          </w:p>
        </w:tc>
      </w:tr>
    </w:tbl>
    <w:p w14:paraId="744D3566" w14:textId="77777777" w:rsidR="005B49DF" w:rsidRPr="00A31380" w:rsidRDefault="005B49DF" w:rsidP="00633371">
      <w:pPr>
        <w:pStyle w:val="BlockLine"/>
        <w:pBdr>
          <w:top w:val="single" w:sz="6" w:space="0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9F" w14:textId="77777777">
        <w:trPr>
          <w:cantSplit/>
        </w:trPr>
        <w:tc>
          <w:tcPr>
            <w:tcW w:w="1728" w:type="dxa"/>
          </w:tcPr>
          <w:p w14:paraId="2E4E709A" w14:textId="49A35367" w:rsidR="00CC5FE7" w:rsidRPr="00A31380" w:rsidRDefault="00CC5FE7" w:rsidP="00415741">
            <w:pPr>
              <w:pStyle w:val="Heading5"/>
            </w:pPr>
            <w:proofErr w:type="gramStart"/>
            <w:r w:rsidRPr="00A31380">
              <w:t xml:space="preserve">c.  </w:t>
            </w:r>
            <w:bookmarkStart w:id="4" w:name="c15"/>
            <w:bookmarkEnd w:id="4"/>
            <w:r w:rsidR="004953F5" w:rsidRPr="00A31380">
              <w:t>Rebuilding</w:t>
            </w:r>
            <w:proofErr w:type="gramEnd"/>
            <w:r w:rsidR="004953F5" w:rsidRPr="00A31380">
              <w:t xml:space="preserve"> Lost </w:t>
            </w:r>
            <w:r w:rsidRPr="00A31380">
              <w:t>NOD or DEA Folders</w:t>
            </w:r>
          </w:p>
        </w:tc>
        <w:tc>
          <w:tcPr>
            <w:tcW w:w="7740" w:type="dxa"/>
          </w:tcPr>
          <w:p w14:paraId="2E4E709B" w14:textId="19C37ECC" w:rsidR="00CC5FE7" w:rsidRPr="00A31380" w:rsidRDefault="00415741">
            <w:pPr>
              <w:pStyle w:val="BlockText"/>
            </w:pPr>
            <w:r w:rsidRPr="00A31380">
              <w:t>Use</w:t>
            </w:r>
            <w:r w:rsidR="00CC5FE7" w:rsidRPr="00A31380">
              <w:t xml:space="preserve"> the table below if a NOD or a DEA folder cannot be located after</w:t>
            </w:r>
          </w:p>
          <w:p w14:paraId="2E4E709C" w14:textId="77777777" w:rsidR="00CC5FE7" w:rsidRPr="00A31380" w:rsidRDefault="00CC5FE7">
            <w:pPr>
              <w:pStyle w:val="BlockText"/>
            </w:pPr>
          </w:p>
          <w:p w14:paraId="2E4E709D" w14:textId="583C0BC9" w:rsidR="00CC5FE7" w:rsidRPr="00A31380" w:rsidRDefault="00EB2392">
            <w:pPr>
              <w:pStyle w:val="BulletText1"/>
            </w:pPr>
            <w:r w:rsidRPr="00A31380">
              <w:t>completing</w:t>
            </w:r>
            <w:r w:rsidR="00CC5FE7" w:rsidRPr="00A31380">
              <w:t xml:space="preserve"> internal searches, and</w:t>
            </w:r>
          </w:p>
          <w:p w14:paraId="2E4E709E" w14:textId="40EF3D04" w:rsidR="00CC5FE7" w:rsidRPr="00A31380" w:rsidRDefault="00EB2392" w:rsidP="00EB2392">
            <w:pPr>
              <w:pStyle w:val="BulletText1"/>
            </w:pPr>
            <w:r w:rsidRPr="00A31380">
              <w:t xml:space="preserve">receiving responses to </w:t>
            </w:r>
            <w:r w:rsidR="00CC5FE7" w:rsidRPr="00A31380">
              <w:t xml:space="preserve">requests for searches at any other ROs </w:t>
            </w:r>
            <w:r w:rsidRPr="00A31380">
              <w:t>where the folder might be located</w:t>
            </w:r>
            <w:r w:rsidR="00CC5FE7" w:rsidRPr="00A31380">
              <w:t>.</w:t>
            </w:r>
          </w:p>
        </w:tc>
      </w:tr>
    </w:tbl>
    <w:p w14:paraId="77A90892" w14:textId="77777777" w:rsidR="004953F5" w:rsidRPr="00A31380" w:rsidRDefault="004953F5" w:rsidP="004953F5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060"/>
        <w:gridCol w:w="4590"/>
      </w:tblGrid>
      <w:tr w:rsidR="004953F5" w:rsidRPr="00A31380" w14:paraId="6DDB73C8" w14:textId="77777777" w:rsidTr="00633371">
        <w:tc>
          <w:tcPr>
            <w:tcW w:w="3060" w:type="dxa"/>
          </w:tcPr>
          <w:p w14:paraId="2B055062" w14:textId="77777777" w:rsidR="004953F5" w:rsidRPr="00A31380" w:rsidRDefault="004953F5" w:rsidP="004953F5">
            <w:pPr>
              <w:rPr>
                <w:b/>
              </w:rPr>
            </w:pPr>
            <w:r w:rsidRPr="00A31380">
              <w:rPr>
                <w:b/>
              </w:rPr>
              <w:t>If the NOD or DEA folder to be rebuilt will be in a(n)...</w:t>
            </w:r>
          </w:p>
        </w:tc>
        <w:tc>
          <w:tcPr>
            <w:tcW w:w="4590" w:type="dxa"/>
          </w:tcPr>
          <w:p w14:paraId="05E99A92" w14:textId="77777777" w:rsidR="004953F5" w:rsidRPr="00A31380" w:rsidRDefault="004953F5" w:rsidP="004953F5">
            <w:pPr>
              <w:rPr>
                <w:b/>
              </w:rPr>
            </w:pPr>
            <w:r w:rsidRPr="00A31380">
              <w:rPr>
                <w:b/>
              </w:rPr>
              <w:t>Then ...</w:t>
            </w:r>
          </w:p>
        </w:tc>
      </w:tr>
      <w:tr w:rsidR="004953F5" w:rsidRPr="00A31380" w14:paraId="34261376" w14:textId="77777777" w:rsidTr="00633371">
        <w:tc>
          <w:tcPr>
            <w:tcW w:w="3060" w:type="dxa"/>
          </w:tcPr>
          <w:p w14:paraId="16F5A7F6" w14:textId="77777777" w:rsidR="004953F5" w:rsidRPr="00A31380" w:rsidRDefault="004953F5" w:rsidP="004953F5">
            <w:r w:rsidRPr="00A31380">
              <w:t>eFolder format</w:t>
            </w:r>
          </w:p>
        </w:tc>
        <w:tc>
          <w:tcPr>
            <w:tcW w:w="4590" w:type="dxa"/>
          </w:tcPr>
          <w:p w14:paraId="693935D9" w14:textId="77777777" w:rsidR="004953F5" w:rsidRPr="00A31380" w:rsidRDefault="004953F5" w:rsidP="004953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58" w:hanging="187"/>
            </w:pPr>
            <w:r w:rsidRPr="00A31380">
              <w:t>create an eFolder, and</w:t>
            </w:r>
          </w:p>
          <w:p w14:paraId="52D3A97C" w14:textId="77777777" w:rsidR="004953F5" w:rsidRPr="00A31380" w:rsidRDefault="004953F5" w:rsidP="004953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58" w:hanging="187"/>
            </w:pPr>
            <w:r w:rsidRPr="00A31380">
              <w:rPr>
                <w:rFonts w:eastAsia="Times New Roman"/>
                <w:bCs/>
                <w:szCs w:val="24"/>
              </w:rPr>
              <w:t>append the “Rebuilt Folder” corporate flash.</w:t>
            </w:r>
          </w:p>
          <w:p w14:paraId="1D19EA38" w14:textId="77777777" w:rsidR="004953F5" w:rsidRPr="00A31380" w:rsidRDefault="004953F5" w:rsidP="004953F5"/>
          <w:p w14:paraId="063B169A" w14:textId="77777777" w:rsidR="004953F5" w:rsidRPr="00A31380" w:rsidRDefault="004953F5" w:rsidP="004953F5">
            <w:r w:rsidRPr="00A31380">
              <w:rPr>
                <w:b/>
                <w:i/>
              </w:rPr>
              <w:t>References</w:t>
            </w:r>
            <w:r w:rsidRPr="00A31380">
              <w:t>:  For more information on</w:t>
            </w:r>
          </w:p>
          <w:p w14:paraId="20E76BAB" w14:textId="77777777" w:rsidR="004953F5" w:rsidRPr="00A31380" w:rsidRDefault="004953F5" w:rsidP="004953F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58" w:hanging="187"/>
            </w:pPr>
            <w:r w:rsidRPr="00A31380">
              <w:t>eFolder creation, see M21-1, Part III, Subpart ii, 3.B.2, and</w:t>
            </w:r>
          </w:p>
          <w:p w14:paraId="23DEC486" w14:textId="429422B1" w:rsidR="004953F5" w:rsidRPr="00A31380" w:rsidRDefault="004953F5" w:rsidP="004953F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58" w:hanging="187"/>
            </w:pPr>
            <w:r w:rsidRPr="00A31380">
              <w:t xml:space="preserve">appending a corporate flash, see the </w:t>
            </w:r>
            <w:hyperlink r:id="rId14" w:history="1">
              <w:r w:rsidRPr="00A31380">
                <w:rPr>
                  <w:rStyle w:val="Hyperlink"/>
                  <w:i/>
                </w:rPr>
                <w:t xml:space="preserve">Share </w:t>
              </w:r>
              <w:r w:rsidRPr="00A31380">
                <w:rPr>
                  <w:rStyle w:val="Hyperlink"/>
                  <w:i/>
                </w:rPr>
                <w:lastRenderedPageBreak/>
                <w:t>User’s Guide</w:t>
              </w:r>
            </w:hyperlink>
            <w:r w:rsidRPr="00A31380">
              <w:t>.</w:t>
            </w:r>
          </w:p>
        </w:tc>
      </w:tr>
      <w:tr w:rsidR="004953F5" w:rsidRPr="00A31380" w14:paraId="05E947C7" w14:textId="77777777" w:rsidTr="00633371">
        <w:tc>
          <w:tcPr>
            <w:tcW w:w="3060" w:type="dxa"/>
          </w:tcPr>
          <w:p w14:paraId="33C553FC" w14:textId="691A3943" w:rsidR="004953F5" w:rsidRPr="00A31380" w:rsidRDefault="004953F5" w:rsidP="004953F5">
            <w:r w:rsidRPr="00A31380">
              <w:lastRenderedPageBreak/>
              <w:t>paper format</w:t>
            </w:r>
          </w:p>
        </w:tc>
        <w:tc>
          <w:tcPr>
            <w:tcW w:w="4590" w:type="dxa"/>
          </w:tcPr>
          <w:p w14:paraId="43D77D78" w14:textId="77777777" w:rsidR="004953F5" w:rsidRPr="00A31380" w:rsidRDefault="004953F5" w:rsidP="004953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8" w:hanging="187"/>
            </w:pPr>
            <w:r w:rsidRPr="00A31380">
              <w:t>rebuild the folder</w:t>
            </w:r>
          </w:p>
          <w:p w14:paraId="3CF53D4F" w14:textId="77777777" w:rsidR="004953F5" w:rsidRPr="00A31380" w:rsidRDefault="004953F5" w:rsidP="004953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8" w:hanging="187"/>
            </w:pPr>
            <w:r w:rsidRPr="00A31380">
              <w:t>if necessary, include copies of documents from available claims folders, fiscal records, and education records in the DEA folder, and</w:t>
            </w:r>
          </w:p>
          <w:p w14:paraId="273DDBF0" w14:textId="77777777" w:rsidR="004953F5" w:rsidRPr="00A31380" w:rsidRDefault="004953F5" w:rsidP="004953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8" w:hanging="187"/>
            </w:pPr>
            <w:r w:rsidRPr="00A31380">
              <w:t xml:space="preserve">prominently mark the cover of the rebuilt folder with the words </w:t>
            </w:r>
            <w:r w:rsidRPr="00A31380">
              <w:rPr>
                <w:i/>
              </w:rPr>
              <w:t>Rebuilt Folder</w:t>
            </w:r>
            <w:r w:rsidRPr="00A31380">
              <w:t>.</w:t>
            </w:r>
          </w:p>
          <w:p w14:paraId="0B2B50AB" w14:textId="77777777" w:rsidR="004953F5" w:rsidRPr="00A31380" w:rsidRDefault="004953F5" w:rsidP="004953F5"/>
          <w:p w14:paraId="07669831" w14:textId="17C278BB" w:rsidR="004953F5" w:rsidRPr="00A31380" w:rsidRDefault="004953F5" w:rsidP="004953F5">
            <w:r w:rsidRPr="00A31380">
              <w:rPr>
                <w:b/>
                <w:i/>
              </w:rPr>
              <w:t>Reference</w:t>
            </w:r>
            <w:r w:rsidRPr="00A31380">
              <w:t>:  For more information on standard notations for folders, see M21-1, Part III, Subpart ii, 3.B.4.b.</w:t>
            </w:r>
          </w:p>
        </w:tc>
      </w:tr>
    </w:tbl>
    <w:p w14:paraId="2ABAC319" w14:textId="2FC90886" w:rsidR="004953F5" w:rsidRPr="00A31380" w:rsidRDefault="00415741" w:rsidP="00415741">
      <w:pPr>
        <w:tabs>
          <w:tab w:val="left" w:pos="9360"/>
        </w:tabs>
        <w:ind w:left="1714"/>
      </w:pPr>
      <w:r w:rsidRPr="00A31380">
        <w:rPr>
          <w:u w:val="single"/>
        </w:rPr>
        <w:tab/>
      </w:r>
    </w:p>
    <w:p w14:paraId="4E58D34C" w14:textId="40AEE38D" w:rsidR="00415741" w:rsidRPr="00A31380" w:rsidRDefault="00415741" w:rsidP="00415741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B0" w14:textId="77777777">
        <w:trPr>
          <w:cantSplit/>
        </w:trPr>
        <w:tc>
          <w:tcPr>
            <w:tcW w:w="1728" w:type="dxa"/>
          </w:tcPr>
          <w:p w14:paraId="2E4E70AE" w14:textId="24ECC44E" w:rsidR="00CC5FE7" w:rsidRPr="00A31380" w:rsidRDefault="00CC5FE7" w:rsidP="00F976E3">
            <w:pPr>
              <w:pStyle w:val="Heading5"/>
            </w:pPr>
            <w:proofErr w:type="gramStart"/>
            <w:r w:rsidRPr="00A31380">
              <w:t xml:space="preserve">d.  </w:t>
            </w:r>
            <w:bookmarkStart w:id="5" w:name="d15"/>
            <w:bookmarkEnd w:id="5"/>
            <w:r w:rsidR="00F976E3" w:rsidRPr="00A31380">
              <w:t>Combining</w:t>
            </w:r>
            <w:proofErr w:type="gramEnd"/>
            <w:r w:rsidRPr="00A31380">
              <w:t xml:space="preserve"> </w:t>
            </w:r>
            <w:r w:rsidR="00F976E3" w:rsidRPr="00A31380">
              <w:t xml:space="preserve">Folders </w:t>
            </w:r>
            <w:r w:rsidRPr="00A31380">
              <w:t xml:space="preserve">When </w:t>
            </w:r>
            <w:r w:rsidR="00F976E3" w:rsidRPr="00A31380">
              <w:t xml:space="preserve">the Original </w:t>
            </w:r>
            <w:r w:rsidRPr="00A31380">
              <w:t>Folder is Located</w:t>
            </w:r>
          </w:p>
        </w:tc>
        <w:tc>
          <w:tcPr>
            <w:tcW w:w="7740" w:type="dxa"/>
          </w:tcPr>
          <w:p w14:paraId="2E4E70AF" w14:textId="2A33981D" w:rsidR="00CC5FE7" w:rsidRPr="00A31380" w:rsidRDefault="00CF4050">
            <w:pPr>
              <w:pStyle w:val="BlockText"/>
            </w:pPr>
            <w:r w:rsidRPr="00A31380">
              <w:t>Use</w:t>
            </w:r>
            <w:r w:rsidR="00CC5FE7" w:rsidRPr="00A31380">
              <w:t xml:space="preserve"> the table below when a lost folder is located.</w:t>
            </w:r>
          </w:p>
        </w:tc>
      </w:tr>
    </w:tbl>
    <w:p w14:paraId="2E4E70B1" w14:textId="77777777" w:rsidR="00CC5FE7" w:rsidRPr="00A31380" w:rsidRDefault="00CC5FE7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060"/>
        <w:gridCol w:w="4590"/>
      </w:tblGrid>
      <w:tr w:rsidR="00F976E3" w:rsidRPr="00A31380" w14:paraId="36E9FD98" w14:textId="77777777" w:rsidTr="00CC26CC">
        <w:tc>
          <w:tcPr>
            <w:tcW w:w="3060" w:type="dxa"/>
          </w:tcPr>
          <w:p w14:paraId="147532B2" w14:textId="77777777" w:rsidR="00F976E3" w:rsidRPr="00A31380" w:rsidRDefault="00F976E3" w:rsidP="00F976E3">
            <w:pPr>
              <w:rPr>
                <w:b/>
              </w:rPr>
            </w:pPr>
            <w:r w:rsidRPr="00A31380">
              <w:rPr>
                <w:b/>
              </w:rPr>
              <w:t>If the rebuilt folder is in a(n) ...</w:t>
            </w:r>
          </w:p>
        </w:tc>
        <w:tc>
          <w:tcPr>
            <w:tcW w:w="4590" w:type="dxa"/>
          </w:tcPr>
          <w:p w14:paraId="6F2699DF" w14:textId="77777777" w:rsidR="00F976E3" w:rsidRPr="00A31380" w:rsidRDefault="00F976E3" w:rsidP="00F976E3">
            <w:pPr>
              <w:rPr>
                <w:b/>
              </w:rPr>
            </w:pPr>
            <w:r w:rsidRPr="00A31380">
              <w:rPr>
                <w:b/>
              </w:rPr>
              <w:t>Then ...</w:t>
            </w:r>
          </w:p>
        </w:tc>
      </w:tr>
      <w:tr w:rsidR="00F976E3" w:rsidRPr="00A31380" w14:paraId="1D15428D" w14:textId="77777777" w:rsidTr="00CC26CC">
        <w:tc>
          <w:tcPr>
            <w:tcW w:w="3060" w:type="dxa"/>
          </w:tcPr>
          <w:p w14:paraId="49B2742E" w14:textId="77777777" w:rsidR="00F976E3" w:rsidRPr="00A31380" w:rsidRDefault="00F976E3" w:rsidP="00F976E3">
            <w:r w:rsidRPr="00A31380">
              <w:t>eFolder format</w:t>
            </w:r>
          </w:p>
        </w:tc>
        <w:tc>
          <w:tcPr>
            <w:tcW w:w="4590" w:type="dxa"/>
          </w:tcPr>
          <w:p w14:paraId="5E1FD8E2" w14:textId="77777777" w:rsidR="00F976E3" w:rsidRPr="00A31380" w:rsidRDefault="00F976E3" w:rsidP="00F976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58" w:hanging="187"/>
            </w:pPr>
            <w:r w:rsidRPr="00A31380">
              <w:t>consolidate document that were obtained from the original folder into the rebuilt eFolder</w:t>
            </w:r>
          </w:p>
          <w:p w14:paraId="06D03D95" w14:textId="77777777" w:rsidR="00F976E3" w:rsidRPr="00A31380" w:rsidRDefault="00F976E3" w:rsidP="00F976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58" w:hanging="187"/>
            </w:pPr>
            <w:r w:rsidRPr="00A31380">
              <w:t>remove the rebuilt indicator in BIRLS</w:t>
            </w:r>
          </w:p>
          <w:p w14:paraId="7DD72AAF" w14:textId="77777777" w:rsidR="00F976E3" w:rsidRPr="00A31380" w:rsidRDefault="00F976E3" w:rsidP="00F976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58" w:hanging="187"/>
            </w:pPr>
            <w:r w:rsidRPr="00A31380">
              <w:t xml:space="preserve">remove the </w:t>
            </w:r>
            <w:r w:rsidRPr="00A31380">
              <w:rPr>
                <w:i/>
              </w:rPr>
              <w:t>Rebuilt Folder</w:t>
            </w:r>
            <w:r w:rsidRPr="00A31380">
              <w:t xml:space="preserve"> corporate flash, and</w:t>
            </w:r>
          </w:p>
          <w:p w14:paraId="428D6633" w14:textId="77777777" w:rsidR="00F976E3" w:rsidRPr="00A31380" w:rsidRDefault="00F976E3" w:rsidP="00F976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58" w:hanging="187"/>
            </w:pPr>
            <w:r w:rsidRPr="00A31380">
              <w:t>if the lost folder was a claims folder belonging to a living or deceased Veteran, notify the RMC that the original folder has been found.</w:t>
            </w:r>
          </w:p>
          <w:p w14:paraId="45967849" w14:textId="77777777" w:rsidR="00F976E3" w:rsidRPr="00A31380" w:rsidRDefault="00F976E3" w:rsidP="00F976E3"/>
          <w:p w14:paraId="3891667B" w14:textId="77777777" w:rsidR="00F976E3" w:rsidRPr="00A31380" w:rsidRDefault="00F976E3" w:rsidP="00F976E3">
            <w:r w:rsidRPr="00A31380">
              <w:rPr>
                <w:b/>
                <w:i/>
              </w:rPr>
              <w:t>Result</w:t>
            </w:r>
            <w:r w:rsidRPr="00A31380">
              <w:t xml:space="preserve">:  The RMC removes the </w:t>
            </w:r>
            <w:r w:rsidRPr="00A31380">
              <w:rPr>
                <w:i/>
              </w:rPr>
              <w:t>missing folder</w:t>
            </w:r>
            <w:r w:rsidRPr="00A31380">
              <w:t xml:space="preserve"> charge card from its files.</w:t>
            </w:r>
          </w:p>
          <w:p w14:paraId="3D154DFB" w14:textId="77777777" w:rsidR="00F976E3" w:rsidRPr="00A31380" w:rsidRDefault="00F976E3" w:rsidP="00F976E3"/>
          <w:p w14:paraId="755D7317" w14:textId="77777777" w:rsidR="00F976E3" w:rsidRPr="00A31380" w:rsidRDefault="00F976E3" w:rsidP="00F976E3">
            <w:r w:rsidRPr="00A31380">
              <w:rPr>
                <w:b/>
                <w:i/>
              </w:rPr>
              <w:t>Note</w:t>
            </w:r>
            <w:r w:rsidRPr="00A31380">
              <w:t xml:space="preserve">:  Do </w:t>
            </w:r>
            <w:r w:rsidRPr="00A31380">
              <w:rPr>
                <w:i/>
              </w:rPr>
              <w:t>not</w:t>
            </w:r>
            <w:r w:rsidRPr="00A31380">
              <w:t xml:space="preserve"> notify the RMC if the folder was a NOD or DEA folder.</w:t>
            </w:r>
          </w:p>
        </w:tc>
      </w:tr>
      <w:tr w:rsidR="00F976E3" w:rsidRPr="00A31380" w14:paraId="59D028B3" w14:textId="77777777" w:rsidTr="00CC26CC">
        <w:tc>
          <w:tcPr>
            <w:tcW w:w="3060" w:type="dxa"/>
          </w:tcPr>
          <w:p w14:paraId="53A6E52D" w14:textId="77777777" w:rsidR="00F976E3" w:rsidRPr="00A31380" w:rsidRDefault="00F976E3" w:rsidP="00F976E3">
            <w:r w:rsidRPr="00A31380">
              <w:t>paper format</w:t>
            </w:r>
          </w:p>
        </w:tc>
        <w:tc>
          <w:tcPr>
            <w:tcW w:w="4590" w:type="dxa"/>
          </w:tcPr>
          <w:p w14:paraId="44B2D3E7" w14:textId="77777777" w:rsidR="00F976E3" w:rsidRPr="00A31380" w:rsidRDefault="00F976E3" w:rsidP="00F976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58" w:hanging="187"/>
            </w:pPr>
            <w:r w:rsidRPr="00A31380">
              <w:t>combine the rebuilt folder and the original folder</w:t>
            </w:r>
          </w:p>
          <w:p w14:paraId="1B78159E" w14:textId="77777777" w:rsidR="00F976E3" w:rsidRPr="00A31380" w:rsidRDefault="00F976E3" w:rsidP="00F976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58" w:hanging="187"/>
            </w:pPr>
            <w:r w:rsidRPr="00A31380">
              <w:t>remove the rebuilt folder indicator in BIRLS</w:t>
            </w:r>
          </w:p>
          <w:p w14:paraId="68E219ED" w14:textId="77777777" w:rsidR="00F976E3" w:rsidRPr="00A31380" w:rsidRDefault="00F976E3" w:rsidP="00F976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58" w:hanging="187"/>
            </w:pPr>
            <w:r w:rsidRPr="00A31380">
              <w:t>forward the folder to the controlling operational element for review, and</w:t>
            </w:r>
          </w:p>
          <w:p w14:paraId="45097689" w14:textId="77777777" w:rsidR="00F976E3" w:rsidRPr="00A31380" w:rsidRDefault="00F976E3" w:rsidP="00F976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58" w:hanging="187"/>
            </w:pPr>
            <w:r w:rsidRPr="00A31380">
              <w:t>if the lost folder was a claims folder belonging to a living or deceased Veteran, notify the RMC that the original folder has been found.</w:t>
            </w:r>
          </w:p>
          <w:p w14:paraId="17152CA8" w14:textId="77777777" w:rsidR="00F976E3" w:rsidRPr="00A31380" w:rsidRDefault="00F976E3" w:rsidP="00F976E3"/>
          <w:p w14:paraId="225ED611" w14:textId="77777777" w:rsidR="00F976E3" w:rsidRPr="00A31380" w:rsidRDefault="00F976E3" w:rsidP="00F976E3">
            <w:r w:rsidRPr="00A31380">
              <w:rPr>
                <w:b/>
                <w:i/>
              </w:rPr>
              <w:t>Result</w:t>
            </w:r>
            <w:r w:rsidRPr="00A31380">
              <w:t xml:space="preserve">:  The RMC removes the </w:t>
            </w:r>
            <w:r w:rsidRPr="00A31380">
              <w:rPr>
                <w:i/>
              </w:rPr>
              <w:t>missing folder</w:t>
            </w:r>
            <w:r w:rsidRPr="00A31380">
              <w:t xml:space="preserve"> charge card from its files.</w:t>
            </w:r>
          </w:p>
          <w:p w14:paraId="2B470406" w14:textId="77777777" w:rsidR="00F976E3" w:rsidRPr="00A31380" w:rsidRDefault="00F976E3" w:rsidP="00F976E3"/>
          <w:p w14:paraId="5E721658" w14:textId="77777777" w:rsidR="00F976E3" w:rsidRPr="00A31380" w:rsidRDefault="00F976E3" w:rsidP="00F976E3">
            <w:pPr>
              <w:pStyle w:val="TableText"/>
            </w:pPr>
            <w:r w:rsidRPr="00A31380">
              <w:rPr>
                <w:b/>
                <w:i/>
              </w:rPr>
              <w:t>Note</w:t>
            </w:r>
            <w:r w:rsidRPr="00A31380">
              <w:t xml:space="preserve">:  Do </w:t>
            </w:r>
            <w:r w:rsidRPr="00A31380">
              <w:rPr>
                <w:i/>
              </w:rPr>
              <w:t>not</w:t>
            </w:r>
            <w:r w:rsidRPr="00A31380">
              <w:t xml:space="preserve"> notify the RMC if the folder was a NOD or DEA folder.</w:t>
            </w:r>
          </w:p>
        </w:tc>
      </w:tr>
    </w:tbl>
    <w:p w14:paraId="21B64919" w14:textId="77777777" w:rsidR="00F976E3" w:rsidRPr="00A31380" w:rsidRDefault="00F976E3" w:rsidP="00F976E3"/>
    <w:tbl>
      <w:tblPr>
        <w:tblStyle w:val="TableGrid"/>
        <w:tblW w:w="7740" w:type="dxa"/>
        <w:tblInd w:w="1728" w:type="dxa"/>
        <w:tblLook w:val="04A0" w:firstRow="1" w:lastRow="0" w:firstColumn="1" w:lastColumn="0" w:noHBand="0" w:noVBand="1"/>
      </w:tblPr>
      <w:tblGrid>
        <w:gridCol w:w="7740"/>
      </w:tblGrid>
      <w:tr w:rsidR="00F976E3" w:rsidRPr="00A31380" w14:paraId="4DBDEF91" w14:textId="77777777" w:rsidTr="00F976E3">
        <w:tc>
          <w:tcPr>
            <w:tcW w:w="7740" w:type="dxa"/>
            <w:shd w:val="clear" w:color="auto" w:fill="auto"/>
          </w:tcPr>
          <w:p w14:paraId="691F1766" w14:textId="77777777" w:rsidR="00F976E3" w:rsidRPr="00A31380" w:rsidRDefault="00F976E3" w:rsidP="00F976E3">
            <w:r w:rsidRPr="00A31380">
              <w:rPr>
                <w:b/>
                <w:i/>
              </w:rPr>
              <w:t>References</w:t>
            </w:r>
            <w:r w:rsidRPr="00A31380">
              <w:t>:  For more information on</w:t>
            </w:r>
          </w:p>
          <w:p w14:paraId="68D1A3A8" w14:textId="77777777" w:rsidR="00F976E3" w:rsidRPr="00A31380" w:rsidRDefault="00F976E3" w:rsidP="00F976E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58" w:hanging="187"/>
            </w:pPr>
            <w:r w:rsidRPr="00A31380">
              <w:t xml:space="preserve">removing a corporate flash, see the </w:t>
            </w:r>
            <w:hyperlink r:id="rId15" w:history="1">
              <w:r w:rsidRPr="00A31380">
                <w:rPr>
                  <w:rStyle w:val="Hyperlink"/>
                  <w:i/>
                </w:rPr>
                <w:t>Share User’s Guide</w:t>
              </w:r>
            </w:hyperlink>
            <w:r w:rsidRPr="00A31380">
              <w:t>, and</w:t>
            </w:r>
          </w:p>
          <w:p w14:paraId="4D804AAF" w14:textId="77777777" w:rsidR="00F976E3" w:rsidRPr="00A31380" w:rsidRDefault="00F976E3" w:rsidP="00F976E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58" w:hanging="187"/>
            </w:pPr>
            <w:r w:rsidRPr="00A31380">
              <w:t xml:space="preserve">updating BIRLS to remove the rebuilt indicator, see the </w:t>
            </w:r>
            <w:hyperlink r:id="rId16" w:history="1">
              <w:r w:rsidRPr="00A31380">
                <w:rPr>
                  <w:rStyle w:val="Hyperlink"/>
                  <w:i/>
                </w:rPr>
                <w:t>Share User’s Guide</w:t>
              </w:r>
            </w:hyperlink>
            <w:r w:rsidRPr="00A31380">
              <w:t>.</w:t>
            </w:r>
          </w:p>
        </w:tc>
      </w:tr>
    </w:tbl>
    <w:p w14:paraId="2E4E70C3" w14:textId="77777777" w:rsidR="00CC5FE7" w:rsidRPr="00A31380" w:rsidRDefault="00CC5FE7">
      <w:pPr>
        <w:pStyle w:val="BlockLine"/>
      </w:pPr>
    </w:p>
    <w:p w14:paraId="2E4E70C4" w14:textId="27215872" w:rsidR="00CC5FE7" w:rsidRPr="00A31380" w:rsidRDefault="00CC5FE7">
      <w:pPr>
        <w:pStyle w:val="Heading4"/>
      </w:pPr>
      <w:r w:rsidRPr="00A31380">
        <w:br w:type="page"/>
      </w:r>
      <w:r w:rsidR="00FD5E45" w:rsidRPr="00A31380">
        <w:lastRenderedPageBreak/>
        <w:t>2</w:t>
      </w:r>
      <w:r w:rsidRPr="00A31380">
        <w:t xml:space="preserve">.  </w:t>
      </w:r>
      <w:bookmarkStart w:id="6" w:name="Topic16"/>
      <w:bookmarkEnd w:id="6"/>
      <w:r w:rsidRPr="00A31380">
        <w:t>Requests for 24-Hour Searches</w:t>
      </w:r>
    </w:p>
    <w:p w14:paraId="2E4E70C5" w14:textId="77777777" w:rsidR="00CC5FE7" w:rsidRPr="00A31380" w:rsidRDefault="00CC5FE7">
      <w:pPr>
        <w:pStyle w:val="BlockLine"/>
      </w:pPr>
      <w:r w:rsidRPr="00A31380">
        <w:fldChar w:fldCharType="begin"/>
      </w:r>
      <w:r w:rsidRPr="00A31380">
        <w:instrText xml:space="preserve"> PRIVATE INFOTYPE="OTHER" </w:instrText>
      </w:r>
      <w:r w:rsidRPr="00A3138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CB" w14:textId="77777777">
        <w:trPr>
          <w:cantSplit/>
        </w:trPr>
        <w:tc>
          <w:tcPr>
            <w:tcW w:w="1728" w:type="dxa"/>
          </w:tcPr>
          <w:p w14:paraId="2E4E70C6" w14:textId="77777777" w:rsidR="00CC5FE7" w:rsidRPr="00A31380" w:rsidRDefault="00CC5FE7">
            <w:pPr>
              <w:pStyle w:val="Heading5"/>
            </w:pPr>
            <w:r w:rsidRPr="00A31380">
              <w:t>Introduction</w:t>
            </w:r>
          </w:p>
        </w:tc>
        <w:tc>
          <w:tcPr>
            <w:tcW w:w="7740" w:type="dxa"/>
          </w:tcPr>
          <w:p w14:paraId="2E4E70C7" w14:textId="78C58903" w:rsidR="00CC5FE7" w:rsidRPr="00A31380" w:rsidRDefault="00CC5FE7">
            <w:pPr>
              <w:pStyle w:val="BlockText"/>
            </w:pPr>
            <w:r w:rsidRPr="00A31380">
              <w:t xml:space="preserve">This </w:t>
            </w:r>
            <w:r w:rsidR="006616CD" w:rsidRPr="00A31380">
              <w:t>topic</w:t>
            </w:r>
            <w:r w:rsidRPr="00A31380">
              <w:t xml:space="preserve"> contains information about 24-hour searches for missing claims folders, including </w:t>
            </w:r>
          </w:p>
          <w:p w14:paraId="2E4E70C8" w14:textId="77777777" w:rsidR="00CC5FE7" w:rsidRPr="00A31380" w:rsidRDefault="00CC5FE7">
            <w:pPr>
              <w:pStyle w:val="BlockText"/>
              <w:rPr>
                <w:sz w:val="16"/>
              </w:rPr>
            </w:pPr>
          </w:p>
          <w:p w14:paraId="2E4E70C9" w14:textId="4E1C7F62" w:rsidR="00CC5FE7" w:rsidRPr="00A31380" w:rsidRDefault="00CC5FE7">
            <w:pPr>
              <w:pStyle w:val="BulletText1"/>
            </w:pPr>
            <w:r w:rsidRPr="00A31380">
              <w:t>general policy on 24-hour searches, and</w:t>
            </w:r>
          </w:p>
          <w:p w14:paraId="2E4E70CA" w14:textId="291E8228" w:rsidR="00CC5FE7" w:rsidRPr="00A31380" w:rsidRDefault="00CC5FE7">
            <w:pPr>
              <w:pStyle w:val="BulletText1"/>
            </w:pPr>
            <w:r w:rsidRPr="00A31380">
              <w:t>procedure to request a 24-hour search.</w:t>
            </w:r>
          </w:p>
        </w:tc>
      </w:tr>
    </w:tbl>
    <w:p w14:paraId="2E4E70CC" w14:textId="77777777" w:rsidR="00CC5FE7" w:rsidRPr="00A31380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CF" w14:textId="77777777">
        <w:trPr>
          <w:cantSplit/>
        </w:trPr>
        <w:tc>
          <w:tcPr>
            <w:tcW w:w="1728" w:type="dxa"/>
          </w:tcPr>
          <w:p w14:paraId="2E4E70CD" w14:textId="77777777" w:rsidR="00CC5FE7" w:rsidRPr="00A31380" w:rsidRDefault="00CC5FE7">
            <w:pPr>
              <w:pStyle w:val="Heading5"/>
            </w:pPr>
            <w:r w:rsidRPr="00A31380">
              <w:t>Change Date</w:t>
            </w:r>
          </w:p>
        </w:tc>
        <w:tc>
          <w:tcPr>
            <w:tcW w:w="7740" w:type="dxa"/>
          </w:tcPr>
          <w:p w14:paraId="2E4E70CE" w14:textId="1956E92C" w:rsidR="00CC5FE7" w:rsidRPr="00A31380" w:rsidRDefault="00F91984">
            <w:pPr>
              <w:pStyle w:val="BlockText"/>
            </w:pPr>
            <w:r w:rsidRPr="00A31380">
              <w:t>June 3, 2015</w:t>
            </w:r>
          </w:p>
        </w:tc>
      </w:tr>
    </w:tbl>
    <w:p w14:paraId="2E4E70D0" w14:textId="77777777" w:rsidR="00CC5FE7" w:rsidRPr="00A31380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D6" w14:textId="77777777">
        <w:trPr>
          <w:cantSplit/>
        </w:trPr>
        <w:tc>
          <w:tcPr>
            <w:tcW w:w="1728" w:type="dxa"/>
          </w:tcPr>
          <w:p w14:paraId="2E4E70D1" w14:textId="77777777" w:rsidR="00CC5FE7" w:rsidRPr="00A31380" w:rsidRDefault="00CC5FE7">
            <w:pPr>
              <w:pStyle w:val="Heading5"/>
            </w:pPr>
            <w:r w:rsidRPr="00A31380">
              <w:t xml:space="preserve">a.  </w:t>
            </w:r>
            <w:bookmarkStart w:id="7" w:name="a16"/>
            <w:bookmarkEnd w:id="7"/>
            <w:r w:rsidRPr="00A31380">
              <w:t>General Policy on 24-Hour Searches</w:t>
            </w:r>
          </w:p>
        </w:tc>
        <w:tc>
          <w:tcPr>
            <w:tcW w:w="7740" w:type="dxa"/>
          </w:tcPr>
          <w:p w14:paraId="2E4E70D2" w14:textId="77777777" w:rsidR="00CC5FE7" w:rsidRPr="00A31380" w:rsidRDefault="00CC5FE7">
            <w:pPr>
              <w:pStyle w:val="BlockText"/>
            </w:pPr>
            <w:r w:rsidRPr="00A31380">
              <w:t>Request 24-hours searches</w:t>
            </w:r>
          </w:p>
          <w:p w14:paraId="2E4E70D3" w14:textId="77777777" w:rsidR="00CC5FE7" w:rsidRPr="00A31380" w:rsidRDefault="00CC5FE7">
            <w:pPr>
              <w:pStyle w:val="BlockText"/>
              <w:rPr>
                <w:sz w:val="16"/>
              </w:rPr>
            </w:pPr>
          </w:p>
          <w:p w14:paraId="2E4E70D4" w14:textId="77777777" w:rsidR="00CC5FE7" w:rsidRPr="00A31380" w:rsidRDefault="00CC5FE7">
            <w:pPr>
              <w:pStyle w:val="BulletText1"/>
            </w:pPr>
            <w:r w:rsidRPr="00A31380">
              <w:t>by e-mail, and</w:t>
            </w:r>
          </w:p>
          <w:p w14:paraId="52736277" w14:textId="656AF379" w:rsidR="00CC5FE7" w:rsidRPr="00A31380" w:rsidRDefault="00CC5FE7" w:rsidP="00CC26CC">
            <w:pPr>
              <w:pStyle w:val="BulletText1"/>
            </w:pPr>
            <w:proofErr w:type="gramStart"/>
            <w:r w:rsidRPr="00A31380">
              <w:rPr>
                <w:i/>
              </w:rPr>
              <w:t>only</w:t>
            </w:r>
            <w:proofErr w:type="gramEnd"/>
            <w:r w:rsidRPr="00A31380">
              <w:t xml:space="preserve"> </w:t>
            </w:r>
            <w:r w:rsidR="00CC26CC" w:rsidRPr="00A31380">
              <w:t>on priority processing claims</w:t>
            </w:r>
            <w:r w:rsidRPr="00A31380">
              <w:t>.</w:t>
            </w:r>
          </w:p>
          <w:p w14:paraId="2F955C54" w14:textId="77777777" w:rsidR="00CC26CC" w:rsidRPr="00A31380" w:rsidRDefault="00CC26CC" w:rsidP="00CC26CC">
            <w:pPr>
              <w:pStyle w:val="BulletText1"/>
              <w:numPr>
                <w:ilvl w:val="0"/>
                <w:numId w:val="0"/>
              </w:numPr>
            </w:pPr>
          </w:p>
          <w:p w14:paraId="2E4E70D5" w14:textId="7460E8D4" w:rsidR="00CC26CC" w:rsidRPr="00A31380" w:rsidRDefault="00CC26CC" w:rsidP="00CC26CC">
            <w:pPr>
              <w:pStyle w:val="BulletText1"/>
              <w:numPr>
                <w:ilvl w:val="0"/>
                <w:numId w:val="0"/>
              </w:numPr>
            </w:pPr>
            <w:r w:rsidRPr="00A31380">
              <w:rPr>
                <w:b/>
                <w:i/>
              </w:rPr>
              <w:t>Reference</w:t>
            </w:r>
            <w:r w:rsidRPr="00A31380">
              <w:t>:  For more information on priority processing claims, see M21-1, Part III, Subpart ii, 1.D.1.</w:t>
            </w:r>
          </w:p>
        </w:tc>
      </w:tr>
    </w:tbl>
    <w:p w14:paraId="2E4E70D7" w14:textId="77777777" w:rsidR="00CC5FE7" w:rsidRPr="00A31380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DA" w14:textId="77777777">
        <w:trPr>
          <w:cantSplit/>
        </w:trPr>
        <w:tc>
          <w:tcPr>
            <w:tcW w:w="1728" w:type="dxa"/>
          </w:tcPr>
          <w:p w14:paraId="2E4E70D8" w14:textId="77777777" w:rsidR="00CC5FE7" w:rsidRPr="00A31380" w:rsidRDefault="00CC5FE7">
            <w:pPr>
              <w:pStyle w:val="Heading5"/>
            </w:pPr>
            <w:r w:rsidRPr="00A31380">
              <w:t xml:space="preserve">b.  </w:t>
            </w:r>
            <w:bookmarkStart w:id="8" w:name="b16"/>
            <w:bookmarkEnd w:id="8"/>
            <w:r w:rsidRPr="00A31380">
              <w:t xml:space="preserve">Procedure to Request a 24-Hour Search </w:t>
            </w:r>
          </w:p>
        </w:tc>
        <w:tc>
          <w:tcPr>
            <w:tcW w:w="7740" w:type="dxa"/>
          </w:tcPr>
          <w:p w14:paraId="2E4E70D9" w14:textId="77777777" w:rsidR="00CC5FE7" w:rsidRPr="00A31380" w:rsidRDefault="00CC5FE7">
            <w:pPr>
              <w:pStyle w:val="BlockText"/>
            </w:pPr>
            <w:r w:rsidRPr="00A31380">
              <w:t>Follow the steps in the table below to request a 24-hour search.</w:t>
            </w:r>
          </w:p>
        </w:tc>
      </w:tr>
    </w:tbl>
    <w:p w14:paraId="2E4E70DB" w14:textId="77777777" w:rsidR="00CC5FE7" w:rsidRPr="00A31380" w:rsidRDefault="00CC5FE7">
      <w:r w:rsidRPr="00A31380"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CC5FE7" w:rsidRPr="00A31380" w14:paraId="2E4E70DE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DC" w14:textId="77777777" w:rsidR="00CC5FE7" w:rsidRPr="00A31380" w:rsidRDefault="00CC5FE7">
            <w:pPr>
              <w:pStyle w:val="TableHeaderText"/>
            </w:pPr>
            <w:r w:rsidRPr="00A31380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DD" w14:textId="77777777" w:rsidR="00CC5FE7" w:rsidRPr="00A31380" w:rsidRDefault="00CC5FE7">
            <w:pPr>
              <w:pStyle w:val="TableHeaderText"/>
            </w:pPr>
            <w:r w:rsidRPr="00A31380">
              <w:t>Action</w:t>
            </w:r>
          </w:p>
        </w:tc>
      </w:tr>
      <w:tr w:rsidR="00CC5FE7" w:rsidRPr="00A31380" w14:paraId="2E4E70EA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DF" w14:textId="77777777" w:rsidR="00CC5FE7" w:rsidRPr="00A31380" w:rsidRDefault="00CC5FE7">
            <w:pPr>
              <w:pStyle w:val="TableText"/>
              <w:jc w:val="center"/>
            </w:pPr>
            <w:r w:rsidRPr="00A31380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E0" w14:textId="77777777" w:rsidR="00CC5FE7" w:rsidRPr="00A31380" w:rsidRDefault="00CC5FE7">
            <w:pPr>
              <w:pStyle w:val="BlockText"/>
            </w:pPr>
            <w:r w:rsidRPr="00A31380">
              <w:t>Compose an e-mail that</w:t>
            </w:r>
          </w:p>
          <w:p w14:paraId="2E4E70E1" w14:textId="77777777" w:rsidR="00CC5FE7" w:rsidRPr="00A31380" w:rsidRDefault="00CC5FE7">
            <w:pPr>
              <w:pStyle w:val="BlockText"/>
              <w:rPr>
                <w:sz w:val="16"/>
              </w:rPr>
            </w:pPr>
          </w:p>
          <w:p w14:paraId="2E4E70E2" w14:textId="77777777" w:rsidR="00CC5FE7" w:rsidRPr="00A31380" w:rsidRDefault="00CC5FE7">
            <w:pPr>
              <w:pStyle w:val="BulletText1"/>
            </w:pPr>
            <w:r w:rsidRPr="00A31380">
              <w:t>provides the</w:t>
            </w:r>
          </w:p>
          <w:p w14:paraId="2E4E70E3" w14:textId="77777777" w:rsidR="00CC5FE7" w:rsidRPr="00A31380" w:rsidRDefault="00CC5FE7">
            <w:pPr>
              <w:pStyle w:val="BulletText2"/>
            </w:pPr>
            <w:r w:rsidRPr="00A31380">
              <w:t>Veteran’s name</w:t>
            </w:r>
          </w:p>
          <w:p w14:paraId="2E4E70E4" w14:textId="530B4CFC" w:rsidR="00CC5FE7" w:rsidRPr="00A31380" w:rsidRDefault="00633371">
            <w:pPr>
              <w:pStyle w:val="BulletText2"/>
            </w:pPr>
            <w:r w:rsidRPr="00A31380">
              <w:t xml:space="preserve">claims folder </w:t>
            </w:r>
            <w:r w:rsidR="00CC5FE7" w:rsidRPr="00A31380">
              <w:t>number</w:t>
            </w:r>
          </w:p>
          <w:p w14:paraId="2E4E70E5" w14:textId="77777777" w:rsidR="00CC5FE7" w:rsidRPr="00A31380" w:rsidRDefault="00CC5FE7">
            <w:pPr>
              <w:pStyle w:val="BulletText2"/>
            </w:pPr>
            <w:r w:rsidRPr="00A31380">
              <w:t>type of mail that necessitates the search, and</w:t>
            </w:r>
          </w:p>
          <w:p w14:paraId="2E4E70E6" w14:textId="77777777" w:rsidR="00CC5FE7" w:rsidRPr="00A31380" w:rsidRDefault="00CC5FE7">
            <w:pPr>
              <w:pStyle w:val="BulletText2"/>
            </w:pPr>
            <w:r w:rsidRPr="00A31380">
              <w:t>name, address, and RO of the employee to whom the folder should be sent, and</w:t>
            </w:r>
          </w:p>
          <w:p w14:paraId="2E4E70E7" w14:textId="77777777" w:rsidR="00CC5FE7" w:rsidRPr="00A31380" w:rsidRDefault="00CC5FE7">
            <w:pPr>
              <w:pStyle w:val="BulletText1"/>
            </w:pPr>
            <w:r w:rsidRPr="00A31380">
              <w:rPr>
                <w:i/>
              </w:rPr>
              <w:t>clearly</w:t>
            </w:r>
            <w:r w:rsidRPr="00A31380">
              <w:t xml:space="preserve"> requests</w:t>
            </w:r>
          </w:p>
          <w:p w14:paraId="2E4E70E8" w14:textId="77777777" w:rsidR="00CC5FE7" w:rsidRPr="00A31380" w:rsidRDefault="00CC5FE7">
            <w:pPr>
              <w:pStyle w:val="BulletText2"/>
            </w:pPr>
            <w:r w:rsidRPr="00A31380">
              <w:t>a physical check for the folder in the file banks, and</w:t>
            </w:r>
          </w:p>
          <w:p w14:paraId="2E4E70E9" w14:textId="77777777" w:rsidR="00CC5FE7" w:rsidRPr="00A31380" w:rsidRDefault="00CC5FE7">
            <w:pPr>
              <w:pStyle w:val="BulletText2"/>
            </w:pPr>
            <w:r w:rsidRPr="00A31380">
              <w:t>a response within 24 hours.</w:t>
            </w:r>
          </w:p>
        </w:tc>
      </w:tr>
      <w:tr w:rsidR="00CC5FE7" w:rsidRPr="00A31380" w14:paraId="2E4E70F0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EB" w14:textId="77777777" w:rsidR="00CC5FE7" w:rsidRPr="00A31380" w:rsidRDefault="00CC5FE7">
            <w:pPr>
              <w:pStyle w:val="TableText"/>
              <w:jc w:val="center"/>
            </w:pPr>
            <w:r w:rsidRPr="00A31380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EC" w14:textId="79553F71" w:rsidR="00CC5FE7" w:rsidRPr="00A31380" w:rsidRDefault="001A013B">
            <w:pPr>
              <w:pStyle w:val="BlockText"/>
            </w:pPr>
            <w:r w:rsidRPr="00A31380">
              <w:t>Send the e-mail to the VSCM</w:t>
            </w:r>
            <w:r w:rsidR="00CC5FE7" w:rsidRPr="00A31380">
              <w:t xml:space="preserve"> of the</w:t>
            </w:r>
          </w:p>
          <w:p w14:paraId="2E4E70ED" w14:textId="77777777" w:rsidR="00CC5FE7" w:rsidRPr="00A31380" w:rsidRDefault="00CC5FE7">
            <w:pPr>
              <w:pStyle w:val="BlockText"/>
              <w:rPr>
                <w:sz w:val="16"/>
              </w:rPr>
            </w:pPr>
          </w:p>
          <w:p w14:paraId="2E4E70EE" w14:textId="4EEA71D5" w:rsidR="00CC5FE7" w:rsidRPr="00A31380" w:rsidRDefault="00194079">
            <w:pPr>
              <w:pStyle w:val="BulletText1"/>
            </w:pPr>
            <w:r w:rsidRPr="00A31380">
              <w:t xml:space="preserve">RO </w:t>
            </w:r>
            <w:r w:rsidR="00CC5FE7" w:rsidRPr="00A31380">
              <w:t xml:space="preserve">that BIRLS shows </w:t>
            </w:r>
            <w:r w:rsidRPr="00A31380">
              <w:t xml:space="preserve">has </w:t>
            </w:r>
            <w:r w:rsidR="008D122A" w:rsidRPr="00A31380">
              <w:t>custody</w:t>
            </w:r>
            <w:r w:rsidR="00CC5FE7" w:rsidRPr="00A31380">
              <w:t xml:space="preserve"> of the folder, and </w:t>
            </w:r>
          </w:p>
          <w:p w14:paraId="2E4E70EF" w14:textId="00E4C655" w:rsidR="00CC5FE7" w:rsidRPr="00A31380" w:rsidRDefault="00194079" w:rsidP="001A013B">
            <w:pPr>
              <w:pStyle w:val="BulletText1"/>
            </w:pPr>
            <w:r w:rsidRPr="00A31380">
              <w:t xml:space="preserve">RO </w:t>
            </w:r>
            <w:r w:rsidR="00CC5FE7" w:rsidRPr="00A31380">
              <w:t>where it is reasonable to believe the folder is located</w:t>
            </w:r>
            <w:r w:rsidR="001A013B" w:rsidRPr="00A31380">
              <w:t xml:space="preserve"> (if different than the RO shown in BIRLS)</w:t>
            </w:r>
            <w:r w:rsidR="00CC5FE7" w:rsidRPr="00A31380">
              <w:t>.</w:t>
            </w:r>
          </w:p>
        </w:tc>
      </w:tr>
      <w:tr w:rsidR="00CC5FE7" w:rsidRPr="00A31380" w14:paraId="2E4E70F3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F1" w14:textId="77777777" w:rsidR="00CC5FE7" w:rsidRPr="00A31380" w:rsidRDefault="00CC5FE7">
            <w:pPr>
              <w:pStyle w:val="TableText"/>
              <w:jc w:val="center"/>
            </w:pPr>
            <w:r w:rsidRPr="00A31380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F2" w14:textId="69B0DF9C" w:rsidR="00DD4A28" w:rsidRPr="00A31380" w:rsidRDefault="008D122A" w:rsidP="00807990">
            <w:pPr>
              <w:pStyle w:val="BlockText"/>
            </w:pPr>
            <w:r w:rsidRPr="00A31380">
              <w:t>Upon receipt of</w:t>
            </w:r>
            <w:r w:rsidR="00CC5FE7" w:rsidRPr="00A31380">
              <w:t xml:space="preserve"> </w:t>
            </w:r>
            <w:r w:rsidR="00CC5FE7" w:rsidRPr="00A31380">
              <w:rPr>
                <w:i/>
              </w:rPr>
              <w:t>negative</w:t>
            </w:r>
            <w:r w:rsidR="00CC5FE7" w:rsidRPr="00A31380">
              <w:t xml:space="preserve"> responses from </w:t>
            </w:r>
            <w:r w:rsidR="00CC5FE7" w:rsidRPr="00A31380">
              <w:rPr>
                <w:i/>
              </w:rPr>
              <w:t>all</w:t>
            </w:r>
            <w:r w:rsidR="00CC5FE7" w:rsidRPr="00A31380">
              <w:t xml:space="preserve"> the </w:t>
            </w:r>
            <w:r w:rsidR="001A013B" w:rsidRPr="00A31380">
              <w:t>ROs</w:t>
            </w:r>
            <w:r w:rsidR="00CC5FE7" w:rsidRPr="00A31380">
              <w:t xml:space="preserve"> that received requests</w:t>
            </w:r>
            <w:r w:rsidR="001A013B" w:rsidRPr="00A31380">
              <w:t xml:space="preserve"> in Step 2</w:t>
            </w:r>
            <w:r w:rsidR="00CC5FE7" w:rsidRPr="00A31380">
              <w:t>, prepare a rebuilt folder.</w:t>
            </w:r>
          </w:p>
        </w:tc>
      </w:tr>
    </w:tbl>
    <w:p w14:paraId="2E4E70F4" w14:textId="77777777" w:rsidR="00CC5FE7" w:rsidRPr="00A31380" w:rsidRDefault="00CC5FE7">
      <w:pPr>
        <w:pStyle w:val="BlockLine"/>
      </w:pPr>
    </w:p>
    <w:p w14:paraId="2E4E70F5" w14:textId="73954C31" w:rsidR="00CC5FE7" w:rsidRPr="00A31380" w:rsidRDefault="00CC5FE7">
      <w:pPr>
        <w:pStyle w:val="Heading4"/>
      </w:pPr>
      <w:r w:rsidRPr="00A31380">
        <w:br w:type="page"/>
      </w:r>
      <w:r w:rsidR="00FD5E45" w:rsidRPr="00A31380">
        <w:lastRenderedPageBreak/>
        <w:t>3</w:t>
      </w:r>
      <w:r w:rsidRPr="00A31380">
        <w:t xml:space="preserve">.  </w:t>
      </w:r>
      <w:bookmarkStart w:id="9" w:name="Topic17"/>
      <w:bookmarkEnd w:id="9"/>
      <w:r w:rsidR="00633371" w:rsidRPr="00A31380">
        <w:t xml:space="preserve">Claims Folder </w:t>
      </w:r>
      <w:r w:rsidRPr="00A31380">
        <w:t>Number Reconciliation and Cancellation</w:t>
      </w:r>
    </w:p>
    <w:p w14:paraId="2E4E70F6" w14:textId="77777777" w:rsidR="00CC5FE7" w:rsidRPr="00A31380" w:rsidRDefault="00CC5FE7">
      <w:pPr>
        <w:pStyle w:val="BlockLine"/>
      </w:pPr>
      <w:r w:rsidRPr="00A31380">
        <w:fldChar w:fldCharType="begin"/>
      </w:r>
      <w:r w:rsidRPr="00A31380">
        <w:instrText xml:space="preserve"> PRIVATE INFOTYPE="OTHER" </w:instrText>
      </w:r>
      <w:r w:rsidRPr="00A31380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0FF" w14:textId="77777777">
        <w:trPr>
          <w:cantSplit/>
        </w:trPr>
        <w:tc>
          <w:tcPr>
            <w:tcW w:w="1728" w:type="dxa"/>
          </w:tcPr>
          <w:p w14:paraId="2E4E70F7" w14:textId="77777777" w:rsidR="00CC5FE7" w:rsidRPr="00A31380" w:rsidRDefault="00CC5FE7">
            <w:pPr>
              <w:pStyle w:val="Heading5"/>
            </w:pPr>
            <w:r w:rsidRPr="00A31380">
              <w:t>Introduction</w:t>
            </w:r>
          </w:p>
        </w:tc>
        <w:tc>
          <w:tcPr>
            <w:tcW w:w="7740" w:type="dxa"/>
          </w:tcPr>
          <w:p w14:paraId="2E4E70F8" w14:textId="4198DC2D" w:rsidR="00CC5FE7" w:rsidRPr="00A31380" w:rsidRDefault="00CC5FE7">
            <w:pPr>
              <w:pStyle w:val="BlockText"/>
            </w:pPr>
            <w:r w:rsidRPr="00A31380">
              <w:t xml:space="preserve">This topic contains information on </w:t>
            </w:r>
            <w:r w:rsidR="00633371" w:rsidRPr="00A31380">
              <w:t xml:space="preserve">claims folder </w:t>
            </w:r>
            <w:r w:rsidRPr="00A31380">
              <w:t>number reconciliation and cancellation, including</w:t>
            </w:r>
          </w:p>
          <w:p w14:paraId="2E4E70F9" w14:textId="77777777" w:rsidR="00CC5FE7" w:rsidRPr="00A31380" w:rsidRDefault="00CC5FE7">
            <w:pPr>
              <w:pStyle w:val="BlockText"/>
            </w:pPr>
          </w:p>
          <w:p w14:paraId="2E4E70FB" w14:textId="05F413E3" w:rsidR="00CC5FE7" w:rsidRPr="00A31380" w:rsidRDefault="00D12EF1">
            <w:pPr>
              <w:pStyle w:val="BulletText1"/>
            </w:pPr>
            <w:r w:rsidRPr="00A31380">
              <w:t>RO action when two BIRLS records exist for the same Veteran</w:t>
            </w:r>
          </w:p>
          <w:p w14:paraId="2E4E70FC" w14:textId="783C3B5B" w:rsidR="00CC5FE7" w:rsidRPr="00A31380" w:rsidRDefault="00CC5FE7">
            <w:pPr>
              <w:pStyle w:val="BulletText1"/>
            </w:pPr>
            <w:r w:rsidRPr="00A31380">
              <w:t>requirements for consolidation</w:t>
            </w:r>
            <w:r w:rsidR="00A9448B" w:rsidRPr="00A31380">
              <w:t>, and</w:t>
            </w:r>
          </w:p>
          <w:p w14:paraId="2E4E70FE" w14:textId="1C6E510E" w:rsidR="00CC5FE7" w:rsidRPr="00A31380" w:rsidRDefault="00CC5FE7" w:rsidP="00633371">
            <w:pPr>
              <w:pStyle w:val="BulletText1"/>
            </w:pPr>
          </w:p>
        </w:tc>
      </w:tr>
    </w:tbl>
    <w:p w14:paraId="2E4E7100" w14:textId="77777777" w:rsidR="00CC5FE7" w:rsidRPr="00A31380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103" w14:textId="77777777">
        <w:trPr>
          <w:cantSplit/>
        </w:trPr>
        <w:tc>
          <w:tcPr>
            <w:tcW w:w="1728" w:type="dxa"/>
          </w:tcPr>
          <w:p w14:paraId="2E4E7101" w14:textId="77777777" w:rsidR="00CC5FE7" w:rsidRPr="00A31380" w:rsidRDefault="00CC5FE7">
            <w:pPr>
              <w:pStyle w:val="Heading5"/>
            </w:pPr>
            <w:r w:rsidRPr="00A31380">
              <w:t>Change Date</w:t>
            </w:r>
          </w:p>
        </w:tc>
        <w:tc>
          <w:tcPr>
            <w:tcW w:w="7740" w:type="dxa"/>
          </w:tcPr>
          <w:p w14:paraId="2E4E7102" w14:textId="36E6151F" w:rsidR="00CC5FE7" w:rsidRPr="00A31380" w:rsidRDefault="00F91984">
            <w:pPr>
              <w:pStyle w:val="BlockText"/>
            </w:pPr>
            <w:r w:rsidRPr="00A31380">
              <w:t>June 3, 2015</w:t>
            </w:r>
          </w:p>
        </w:tc>
      </w:tr>
    </w:tbl>
    <w:p w14:paraId="2E4E7104" w14:textId="27A00F3F" w:rsidR="00CC5FE7" w:rsidRPr="00A31380" w:rsidRDefault="00CC5FE7" w:rsidP="008D122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D122A" w:rsidRPr="00A31380" w14:paraId="5B2C44EC" w14:textId="77777777" w:rsidTr="008D122A">
        <w:tc>
          <w:tcPr>
            <w:tcW w:w="1728" w:type="dxa"/>
            <w:shd w:val="clear" w:color="auto" w:fill="auto"/>
          </w:tcPr>
          <w:p w14:paraId="0E837F50" w14:textId="34CBF25D" w:rsidR="008D122A" w:rsidRPr="00A31380" w:rsidRDefault="0054748E" w:rsidP="008D122A">
            <w:pPr>
              <w:pStyle w:val="Heading5"/>
            </w:pPr>
            <w:bookmarkStart w:id="10" w:name="_a.__RO"/>
            <w:bookmarkEnd w:id="10"/>
            <w:r w:rsidRPr="00A31380">
              <w:t xml:space="preserve">a. </w:t>
            </w:r>
            <w:r w:rsidR="00D12EF1" w:rsidRPr="00A31380">
              <w:t xml:space="preserve"> RO Action When Two BIRLS Records Exist for the Same Veteran</w:t>
            </w:r>
          </w:p>
        </w:tc>
        <w:tc>
          <w:tcPr>
            <w:tcW w:w="7740" w:type="dxa"/>
            <w:shd w:val="clear" w:color="auto" w:fill="auto"/>
          </w:tcPr>
          <w:p w14:paraId="3D274EF3" w14:textId="4847D780" w:rsidR="008D122A" w:rsidRPr="00A31380" w:rsidRDefault="008D122A" w:rsidP="00E8601E">
            <w:pPr>
              <w:pStyle w:val="BlockText"/>
            </w:pPr>
            <w:r w:rsidRPr="00A31380">
              <w:t>Upon discovering that two BIRLS records exist for the same Veteran</w:t>
            </w:r>
            <w:r w:rsidR="00E8601E" w:rsidRPr="00A31380">
              <w:t>, forward all corresponding documentation, including claims folders and applications, if applicable, to the local intake processing center (IPC).</w:t>
            </w:r>
          </w:p>
          <w:p w14:paraId="03DAE118" w14:textId="77777777" w:rsidR="00E8601E" w:rsidRPr="00A31380" w:rsidRDefault="00E8601E" w:rsidP="00E8601E">
            <w:pPr>
              <w:pStyle w:val="BlockText"/>
            </w:pPr>
          </w:p>
          <w:p w14:paraId="74D0D85D" w14:textId="77777777" w:rsidR="00E8601E" w:rsidRPr="00A31380" w:rsidRDefault="00E8601E" w:rsidP="00E8601E">
            <w:pPr>
              <w:pStyle w:val="BlockText"/>
            </w:pPr>
            <w:r w:rsidRPr="00A31380">
              <w:rPr>
                <w:b/>
                <w:i/>
              </w:rPr>
              <w:t>Exception</w:t>
            </w:r>
            <w:r w:rsidRPr="00A31380">
              <w:t xml:space="preserve">:  Do </w:t>
            </w:r>
            <w:r w:rsidRPr="00A31380">
              <w:rPr>
                <w:i/>
              </w:rPr>
              <w:t>not</w:t>
            </w:r>
            <w:r w:rsidRPr="00A31380">
              <w:t xml:space="preserve"> forward finance activity records to the IPC.</w:t>
            </w:r>
          </w:p>
          <w:p w14:paraId="7F46B05A" w14:textId="77777777" w:rsidR="00E8601E" w:rsidRPr="00A31380" w:rsidRDefault="00E8601E" w:rsidP="00E8601E">
            <w:pPr>
              <w:pStyle w:val="BlockText"/>
            </w:pPr>
          </w:p>
          <w:p w14:paraId="0F1DA085" w14:textId="77777777" w:rsidR="00E8601E" w:rsidRPr="00A31380" w:rsidRDefault="00E8601E" w:rsidP="00E8601E">
            <w:pPr>
              <w:pStyle w:val="BlockText"/>
            </w:pPr>
            <w:r w:rsidRPr="00A31380">
              <w:t>The IPC is responsible for consolidating the records.  This is accomplished by using the duplicate claim (DUPC) command, which users access through the Benefits Delivery Network (BDN).</w:t>
            </w:r>
          </w:p>
          <w:p w14:paraId="7EA3D3C5" w14:textId="77777777" w:rsidR="00D12EF1" w:rsidRPr="00A31380" w:rsidRDefault="00D12EF1" w:rsidP="00E8601E">
            <w:pPr>
              <w:pStyle w:val="BlockText"/>
            </w:pPr>
          </w:p>
          <w:p w14:paraId="65B7E72B" w14:textId="1DE3863D" w:rsidR="00D12EF1" w:rsidRPr="00A31380" w:rsidRDefault="00D12EF1" w:rsidP="00E8601E">
            <w:pPr>
              <w:pStyle w:val="BlockText"/>
            </w:pPr>
            <w:r w:rsidRPr="00A31380">
              <w:rPr>
                <w:b/>
                <w:i/>
              </w:rPr>
              <w:t>Reference</w:t>
            </w:r>
            <w:r w:rsidRPr="00A31380">
              <w:t xml:space="preserve">:  For information about using the DUPC command, see </w:t>
            </w:r>
            <w:r w:rsidR="00FD5E45" w:rsidRPr="00A31380">
              <w:t>M21-1</w:t>
            </w:r>
            <w:r w:rsidRPr="00A31380">
              <w:t>, Part III, Subpart ii, 4.E.</w:t>
            </w:r>
          </w:p>
        </w:tc>
      </w:tr>
    </w:tbl>
    <w:p w14:paraId="2E4E7110" w14:textId="77777777" w:rsidR="00CC5FE7" w:rsidRPr="00A31380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A31380" w14:paraId="2E4E7117" w14:textId="77777777" w:rsidTr="00A31380">
        <w:tc>
          <w:tcPr>
            <w:tcW w:w="1728" w:type="dxa"/>
          </w:tcPr>
          <w:p w14:paraId="2E4E7111" w14:textId="4287BEB3" w:rsidR="00CC5FE7" w:rsidRPr="00A31380" w:rsidRDefault="0054748E">
            <w:pPr>
              <w:pStyle w:val="Heading5"/>
            </w:pPr>
            <w:bookmarkStart w:id="11" w:name="_b.__Requirements"/>
            <w:bookmarkEnd w:id="11"/>
            <w:r w:rsidRPr="00A31380">
              <w:t>b</w:t>
            </w:r>
            <w:r w:rsidR="00CC5FE7" w:rsidRPr="00A31380">
              <w:t>.  Requirements for Consolidation</w:t>
            </w:r>
          </w:p>
        </w:tc>
        <w:tc>
          <w:tcPr>
            <w:tcW w:w="7740" w:type="dxa"/>
          </w:tcPr>
          <w:p w14:paraId="7B68B5F2" w14:textId="71425CA4" w:rsidR="00282E5B" w:rsidRPr="00A31380" w:rsidRDefault="00282E5B">
            <w:pPr>
              <w:pStyle w:val="BlockText"/>
            </w:pPr>
            <w:r w:rsidRPr="00A31380">
              <w:t>In order to consolidate duplicate BIRLS records</w:t>
            </w:r>
            <w:r w:rsidR="00AE787F" w:rsidRPr="00A31380">
              <w:t xml:space="preserve">, the RO that is performing the consolidation must have custody of both of the corresponding claims folders.  If </w:t>
            </w:r>
            <w:r w:rsidR="00201899" w:rsidRPr="00A31380">
              <w:t xml:space="preserve">one or both </w:t>
            </w:r>
            <w:r w:rsidR="00AE787F" w:rsidRPr="00A31380">
              <w:t xml:space="preserve">claims folders are available in an </w:t>
            </w:r>
            <w:r w:rsidR="00D85736" w:rsidRPr="00A31380">
              <w:t>electronic format only (eFolder</w:t>
            </w:r>
            <w:r w:rsidR="00AE787F" w:rsidRPr="00A31380">
              <w:t xml:space="preserve">), the RO must hold jurisdiction over </w:t>
            </w:r>
            <w:r w:rsidR="00201899" w:rsidRPr="00A31380">
              <w:t>the eFolder(s).</w:t>
            </w:r>
          </w:p>
          <w:p w14:paraId="7B19026A" w14:textId="77777777" w:rsidR="00282E5B" w:rsidRPr="00A31380" w:rsidRDefault="00282E5B">
            <w:pPr>
              <w:pStyle w:val="BlockText"/>
            </w:pPr>
          </w:p>
          <w:p w14:paraId="2E4E7114" w14:textId="6E2ADD07" w:rsidR="00CC5FE7" w:rsidRPr="00A31380" w:rsidRDefault="00CC5FE7">
            <w:pPr>
              <w:pStyle w:val="BlockText"/>
            </w:pPr>
            <w:r w:rsidRPr="00A31380">
              <w:t xml:space="preserve">If the RO </w:t>
            </w:r>
            <w:r w:rsidR="00201899" w:rsidRPr="00A31380">
              <w:t>that discovered</w:t>
            </w:r>
            <w:r w:rsidRPr="00A31380">
              <w:t xml:space="preserve"> the duplicate records does not have </w:t>
            </w:r>
            <w:r w:rsidR="00201899" w:rsidRPr="00A31380">
              <w:t>custody</w:t>
            </w:r>
            <w:r w:rsidRPr="00A31380">
              <w:t xml:space="preserve"> of</w:t>
            </w:r>
            <w:r w:rsidR="00503BFB" w:rsidRPr="00A31380">
              <w:t>,</w:t>
            </w:r>
            <w:r w:rsidRPr="00A31380">
              <w:t xml:space="preserve"> </w:t>
            </w:r>
            <w:r w:rsidR="00D85736" w:rsidRPr="00A31380">
              <w:t>or hold jurisdiction over</w:t>
            </w:r>
            <w:r w:rsidR="00503BFB" w:rsidRPr="00A31380">
              <w:t>,</w:t>
            </w:r>
            <w:r w:rsidR="00D85736" w:rsidRPr="00A31380">
              <w:t xml:space="preserve"> the c</w:t>
            </w:r>
            <w:r w:rsidRPr="00A31380">
              <w:t>laims folder</w:t>
            </w:r>
            <w:r w:rsidR="006C4AB7" w:rsidRPr="00A31380">
              <w:t>(</w:t>
            </w:r>
            <w:r w:rsidRPr="00A31380">
              <w:t>s</w:t>
            </w:r>
            <w:r w:rsidR="006C4AB7" w:rsidRPr="00A31380">
              <w:t>)</w:t>
            </w:r>
            <w:r w:rsidR="00D85736" w:rsidRPr="00A31380">
              <w:t>/eFolder</w:t>
            </w:r>
            <w:r w:rsidR="006C4AB7" w:rsidRPr="00A31380">
              <w:t>(</w:t>
            </w:r>
            <w:r w:rsidR="00D85736" w:rsidRPr="00A31380">
              <w:t>s</w:t>
            </w:r>
            <w:r w:rsidR="006C4AB7" w:rsidRPr="00A31380">
              <w:t>)</w:t>
            </w:r>
            <w:r w:rsidR="00D85736" w:rsidRPr="00A31380">
              <w:t xml:space="preserve"> involved</w:t>
            </w:r>
            <w:r w:rsidRPr="00A31380">
              <w:t xml:space="preserve">, that RO must request a permanent transfer of the absent </w:t>
            </w:r>
            <w:r w:rsidR="00D85736" w:rsidRPr="00A31380">
              <w:t xml:space="preserve">claim </w:t>
            </w:r>
            <w:r w:rsidRPr="00A31380">
              <w:t>folder</w:t>
            </w:r>
            <w:r w:rsidR="00D85736" w:rsidRPr="00A31380">
              <w:t>/eFolder</w:t>
            </w:r>
            <w:r w:rsidRPr="00A31380">
              <w:t>.</w:t>
            </w:r>
          </w:p>
          <w:p w14:paraId="2E4E7115" w14:textId="77777777" w:rsidR="00CC5FE7" w:rsidRPr="00A31380" w:rsidRDefault="00CC5FE7">
            <w:pPr>
              <w:pStyle w:val="BlockText"/>
            </w:pPr>
          </w:p>
          <w:p w14:paraId="2E4E7116" w14:textId="504A60A8" w:rsidR="00CC5FE7" w:rsidRPr="00A31380" w:rsidRDefault="00CC5FE7" w:rsidP="00D85736">
            <w:pPr>
              <w:pStyle w:val="BlockText"/>
            </w:pPr>
            <w:r w:rsidRPr="00A31380">
              <w:rPr>
                <w:b/>
                <w:i/>
              </w:rPr>
              <w:t>Note</w:t>
            </w:r>
            <w:r w:rsidRPr="00A31380">
              <w:t xml:space="preserve">:  If the RMC has </w:t>
            </w:r>
            <w:r w:rsidR="00D85736" w:rsidRPr="00A31380">
              <w:t>custody</w:t>
            </w:r>
            <w:r w:rsidRPr="00A31380">
              <w:t xml:space="preserve"> of both </w:t>
            </w:r>
            <w:r w:rsidR="00D85736" w:rsidRPr="00A31380">
              <w:t xml:space="preserve">claims </w:t>
            </w:r>
            <w:r w:rsidRPr="00A31380">
              <w:t xml:space="preserve">folders, the RMC </w:t>
            </w:r>
            <w:r w:rsidR="00D85736" w:rsidRPr="00A31380">
              <w:t xml:space="preserve">is responsible </w:t>
            </w:r>
            <w:r w:rsidR="006C4AB7" w:rsidRPr="00A31380">
              <w:t xml:space="preserve">for </w:t>
            </w:r>
            <w:r w:rsidR="00D85736" w:rsidRPr="00A31380">
              <w:t>consolidating the duplicate records</w:t>
            </w:r>
            <w:r w:rsidRPr="00A31380">
              <w:t>.</w:t>
            </w:r>
          </w:p>
        </w:tc>
      </w:tr>
    </w:tbl>
    <w:p w14:paraId="2E4E711A" w14:textId="474A00C8" w:rsidR="00CC5FE7" w:rsidRPr="00A31380" w:rsidRDefault="00CC5FE7">
      <w:pPr>
        <w:pStyle w:val="BlockLine"/>
      </w:pPr>
    </w:p>
    <w:bookmarkStart w:id="12" w:name="_d.__Guidelines"/>
    <w:bookmarkStart w:id="13" w:name="_c.__Guidelines"/>
    <w:bookmarkStart w:id="14" w:name="_e.__Guidelines"/>
    <w:bookmarkEnd w:id="12"/>
    <w:bookmarkEnd w:id="13"/>
    <w:bookmarkEnd w:id="14"/>
    <w:p w14:paraId="2E4E7172" w14:textId="065DDBC4" w:rsidR="00CC5FE7" w:rsidRDefault="0027515A">
      <w:pPr>
        <w:pStyle w:val="BlockLine"/>
      </w:pPr>
      <w:r w:rsidRPr="00A31380">
        <w:fldChar w:fldCharType="begin">
          <w:fldData xml:space="preserve">RABvAGMAVABlAG0AcAAxAFYAYQByAFQAcgBhAGQAaQB0AGkAbwBuAGEAbAA=
</w:fldData>
        </w:fldChar>
      </w:r>
      <w:r w:rsidRPr="00A31380">
        <w:instrText xml:space="preserve"> ADDIN  \* MERGEFORMAT </w:instrText>
      </w:r>
      <w:r w:rsidRPr="00A31380">
        <w:fldChar w:fldCharType="end"/>
      </w:r>
      <w:r w:rsidRPr="00A31380">
        <w:fldChar w:fldCharType="begin">
          <w:fldData xml:space="preserve">RgBvAG4AdABTAGUAdABGAG8AbgB0AFMAZQB0AEYAbwBuAHQAUwBlAHQAaQBtAGkAcwB0AHkAbABl
AHMALgB4AG0AbAA=
</w:fldData>
        </w:fldChar>
      </w:r>
      <w:r w:rsidRPr="00A31380">
        <w:instrText xml:space="preserve"> ADDIN  \* MERGEFORMAT </w:instrText>
      </w:r>
      <w:r w:rsidRPr="00A31380">
        <w:fldChar w:fldCharType="end"/>
      </w:r>
      <w:r w:rsidR="004C79D1" w:rsidRPr="00A31380">
        <w:fldChar w:fldCharType="begin">
          <w:fldData xml:space="preserve">RABvAGMAVABlAG0AcAAxAFYAYQByAFQAcgBhAGQAaQB0AGkAbwBuAGEAbAA=
</w:fldData>
        </w:fldChar>
      </w:r>
      <w:r w:rsidR="004C79D1" w:rsidRPr="00A31380">
        <w:instrText xml:space="preserve"> ADDIN  \* MERGEFORMAT </w:instrText>
      </w:r>
      <w:r w:rsidR="004C79D1" w:rsidRPr="00A31380">
        <w:fldChar w:fldCharType="end"/>
      </w:r>
      <w:r w:rsidR="004C79D1" w:rsidRPr="00A31380">
        <w:fldChar w:fldCharType="begin">
          <w:fldData xml:space="preserve">RgBvAG4AdABTAGUAdABGAG8AbgB0AFMAZQB0AEYAbwBuAHQAUwBlAHQARgBvAG4AdABTAGUAdABp
AG0AaQBzAHQAeQBsAGUAcwAuAHgAbQBsAA==
</w:fldData>
        </w:fldChar>
      </w:r>
      <w:r w:rsidR="004C79D1" w:rsidRPr="00A31380">
        <w:instrText xml:space="preserve"> ADDIN  \* MERGEFORMAT </w:instrText>
      </w:r>
      <w:r w:rsidR="004C79D1" w:rsidRPr="00A31380">
        <w:fldChar w:fldCharType="end"/>
      </w:r>
      <w:r w:rsidR="00120794" w:rsidRPr="00A31380">
        <w:fldChar w:fldCharType="begin">
          <w:fldData xml:space="preserve">RABvAGMAVABlAG0AcAAxAFYAYQByAFQAcgBhAGQAaQB0AGkAbwBuAGEAbAA=
</w:fldData>
        </w:fldChar>
      </w:r>
      <w:r w:rsidR="00120794" w:rsidRPr="00A31380">
        <w:instrText xml:space="preserve"> ADDIN  \* MERGEFORMAT </w:instrText>
      </w:r>
      <w:r w:rsidR="00120794" w:rsidRPr="00A31380">
        <w:fldChar w:fldCharType="end"/>
      </w:r>
      <w:r w:rsidR="00120794" w:rsidRPr="00A31380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120794" w:rsidRPr="00A31380">
        <w:instrText xml:space="preserve"> ADDIN  \* MERGEFORMAT </w:instrText>
      </w:r>
      <w:r w:rsidR="00120794" w:rsidRPr="00A31380">
        <w:fldChar w:fldCharType="end"/>
      </w:r>
    </w:p>
    <w:sectPr w:rsidR="00CC5FE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E7175" w14:textId="77777777" w:rsidR="00633371" w:rsidRDefault="00633371">
      <w:r>
        <w:separator/>
      </w:r>
    </w:p>
  </w:endnote>
  <w:endnote w:type="continuationSeparator" w:id="0">
    <w:p w14:paraId="2E4E7176" w14:textId="77777777" w:rsidR="00633371" w:rsidRDefault="0063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9" w14:textId="244BD180" w:rsidR="00633371" w:rsidRDefault="00633371">
    <w:pPr>
      <w:pStyle w:val="Footer"/>
      <w:tabs>
        <w:tab w:val="clear" w:pos="8640"/>
        <w:tab w:val="right" w:pos="9360"/>
      </w:tabs>
      <w:ind w:right="360"/>
    </w:pP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A" w14:textId="60EF4909" w:rsidR="00633371" w:rsidRDefault="00633371">
    <w:pPr>
      <w:pStyle w:val="Footer"/>
      <w:tabs>
        <w:tab w:val="clear" w:pos="4320"/>
        <w:tab w:val="clear" w:pos="8640"/>
        <w:tab w:val="center" w:pos="4680"/>
        <w:tab w:val="right" w:pos="9270"/>
      </w:tabs>
      <w:ind w:right="90"/>
    </w:pPr>
    <w:r>
      <w:rPr>
        <w:b/>
        <w:sz w:val="20"/>
      </w:rPr>
      <w:tab/>
    </w:r>
    <w:r>
      <w:rPr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E" w14:textId="77777777" w:rsidR="00633371" w:rsidRDefault="00633371">
    <w:pPr>
      <w:pStyle w:val="Footer"/>
      <w:tabs>
        <w:tab w:val="clear" w:pos="8640"/>
        <w:tab w:val="right" w:pos="9360"/>
      </w:tabs>
    </w:pPr>
    <w:r>
      <w:rPr>
        <w:b/>
        <w:sz w:val="20"/>
      </w:rPr>
      <w:t>Final</w:t>
    </w:r>
    <w:r>
      <w:rPr>
        <w:b/>
        <w:sz w:val="20"/>
      </w:rPr>
      <w:tab/>
    </w:r>
    <w:r>
      <w:rPr>
        <w:b/>
        <w:sz w:val="20"/>
      </w:rPr>
      <w:tab/>
      <w:t>4-D-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E7173" w14:textId="77777777" w:rsidR="00633371" w:rsidRDefault="00633371">
      <w:r>
        <w:separator/>
      </w:r>
    </w:p>
  </w:footnote>
  <w:footnote w:type="continuationSeparator" w:id="0">
    <w:p w14:paraId="2E4E7174" w14:textId="77777777" w:rsidR="00633371" w:rsidRDefault="0063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7" w14:textId="33297CE1" w:rsidR="00633371" w:rsidRDefault="00633371">
    <w:pPr>
      <w:pStyle w:val="Header"/>
      <w:tabs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8" w14:textId="0D4B8FCF" w:rsidR="00633371" w:rsidRDefault="00633371">
    <w:pPr>
      <w:pStyle w:val="Header"/>
      <w:tabs>
        <w:tab w:val="clear" w:pos="8640"/>
        <w:tab w:val="right" w:pos="92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B" w14:textId="77777777" w:rsidR="00633371" w:rsidRDefault="00633371">
    <w:pPr>
      <w:pStyle w:val="Header"/>
      <w:tabs>
        <w:tab w:val="clear" w:pos="8640"/>
        <w:tab w:val="right" w:pos="9360"/>
      </w:tabs>
      <w:rPr>
        <w:b/>
        <w:sz w:val="20"/>
      </w:rPr>
    </w:pPr>
    <w:r>
      <w:rPr>
        <w:b/>
        <w:sz w:val="20"/>
      </w:rPr>
      <w:t>XX/XX/03</w:t>
    </w:r>
    <w:r>
      <w:rPr>
        <w:b/>
        <w:sz w:val="20"/>
      </w:rPr>
      <w:tab/>
    </w:r>
    <w:r>
      <w:rPr>
        <w:b/>
        <w:sz w:val="20"/>
      </w:rPr>
      <w:tab/>
      <w:t>M21-1MR, Part III</w:t>
    </w:r>
  </w:p>
  <w:p w14:paraId="2E4E717C" w14:textId="77777777" w:rsidR="00633371" w:rsidRDefault="00633371">
    <w:pPr>
      <w:pStyle w:val="Header"/>
      <w:tabs>
        <w:tab w:val="clear" w:pos="8640"/>
        <w:tab w:val="right" w:pos="936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  <w:p w14:paraId="2E4E717D" w14:textId="77777777" w:rsidR="00633371" w:rsidRDefault="00633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41A67"/>
    <w:multiLevelType w:val="hybridMultilevel"/>
    <w:tmpl w:val="1750C59C"/>
    <w:lvl w:ilvl="0" w:tplc="E43C72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37DB"/>
    <w:multiLevelType w:val="hybridMultilevel"/>
    <w:tmpl w:val="06764856"/>
    <w:lvl w:ilvl="0" w:tplc="98AC97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306A1"/>
    <w:multiLevelType w:val="singleLevel"/>
    <w:tmpl w:val="13700FC2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4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5">
    <w:nsid w:val="141C1E01"/>
    <w:multiLevelType w:val="singleLevel"/>
    <w:tmpl w:val="7814352E"/>
    <w:lvl w:ilvl="0">
      <w:start w:val="2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sz w:val="22"/>
      </w:rPr>
    </w:lvl>
  </w:abstractNum>
  <w:abstractNum w:abstractNumId="6">
    <w:nsid w:val="1447297B"/>
    <w:multiLevelType w:val="singleLevel"/>
    <w:tmpl w:val="37DEA66E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7">
    <w:nsid w:val="17704711"/>
    <w:multiLevelType w:val="hybridMultilevel"/>
    <w:tmpl w:val="2C8C86A4"/>
    <w:lvl w:ilvl="0" w:tplc="98AC97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EDC"/>
    <w:multiLevelType w:val="hybridMultilevel"/>
    <w:tmpl w:val="5E80C2BC"/>
    <w:lvl w:ilvl="0" w:tplc="98AC97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D4BFD"/>
    <w:multiLevelType w:val="hybridMultilevel"/>
    <w:tmpl w:val="EBB8915E"/>
    <w:lvl w:ilvl="0" w:tplc="846463B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213FA"/>
    <w:multiLevelType w:val="singleLevel"/>
    <w:tmpl w:val="0A6C3012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11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5F093E"/>
    <w:multiLevelType w:val="singleLevel"/>
    <w:tmpl w:val="69B0E67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E94D37"/>
    <w:multiLevelType w:val="singleLevel"/>
    <w:tmpl w:val="0100A992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14">
    <w:nsid w:val="38455C62"/>
    <w:multiLevelType w:val="hybridMultilevel"/>
    <w:tmpl w:val="B07AAF72"/>
    <w:lvl w:ilvl="0" w:tplc="98AC97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96F71"/>
    <w:multiLevelType w:val="singleLevel"/>
    <w:tmpl w:val="1F16F2D0"/>
    <w:lvl w:ilvl="0">
      <w:start w:val="2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sz w:val="22"/>
      </w:rPr>
    </w:lvl>
  </w:abstractNum>
  <w:abstractNum w:abstractNumId="16">
    <w:nsid w:val="39E259BD"/>
    <w:multiLevelType w:val="singleLevel"/>
    <w:tmpl w:val="EA788E86"/>
    <w:lvl w:ilvl="0">
      <w:start w:val="2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sz w:val="22"/>
      </w:rPr>
    </w:lvl>
  </w:abstractNum>
  <w:abstractNum w:abstractNumId="17">
    <w:nsid w:val="3E2F453D"/>
    <w:multiLevelType w:val="singleLevel"/>
    <w:tmpl w:val="CC22ED4A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18">
    <w:nsid w:val="41B620D2"/>
    <w:multiLevelType w:val="hybridMultilevel"/>
    <w:tmpl w:val="B124225A"/>
    <w:lvl w:ilvl="0" w:tplc="98AC97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E6EA0"/>
    <w:multiLevelType w:val="hybridMultilevel"/>
    <w:tmpl w:val="97ECCC3E"/>
    <w:lvl w:ilvl="0" w:tplc="98AC97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50C1C"/>
    <w:multiLevelType w:val="hybridMultilevel"/>
    <w:tmpl w:val="8CF29118"/>
    <w:lvl w:ilvl="0" w:tplc="98AC97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23DF1"/>
    <w:multiLevelType w:val="singleLevel"/>
    <w:tmpl w:val="22883B76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22">
    <w:nsid w:val="4DAD1E57"/>
    <w:multiLevelType w:val="hybridMultilevel"/>
    <w:tmpl w:val="2BA00B62"/>
    <w:lvl w:ilvl="0" w:tplc="98AC97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37140"/>
    <w:multiLevelType w:val="singleLevel"/>
    <w:tmpl w:val="C324CF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354CE4"/>
    <w:multiLevelType w:val="hybridMultilevel"/>
    <w:tmpl w:val="10C80618"/>
    <w:lvl w:ilvl="0" w:tplc="98AC97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67754"/>
    <w:multiLevelType w:val="hybridMultilevel"/>
    <w:tmpl w:val="4A527CA0"/>
    <w:lvl w:ilvl="0" w:tplc="98AC97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8E5EF9"/>
    <w:multiLevelType w:val="singleLevel"/>
    <w:tmpl w:val="67BE55DC"/>
    <w:lvl w:ilvl="0">
      <w:start w:val="2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sz w:val="22"/>
      </w:rPr>
    </w:lvl>
  </w:abstractNum>
  <w:abstractNum w:abstractNumId="28">
    <w:nsid w:val="6AD54BFE"/>
    <w:multiLevelType w:val="singleLevel"/>
    <w:tmpl w:val="0966DFE2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29">
    <w:nsid w:val="6C6B02AF"/>
    <w:multiLevelType w:val="singleLevel"/>
    <w:tmpl w:val="F3046504"/>
    <w:lvl w:ilvl="0">
      <w:start w:val="1"/>
      <w:numFmt w:val="bullet"/>
      <w:pStyle w:val="BulletText2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30">
    <w:nsid w:val="6DDF442B"/>
    <w:multiLevelType w:val="singleLevel"/>
    <w:tmpl w:val="E2D21A22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31">
    <w:nsid w:val="729E5993"/>
    <w:multiLevelType w:val="singleLevel"/>
    <w:tmpl w:val="3306F0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4924F6D"/>
    <w:multiLevelType w:val="singleLevel"/>
    <w:tmpl w:val="93F832C8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33">
    <w:nsid w:val="775247F8"/>
    <w:multiLevelType w:val="hybridMultilevel"/>
    <w:tmpl w:val="72D82376"/>
    <w:lvl w:ilvl="0" w:tplc="E43C72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B63E8"/>
    <w:multiLevelType w:val="singleLevel"/>
    <w:tmpl w:val="20E697E8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num w:numId="1">
    <w:abstractNumId w:val="26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4"/>
  </w:num>
  <w:num w:numId="8">
    <w:abstractNumId w:val="23"/>
  </w:num>
  <w:num w:numId="9">
    <w:abstractNumId w:val="31"/>
  </w:num>
  <w:num w:numId="10">
    <w:abstractNumId w:val="12"/>
  </w:num>
  <w:num w:numId="11">
    <w:abstractNumId w:val="5"/>
  </w:num>
  <w:num w:numId="12">
    <w:abstractNumId w:val="15"/>
  </w:num>
  <w:num w:numId="13">
    <w:abstractNumId w:val="27"/>
  </w:num>
  <w:num w:numId="14">
    <w:abstractNumId w:val="16"/>
  </w:num>
  <w:num w:numId="15">
    <w:abstractNumId w:val="3"/>
  </w:num>
  <w:num w:numId="16">
    <w:abstractNumId w:val="30"/>
  </w:num>
  <w:num w:numId="17">
    <w:abstractNumId w:val="32"/>
  </w:num>
  <w:num w:numId="18">
    <w:abstractNumId w:val="13"/>
  </w:num>
  <w:num w:numId="19">
    <w:abstractNumId w:val="28"/>
  </w:num>
  <w:num w:numId="20">
    <w:abstractNumId w:val="17"/>
  </w:num>
  <w:num w:numId="21">
    <w:abstractNumId w:val="35"/>
  </w:num>
  <w:num w:numId="22">
    <w:abstractNumId w:val="6"/>
  </w:num>
  <w:num w:numId="23">
    <w:abstractNumId w:val="10"/>
  </w:num>
  <w:num w:numId="24">
    <w:abstractNumId w:val="21"/>
  </w:num>
  <w:num w:numId="25">
    <w:abstractNumId w:val="34"/>
  </w:num>
  <w:num w:numId="26">
    <w:abstractNumId w:val="29"/>
  </w:num>
  <w:num w:numId="27">
    <w:abstractNumId w:val="9"/>
  </w:num>
  <w:num w:numId="28">
    <w:abstractNumId w:val="1"/>
  </w:num>
  <w:num w:numId="29">
    <w:abstractNumId w:val="33"/>
  </w:num>
  <w:num w:numId="30">
    <w:abstractNumId w:val="24"/>
  </w:num>
  <w:num w:numId="31">
    <w:abstractNumId w:val="25"/>
  </w:num>
  <w:num w:numId="32">
    <w:abstractNumId w:val="2"/>
  </w:num>
  <w:num w:numId="33">
    <w:abstractNumId w:val="7"/>
  </w:num>
  <w:num w:numId="34">
    <w:abstractNumId w:val="8"/>
  </w:num>
  <w:num w:numId="35">
    <w:abstractNumId w:val="14"/>
  </w:num>
  <w:num w:numId="36">
    <w:abstractNumId w:val="22"/>
  </w:num>
  <w:num w:numId="37">
    <w:abstractNumId w:val="18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imistyles.xml"/>
    <w:docVar w:name="XSLPath" w:val="C:\Documents and Settings\CAPBWAKE\My Documents\"/>
    <w:docVar w:name="XSLstylesheet" w:val="vbawVbaVaGovBl21M21-1mrStylesheetsM21.xsl"/>
  </w:docVars>
  <w:rsids>
    <w:rsidRoot w:val="005A74F2"/>
    <w:rsid w:val="00046E2F"/>
    <w:rsid w:val="00073D19"/>
    <w:rsid w:val="00085084"/>
    <w:rsid w:val="000E5EA4"/>
    <w:rsid w:val="000F26E4"/>
    <w:rsid w:val="00120794"/>
    <w:rsid w:val="00121E80"/>
    <w:rsid w:val="0014311F"/>
    <w:rsid w:val="001608EF"/>
    <w:rsid w:val="001709B8"/>
    <w:rsid w:val="0017360D"/>
    <w:rsid w:val="0018350A"/>
    <w:rsid w:val="00194079"/>
    <w:rsid w:val="001A013B"/>
    <w:rsid w:val="001B01EB"/>
    <w:rsid w:val="001C391D"/>
    <w:rsid w:val="001E148C"/>
    <w:rsid w:val="00201899"/>
    <w:rsid w:val="002019EE"/>
    <w:rsid w:val="002170D0"/>
    <w:rsid w:val="0024053A"/>
    <w:rsid w:val="0024348C"/>
    <w:rsid w:val="0024517C"/>
    <w:rsid w:val="002556A0"/>
    <w:rsid w:val="00265F00"/>
    <w:rsid w:val="0027515A"/>
    <w:rsid w:val="002810D4"/>
    <w:rsid w:val="00282E5B"/>
    <w:rsid w:val="00284956"/>
    <w:rsid w:val="00294990"/>
    <w:rsid w:val="0029679E"/>
    <w:rsid w:val="00296B1C"/>
    <w:rsid w:val="002C353B"/>
    <w:rsid w:val="002F223C"/>
    <w:rsid w:val="003208CA"/>
    <w:rsid w:val="00323FA0"/>
    <w:rsid w:val="00330A4B"/>
    <w:rsid w:val="00367475"/>
    <w:rsid w:val="003A3506"/>
    <w:rsid w:val="003E5CD9"/>
    <w:rsid w:val="003F065B"/>
    <w:rsid w:val="00401FE7"/>
    <w:rsid w:val="00415741"/>
    <w:rsid w:val="0044773F"/>
    <w:rsid w:val="004639B0"/>
    <w:rsid w:val="00493949"/>
    <w:rsid w:val="004953F5"/>
    <w:rsid w:val="004B03A2"/>
    <w:rsid w:val="004B5E16"/>
    <w:rsid w:val="004C1FE9"/>
    <w:rsid w:val="004C79D1"/>
    <w:rsid w:val="004F0BA8"/>
    <w:rsid w:val="00503BFB"/>
    <w:rsid w:val="00515810"/>
    <w:rsid w:val="0053001E"/>
    <w:rsid w:val="00531261"/>
    <w:rsid w:val="0054748E"/>
    <w:rsid w:val="00553797"/>
    <w:rsid w:val="005664F5"/>
    <w:rsid w:val="005A74F2"/>
    <w:rsid w:val="005B49DF"/>
    <w:rsid w:val="005B50FF"/>
    <w:rsid w:val="005C0E02"/>
    <w:rsid w:val="005D140A"/>
    <w:rsid w:val="005F39A1"/>
    <w:rsid w:val="00601866"/>
    <w:rsid w:val="00605160"/>
    <w:rsid w:val="00623EC9"/>
    <w:rsid w:val="00630FB4"/>
    <w:rsid w:val="00633371"/>
    <w:rsid w:val="006616CD"/>
    <w:rsid w:val="006A46A5"/>
    <w:rsid w:val="006C4AB7"/>
    <w:rsid w:val="006D4B3F"/>
    <w:rsid w:val="006E5FEB"/>
    <w:rsid w:val="006F4551"/>
    <w:rsid w:val="00731F4E"/>
    <w:rsid w:val="0078210A"/>
    <w:rsid w:val="007917E3"/>
    <w:rsid w:val="007B60B9"/>
    <w:rsid w:val="007E587A"/>
    <w:rsid w:val="00807990"/>
    <w:rsid w:val="00813EC7"/>
    <w:rsid w:val="00820323"/>
    <w:rsid w:val="00825504"/>
    <w:rsid w:val="00861D2A"/>
    <w:rsid w:val="00874757"/>
    <w:rsid w:val="008A6F6D"/>
    <w:rsid w:val="008C455D"/>
    <w:rsid w:val="008D122A"/>
    <w:rsid w:val="009514E4"/>
    <w:rsid w:val="00957199"/>
    <w:rsid w:val="009B6C0A"/>
    <w:rsid w:val="009E7F41"/>
    <w:rsid w:val="00A31380"/>
    <w:rsid w:val="00A770B1"/>
    <w:rsid w:val="00A8173F"/>
    <w:rsid w:val="00A85E2F"/>
    <w:rsid w:val="00A9448B"/>
    <w:rsid w:val="00A9610B"/>
    <w:rsid w:val="00AE787F"/>
    <w:rsid w:val="00B17904"/>
    <w:rsid w:val="00B47790"/>
    <w:rsid w:val="00B479D5"/>
    <w:rsid w:val="00B635A7"/>
    <w:rsid w:val="00B96822"/>
    <w:rsid w:val="00BA3544"/>
    <w:rsid w:val="00BA7EA9"/>
    <w:rsid w:val="00BB6004"/>
    <w:rsid w:val="00BC7297"/>
    <w:rsid w:val="00BD27A1"/>
    <w:rsid w:val="00C24A8B"/>
    <w:rsid w:val="00C34FB7"/>
    <w:rsid w:val="00CA7FF4"/>
    <w:rsid w:val="00CC26CC"/>
    <w:rsid w:val="00CC5FE7"/>
    <w:rsid w:val="00CD2221"/>
    <w:rsid w:val="00CD7CFA"/>
    <w:rsid w:val="00CF4050"/>
    <w:rsid w:val="00D06C2B"/>
    <w:rsid w:val="00D12EF1"/>
    <w:rsid w:val="00D15086"/>
    <w:rsid w:val="00D46F96"/>
    <w:rsid w:val="00D56F75"/>
    <w:rsid w:val="00D7097C"/>
    <w:rsid w:val="00D72BAF"/>
    <w:rsid w:val="00D82154"/>
    <w:rsid w:val="00D85736"/>
    <w:rsid w:val="00D86F7F"/>
    <w:rsid w:val="00DA4F81"/>
    <w:rsid w:val="00DD4A28"/>
    <w:rsid w:val="00DF2D7C"/>
    <w:rsid w:val="00E3094C"/>
    <w:rsid w:val="00E72A2D"/>
    <w:rsid w:val="00E8601E"/>
    <w:rsid w:val="00EA05BB"/>
    <w:rsid w:val="00EA2D75"/>
    <w:rsid w:val="00EB2392"/>
    <w:rsid w:val="00F3224C"/>
    <w:rsid w:val="00F41E19"/>
    <w:rsid w:val="00F75369"/>
    <w:rsid w:val="00F91984"/>
    <w:rsid w:val="00F976E3"/>
    <w:rsid w:val="00FD5E45"/>
    <w:rsid w:val="00FD7749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E4E7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link w:val="Heading3Char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5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BulletText1"/>
    <w:autoRedefine/>
    <w:pPr>
      <w:numPr>
        <w:numId w:val="26"/>
      </w:numPr>
      <w:tabs>
        <w:tab w:val="clear" w:pos="187"/>
        <w:tab w:val="clear" w:pos="547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character" w:customStyle="1" w:styleId="Jump">
    <w:name w:val="Jump"/>
    <w:rPr>
      <w:color w:val="FF000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4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E2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70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0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70B1"/>
  </w:style>
  <w:style w:type="paragraph" w:styleId="CommentSubject">
    <w:name w:val="annotation subject"/>
    <w:basedOn w:val="CommentText"/>
    <w:next w:val="CommentText"/>
    <w:link w:val="CommentSubjectChar"/>
    <w:rsid w:val="00A770B1"/>
    <w:rPr>
      <w:b/>
      <w:bCs/>
    </w:rPr>
  </w:style>
  <w:style w:type="character" w:customStyle="1" w:styleId="CommentSubjectChar">
    <w:name w:val="Comment Subject Char"/>
    <w:link w:val="CommentSubject"/>
    <w:rsid w:val="00A770B1"/>
    <w:rPr>
      <w:b/>
      <w:bCs/>
    </w:rPr>
  </w:style>
  <w:style w:type="paragraph" w:styleId="ListParagraph">
    <w:name w:val="List Paragraph"/>
    <w:basedOn w:val="Normal"/>
    <w:uiPriority w:val="34"/>
    <w:qFormat/>
    <w:rsid w:val="006F4551"/>
    <w:pPr>
      <w:spacing w:after="200" w:line="276" w:lineRule="auto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6F4551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ection Char,Section Title Char"/>
    <w:basedOn w:val="DefaultParagraphFont"/>
    <w:link w:val="Heading3"/>
    <w:rsid w:val="007E587A"/>
    <w:rPr>
      <w:rFonts w:ascii="Arial" w:hAnsi="Arial"/>
      <w:b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rsid w:val="007E587A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link w:val="Heading3Char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5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BulletText1"/>
    <w:autoRedefine/>
    <w:pPr>
      <w:numPr>
        <w:numId w:val="26"/>
      </w:numPr>
      <w:tabs>
        <w:tab w:val="clear" w:pos="187"/>
        <w:tab w:val="clear" w:pos="547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character" w:customStyle="1" w:styleId="Jump">
    <w:name w:val="Jump"/>
    <w:rPr>
      <w:color w:val="FF000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4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E2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70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0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70B1"/>
  </w:style>
  <w:style w:type="paragraph" w:styleId="CommentSubject">
    <w:name w:val="annotation subject"/>
    <w:basedOn w:val="CommentText"/>
    <w:next w:val="CommentText"/>
    <w:link w:val="CommentSubjectChar"/>
    <w:rsid w:val="00A770B1"/>
    <w:rPr>
      <w:b/>
      <w:bCs/>
    </w:rPr>
  </w:style>
  <w:style w:type="character" w:customStyle="1" w:styleId="CommentSubjectChar">
    <w:name w:val="Comment Subject Char"/>
    <w:link w:val="CommentSubject"/>
    <w:rsid w:val="00A770B1"/>
    <w:rPr>
      <w:b/>
      <w:bCs/>
    </w:rPr>
  </w:style>
  <w:style w:type="paragraph" w:styleId="ListParagraph">
    <w:name w:val="List Paragraph"/>
    <w:basedOn w:val="Normal"/>
    <w:uiPriority w:val="34"/>
    <w:qFormat/>
    <w:rsid w:val="006F4551"/>
    <w:pPr>
      <w:spacing w:after="200" w:line="276" w:lineRule="auto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6F4551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ection Char,Section Title Char"/>
    <w:basedOn w:val="DefaultParagraphFont"/>
    <w:link w:val="Heading3"/>
    <w:rsid w:val="007E587A"/>
    <w:rPr>
      <w:rFonts w:ascii="Arial" w:hAnsi="Arial"/>
      <w:b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rsid w:val="007E587A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ss.vba.va.gov/SHAR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://css.vba.va.gov/SHAR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ss.vba.va.gov/SHAR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css.vba.va.gov/SHARE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ss.vba.va.gov/SHARE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2249-169D-4013-960B-FB909AA58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1491-09F3-413E-A960-2F6AD7866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1DA2C-4BFB-4CD8-85CE-3B2AA8C881D9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b438dcf7-3998-4283-b7fc-0ec6fa8e430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E22253-8BD7-40D0-9A02-23DDAC7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84</TotalTime>
  <Pages>8</Pages>
  <Words>1550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Folders (U.S. Department of Veterans Affairs)</vt:lpstr>
    </vt:vector>
  </TitlesOfParts>
  <Company>VA</Company>
  <LinksUpToDate>false</LinksUpToDate>
  <CharactersWithSpaces>10093</CharactersWithSpaces>
  <SharedDoc>false</SharedDoc>
  <HLinks>
    <vt:vector size="12" baseType="variant">
      <vt:variant>
        <vt:i4>1245238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../../../../../../../CAP-21/212/212B/M21-1 MR/MR Changes/Part III/III.ii.4.D Rebuilt Fldr emrgncy chng/pt03_sp02_ch03_secB.xml</vt:lpwstr>
      </vt:variant>
      <vt:variant>
        <vt:lpwstr>III.ii.3.B.6.b</vt:lpwstr>
      </vt:variant>
      <vt:variant>
        <vt:i4>6619228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../../../../../../../CAP-21/212/212B/M21-1 MR/MR Changes/Part III/III.ii.4.D Rebuilt Fldr emrgncy chng/pt03_sp02_ch04_secD</vt:lpwstr>
      </vt:variant>
      <vt:variant>
        <vt:lpwstr>III.ii.4.D.16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Folders (U.S. Department of Veterans Affairs)</dc:title>
  <dc:subject>Lost Folders</dc:subject>
  <dc:creator>Department of Veterans Affairs</dc:creator>
  <cp:keywords>Lost folder search, 24-hour search, file number reconciliation, file number cancellation, missing, located, duplicate file number, consolidation, education record, VETSNET, DUPC, SSN, VBMS, RMC</cp:keywords>
  <dc:description>Section covers the procedure for lost folder and 24-hour searches, duplication of file numbers, requirements for consolidation, and file number reconciliation and cancellation.</dc:description>
  <cp:lastModifiedBy>Kimberly Martin-Butler</cp:lastModifiedBy>
  <cp:revision>14</cp:revision>
  <cp:lastPrinted>2009-09-21T13:08:00Z</cp:lastPrinted>
  <dcterms:created xsi:type="dcterms:W3CDTF">2015-06-02T17:01:00Z</dcterms:created>
  <dcterms:modified xsi:type="dcterms:W3CDTF">2015-06-03T20:11:00Z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20050525</vt:lpwstr>
  </property>
  <property fmtid="{D5CDD505-2E9C-101B-9397-08002B2CF9AE}" pid="3" name="DateReviewed">
    <vt:lpwstr>20141015</vt:lpwstr>
  </property>
  <property fmtid="{D5CDD505-2E9C-101B-9397-08002B2CF9AE}" pid="4" name="Language">
    <vt:lpwstr>en</vt:lpwstr>
  </property>
  <property fmtid="{D5CDD505-2E9C-101B-9397-08002B2CF9AE}" pid="5" name="Creator">
    <vt:lpwstr>Department of Veterans Affairs, Veterans Benefits Administration, Compensation Service, Procedures</vt:lpwstr>
  </property>
  <property fmtid="{D5CDD505-2E9C-101B-9397-08002B2CF9AE}" pid="6" name="Type">
    <vt:lpwstr>manual</vt:lpwstr>
  </property>
  <property fmtid="{D5CDD505-2E9C-101B-9397-08002B2CF9AE}" pid="7" name="Order">
    <vt:lpwstr>1</vt:lpwstr>
  </property>
  <property fmtid="{D5CDD505-2E9C-101B-9397-08002B2CF9AE}" pid="8" name="ContentTypeId">
    <vt:lpwstr>0x010100A3776AF772BF364D8E899CBB1EA8E540</vt:lpwstr>
  </property>
</Properties>
</file>