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6E6E" w14:textId="2CDF467A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EC61D1">
        <w:rPr>
          <w:rFonts w:ascii="Times New Roman" w:hAnsi="Times New Roman"/>
          <w:sz w:val="20"/>
        </w:rPr>
        <w:t>i</w:t>
      </w:r>
      <w:r w:rsidR="00713625">
        <w:rPr>
          <w:rFonts w:ascii="Times New Roman" w:hAnsi="Times New Roman"/>
          <w:sz w:val="20"/>
        </w:rPr>
        <w:t>i</w:t>
      </w:r>
    </w:p>
    <w:p w14:paraId="18EA266A" w14:textId="0C314D06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FC2C63">
        <w:rPr>
          <w:b/>
          <w:bCs/>
          <w:sz w:val="20"/>
        </w:rPr>
        <w:t xml:space="preserve">                       March 24, 2015</w:t>
      </w:r>
      <w:r>
        <w:rPr>
          <w:b/>
          <w:bCs/>
          <w:sz w:val="20"/>
        </w:rPr>
        <w:tab/>
      </w:r>
    </w:p>
    <w:p w14:paraId="69D069A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B730263" w14:textId="77777777" w:rsidR="00504F80" w:rsidRDefault="00504F80" w:rsidP="00504F80">
      <w:pPr>
        <w:rPr>
          <w:b/>
          <w:bCs/>
          <w:sz w:val="20"/>
        </w:rPr>
      </w:pPr>
    </w:p>
    <w:p w14:paraId="062F896D" w14:textId="77777777" w:rsidR="00504F80" w:rsidRDefault="00504F80" w:rsidP="00504F80">
      <w:pPr>
        <w:pStyle w:val="Heading4"/>
      </w:pPr>
      <w:r>
        <w:t xml:space="preserve">Transmittal Sheet </w:t>
      </w:r>
    </w:p>
    <w:p w14:paraId="68B7DF0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DAF12C9" w14:textId="77777777" w:rsidTr="00C24D50">
        <w:tc>
          <w:tcPr>
            <w:tcW w:w="1728" w:type="dxa"/>
          </w:tcPr>
          <w:p w14:paraId="70F3235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A9FDC15" w14:textId="333520C4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713625">
              <w:t>i</w:t>
            </w:r>
            <w:r>
              <w:t>i, “</w:t>
            </w:r>
            <w:r w:rsidR="00EC61D1">
              <w:rPr>
                <w:rFonts w:cs="Arial"/>
                <w:sz w:val="23"/>
                <w:szCs w:val="23"/>
              </w:rPr>
              <w:t>Initial Screening and Determining Veterans Status</w:t>
            </w:r>
            <w:r>
              <w:t>.”</w:t>
            </w:r>
          </w:p>
          <w:p w14:paraId="21CAE7E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02E327A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07532B58" w14:textId="77777777" w:rsidR="00627902" w:rsidRDefault="00627902" w:rsidP="00627902">
            <w:pPr>
              <w:pStyle w:val="BulletText1"/>
            </w:pPr>
            <w:r w:rsidRPr="00627902">
              <w:t>update incorrect or obsolete hyperlink references</w:t>
            </w:r>
          </w:p>
          <w:p w14:paraId="1CB28B37" w14:textId="77777777" w:rsidR="00627902" w:rsidRDefault="00627902" w:rsidP="00D319D1">
            <w:pPr>
              <w:pStyle w:val="BulletText1"/>
            </w:pPr>
            <w:r>
              <w:t>update section and topic titles to more accurately reflect their content</w:t>
            </w:r>
          </w:p>
          <w:p w14:paraId="4EE0F388" w14:textId="5A648EAF" w:rsidR="00A51780" w:rsidRDefault="00A51780" w:rsidP="00D319D1">
            <w:pPr>
              <w:pStyle w:val="BulletText1"/>
            </w:pPr>
            <w:r>
              <w:t>renumber each topic based on the standard that the first topic in each section is Topic 1</w:t>
            </w:r>
            <w:r w:rsidR="00FC2C63">
              <w:t>, and</w:t>
            </w:r>
          </w:p>
          <w:p w14:paraId="08938056" w14:textId="790E087A" w:rsidR="00627902" w:rsidRPr="00EA3A57" w:rsidRDefault="00627902" w:rsidP="00627902">
            <w:pPr>
              <w:pStyle w:val="BulletText1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6070794E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3419"/>
      </w:tblGrid>
      <w:tr w:rsidR="006F33C2" w14:paraId="656F27FA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55EA8415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16" w:type="pct"/>
            <w:shd w:val="clear" w:color="auto" w:fill="auto"/>
          </w:tcPr>
          <w:p w14:paraId="20D9FA97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A92057" w14:paraId="4C8E3760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57523B4A" w14:textId="3803C109" w:rsidR="00A92057" w:rsidRDefault="00A92057" w:rsidP="00EC61D1">
            <w:pPr>
              <w:pStyle w:val="TableText"/>
            </w:pPr>
            <w:r>
              <w:t>To state the definition of reopened claims prior to, and on or after March 24, 2015.</w:t>
            </w:r>
          </w:p>
        </w:tc>
        <w:tc>
          <w:tcPr>
            <w:tcW w:w="1816" w:type="pct"/>
            <w:shd w:val="clear" w:color="auto" w:fill="auto"/>
          </w:tcPr>
          <w:p w14:paraId="08B96CC3" w14:textId="29A4D95F" w:rsidR="00A92057" w:rsidRDefault="00A92057" w:rsidP="00A92057">
            <w:pPr>
              <w:pStyle w:val="TableText"/>
            </w:pPr>
            <w:r>
              <w:t>M21-1, Part III, Subpart ii, Chapter 2, Section E, Topic 1, Block b  (III.ii.2.E.1.b)</w:t>
            </w:r>
          </w:p>
        </w:tc>
      </w:tr>
      <w:tr w:rsidR="006F33C2" w14:paraId="03E947CD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745D99B4" w14:textId="482907E2" w:rsidR="006F33C2" w:rsidRPr="00C24D50" w:rsidRDefault="00F11739" w:rsidP="00EC61D1">
            <w:pPr>
              <w:pStyle w:val="TableText"/>
            </w:pPr>
            <w:r>
              <w:t>To clarify form requirements for reopened claims prior to, and on or after March 24, 2015.</w:t>
            </w:r>
          </w:p>
        </w:tc>
        <w:tc>
          <w:tcPr>
            <w:tcW w:w="1816" w:type="pct"/>
            <w:shd w:val="clear" w:color="auto" w:fill="auto"/>
          </w:tcPr>
          <w:p w14:paraId="45DE8035" w14:textId="50274677" w:rsidR="006F33C2" w:rsidRPr="00C24D50" w:rsidRDefault="00A92057" w:rsidP="00A92057">
            <w:pPr>
              <w:pStyle w:val="TableText"/>
            </w:pPr>
            <w:r>
              <w:t>III.ii.2.E.2.b</w:t>
            </w:r>
          </w:p>
        </w:tc>
      </w:tr>
      <w:tr w:rsidR="006F33C2" w14:paraId="1685D6CC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3A5C410E" w14:textId="6D9F10C2" w:rsidR="006F33C2" w:rsidRPr="00C24D50" w:rsidRDefault="00EC61D1" w:rsidP="00DF3202">
            <w:pPr>
              <w:pStyle w:val="BulletText1"/>
              <w:numPr>
                <w:ilvl w:val="0"/>
                <w:numId w:val="0"/>
              </w:numPr>
            </w:pPr>
            <w:r>
              <w:t>To modify guidance to make reference to claims to reopen, rather than correspondence to reopen.</w:t>
            </w:r>
          </w:p>
        </w:tc>
        <w:tc>
          <w:tcPr>
            <w:tcW w:w="1816" w:type="pct"/>
            <w:shd w:val="clear" w:color="auto" w:fill="auto"/>
          </w:tcPr>
          <w:p w14:paraId="00389A58" w14:textId="294F98A1" w:rsidR="006F33C2" w:rsidRPr="00C24D50" w:rsidRDefault="00EC61D1" w:rsidP="00EC61D1">
            <w:pPr>
              <w:pStyle w:val="TableText"/>
            </w:pPr>
            <w:r>
              <w:t>III.ii.2.E.2.c</w:t>
            </w:r>
          </w:p>
        </w:tc>
      </w:tr>
      <w:tr w:rsidR="006E0D27" w14:paraId="2BE1DD61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112A3C82" w14:textId="076B531A" w:rsidR="006E0D27" w:rsidRDefault="006E0D27" w:rsidP="00CF46EF">
            <w:pPr>
              <w:pStyle w:val="BulletText1"/>
              <w:numPr>
                <w:ilvl w:val="0"/>
                <w:numId w:val="0"/>
              </w:numPr>
            </w:pPr>
            <w:r>
              <w:t>To clarify the attributes of a duplicate claim</w:t>
            </w:r>
          </w:p>
        </w:tc>
        <w:tc>
          <w:tcPr>
            <w:tcW w:w="1816" w:type="pct"/>
            <w:shd w:val="clear" w:color="auto" w:fill="auto"/>
          </w:tcPr>
          <w:p w14:paraId="1C600D10" w14:textId="3B5FC757" w:rsidR="006E0D27" w:rsidRDefault="006E0D27" w:rsidP="00DF3202">
            <w:pPr>
              <w:pStyle w:val="TableText"/>
            </w:pPr>
            <w:r>
              <w:t>III.ii.2.E.2.d</w:t>
            </w:r>
          </w:p>
        </w:tc>
      </w:tr>
      <w:tr w:rsidR="003014EE" w14:paraId="4CBB10FE" w14:textId="77777777" w:rsidTr="00426108">
        <w:trPr>
          <w:trHeight w:val="180"/>
        </w:trPr>
        <w:tc>
          <w:tcPr>
            <w:tcW w:w="3184" w:type="pct"/>
            <w:shd w:val="clear" w:color="auto" w:fill="auto"/>
          </w:tcPr>
          <w:p w14:paraId="66D9DBB0" w14:textId="1DF4FF66" w:rsidR="003014EE" w:rsidRDefault="003014EE" w:rsidP="003014EE">
            <w:pPr>
              <w:pStyle w:val="BulletText1"/>
              <w:numPr>
                <w:ilvl w:val="0"/>
                <w:numId w:val="0"/>
              </w:numPr>
            </w:pPr>
            <w:bookmarkStart w:id="0" w:name="_GoBack"/>
            <w:bookmarkEnd w:id="0"/>
            <w:r>
              <w:t>To modify guidance for handling claimants’ statements received prior to, and on or after March 24, 2015.</w:t>
            </w:r>
          </w:p>
        </w:tc>
        <w:tc>
          <w:tcPr>
            <w:tcW w:w="1816" w:type="pct"/>
            <w:shd w:val="clear" w:color="auto" w:fill="auto"/>
          </w:tcPr>
          <w:p w14:paraId="4ECDEAF1" w14:textId="4560D2E7" w:rsidR="003014EE" w:rsidRDefault="003014EE" w:rsidP="003014EE">
            <w:pPr>
              <w:pStyle w:val="TableText"/>
            </w:pPr>
            <w:r>
              <w:t>III.ii.2.E.3.e</w:t>
            </w:r>
          </w:p>
        </w:tc>
      </w:tr>
      <w:tr w:rsidR="003014EE" w14:paraId="0ABC01F8" w14:textId="77777777" w:rsidTr="00426108">
        <w:trPr>
          <w:trHeight w:val="180"/>
        </w:trPr>
        <w:tc>
          <w:tcPr>
            <w:tcW w:w="3184" w:type="pct"/>
            <w:shd w:val="clear" w:color="auto" w:fill="auto"/>
          </w:tcPr>
          <w:p w14:paraId="773B4689" w14:textId="05ACC05D" w:rsidR="003014EE" w:rsidRDefault="003014EE" w:rsidP="003014EE">
            <w:pPr>
              <w:pStyle w:val="BulletText1"/>
              <w:numPr>
                <w:ilvl w:val="0"/>
                <w:numId w:val="0"/>
              </w:numPr>
            </w:pPr>
            <w:r>
              <w:t>To modify guidance for handling affidavits and statements received prior to, and on or after March 24, 2015.</w:t>
            </w:r>
          </w:p>
        </w:tc>
        <w:tc>
          <w:tcPr>
            <w:tcW w:w="1816" w:type="pct"/>
            <w:shd w:val="clear" w:color="auto" w:fill="auto"/>
          </w:tcPr>
          <w:p w14:paraId="380DF6A6" w14:textId="1728778A" w:rsidR="003014EE" w:rsidRDefault="003014EE" w:rsidP="003014EE">
            <w:pPr>
              <w:pStyle w:val="TableText"/>
            </w:pPr>
            <w:r>
              <w:t>III.ii.2.E.3.f</w:t>
            </w:r>
          </w:p>
        </w:tc>
      </w:tr>
      <w:tr w:rsidR="003014EE" w14:paraId="45F42FED" w14:textId="77777777" w:rsidTr="00426108">
        <w:trPr>
          <w:trHeight w:val="180"/>
        </w:trPr>
        <w:tc>
          <w:tcPr>
            <w:tcW w:w="3184" w:type="pct"/>
            <w:shd w:val="clear" w:color="auto" w:fill="auto"/>
          </w:tcPr>
          <w:p w14:paraId="4F5C7624" w14:textId="24EF4616" w:rsidR="003014EE" w:rsidRDefault="003014EE" w:rsidP="003014EE">
            <w:pPr>
              <w:pStyle w:val="BulletText1"/>
              <w:numPr>
                <w:ilvl w:val="0"/>
                <w:numId w:val="0"/>
              </w:numPr>
            </w:pPr>
            <w:r>
              <w:t>To modify guidance for handling descriptions of symptoms received prior to, and on or after March 24, 2015.</w:t>
            </w:r>
          </w:p>
        </w:tc>
        <w:tc>
          <w:tcPr>
            <w:tcW w:w="1816" w:type="pct"/>
            <w:shd w:val="clear" w:color="auto" w:fill="auto"/>
          </w:tcPr>
          <w:p w14:paraId="292D326C" w14:textId="6EE54E62" w:rsidR="003014EE" w:rsidRDefault="003014EE" w:rsidP="003014EE">
            <w:pPr>
              <w:pStyle w:val="TableText"/>
            </w:pPr>
            <w:r>
              <w:t>III.ii.2.E.3.g</w:t>
            </w:r>
          </w:p>
        </w:tc>
      </w:tr>
      <w:tr w:rsidR="00DF3202" w14:paraId="35A403D0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46F834CD" w14:textId="349A901A" w:rsidR="00DF3202" w:rsidRDefault="00DF3202" w:rsidP="00FC2C63">
            <w:pPr>
              <w:pStyle w:val="BulletText1"/>
              <w:numPr>
                <w:ilvl w:val="0"/>
                <w:numId w:val="0"/>
              </w:numPr>
            </w:pPr>
            <w:r>
              <w:t xml:space="preserve">To </w:t>
            </w:r>
            <w:r w:rsidR="00CF46EF">
              <w:t>remove</w:t>
            </w:r>
            <w:r w:rsidR="00FC2C63">
              <w:t xml:space="preserve"> Block h of Topic 3</w:t>
            </w:r>
            <w:r w:rsidR="00CF46EF">
              <w:t xml:space="preserve"> referring to receipt of correspondence expressing dissatisfaction of disagreement with</w:t>
            </w:r>
            <w:r>
              <w:t xml:space="preserve"> </w:t>
            </w:r>
            <w:r w:rsidR="00FC2C63">
              <w:t>former prisoner of war (</w:t>
            </w:r>
            <w:r>
              <w:t>FPOW</w:t>
            </w:r>
            <w:r w:rsidR="00FC2C63">
              <w:t>)</w:t>
            </w:r>
            <w:r w:rsidR="00CF46EF">
              <w:t xml:space="preserve"> decision. These case</w:t>
            </w:r>
            <w:r w:rsidR="00A51780">
              <w:t>s</w:t>
            </w:r>
            <w:r w:rsidR="00CF46EF">
              <w:t xml:space="preserve"> will follow the standard </w:t>
            </w:r>
            <w:r w:rsidR="00FC2C63">
              <w:t>notice of disagreement (</w:t>
            </w:r>
            <w:r w:rsidR="00CF46EF">
              <w:t>NOD</w:t>
            </w:r>
            <w:r w:rsidR="00FC2C63">
              <w:t>)</w:t>
            </w:r>
            <w:r w:rsidR="00CF46EF">
              <w:t xml:space="preserve"> process utilized for all other types of cases.</w:t>
            </w:r>
          </w:p>
        </w:tc>
        <w:tc>
          <w:tcPr>
            <w:tcW w:w="1816" w:type="pct"/>
            <w:shd w:val="clear" w:color="auto" w:fill="auto"/>
          </w:tcPr>
          <w:p w14:paraId="3B0E7B7B" w14:textId="7431A1F9" w:rsidR="00DF3202" w:rsidRDefault="00FC2C63" w:rsidP="00DF3202">
            <w:pPr>
              <w:pStyle w:val="TableText"/>
            </w:pPr>
            <w:r>
              <w:t>------</w:t>
            </w:r>
          </w:p>
        </w:tc>
      </w:tr>
    </w:tbl>
    <w:p w14:paraId="04461BEB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E23D986" w14:textId="77777777" w:rsidTr="00237C22">
        <w:tc>
          <w:tcPr>
            <w:tcW w:w="1728" w:type="dxa"/>
          </w:tcPr>
          <w:p w14:paraId="10A9A93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D683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05CD7D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124DC25" w14:textId="77777777" w:rsidTr="00237C22">
        <w:tc>
          <w:tcPr>
            <w:tcW w:w="1728" w:type="dxa"/>
          </w:tcPr>
          <w:p w14:paraId="44D093F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0C859A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E1E6E4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999F40C" w14:textId="77777777" w:rsidTr="00237C22">
        <w:tc>
          <w:tcPr>
            <w:tcW w:w="1728" w:type="dxa"/>
          </w:tcPr>
          <w:p w14:paraId="607976C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ECE9A18" w14:textId="77777777" w:rsidR="00504F80" w:rsidRPr="00B4163A" w:rsidRDefault="00504F80" w:rsidP="00237C22">
            <w:pPr>
              <w:pStyle w:val="BlockText"/>
            </w:pPr>
          </w:p>
          <w:p w14:paraId="46FA507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BEE364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CA53974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234798E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9DFF0A2" w14:textId="77777777" w:rsidTr="00237C22">
        <w:tc>
          <w:tcPr>
            <w:tcW w:w="1728" w:type="dxa"/>
          </w:tcPr>
          <w:p w14:paraId="5228068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48FC0AF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F1F68BF" w14:textId="3996D268" w:rsidR="007D5B97" w:rsidRDefault="00DF3202" w:rsidP="006F33C2">
      <w:pPr>
        <w:pStyle w:val="BlockLine"/>
        <w:ind w:left="0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487E9" w14:textId="77777777" w:rsidR="007C13F9" w:rsidRDefault="007C13F9" w:rsidP="00C765C7">
      <w:r>
        <w:separator/>
      </w:r>
    </w:p>
  </w:endnote>
  <w:endnote w:type="continuationSeparator" w:id="0">
    <w:p w14:paraId="782ED8C6" w14:textId="77777777" w:rsidR="007C13F9" w:rsidRDefault="007C13F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5BC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7A82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89D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3E7">
      <w:rPr>
        <w:rStyle w:val="PageNumber"/>
        <w:noProof/>
      </w:rPr>
      <w:t>i</w:t>
    </w:r>
    <w:r>
      <w:rPr>
        <w:rStyle w:val="PageNumber"/>
      </w:rPr>
      <w:fldChar w:fldCharType="end"/>
    </w:r>
  </w:p>
  <w:p w14:paraId="746BAB2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31F1C" w14:textId="77777777" w:rsidR="007C13F9" w:rsidRDefault="007C13F9" w:rsidP="00C765C7">
      <w:r>
        <w:separator/>
      </w:r>
    </w:p>
  </w:footnote>
  <w:footnote w:type="continuationSeparator" w:id="0">
    <w:p w14:paraId="641D6ABC" w14:textId="77777777" w:rsidR="007C13F9" w:rsidRDefault="007C13F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7pt;height:11.7pt" o:bullet="t">
        <v:imagedata r:id="rId1" o:title="fspro_2columns"/>
      </v:shape>
    </w:pict>
  </w:numPicBullet>
  <w:numPicBullet w:numPicBulletId="1">
    <w:pict>
      <v:shape id="_x0000_i1063" type="#_x0000_t75" style="width:11.7pt;height:11.7pt" o:bullet="t">
        <v:imagedata r:id="rId2" o:title="advanced"/>
      </v:shape>
    </w:pict>
  </w:numPicBullet>
  <w:numPicBullet w:numPicBulletId="2">
    <w:pict>
      <v:shape id="_x0000_i1064" type="#_x0000_t75" style="width:11.7pt;height:11.7pt" o:bullet="t">
        <v:imagedata r:id="rId3" o:title="continue"/>
      </v:shape>
    </w:pict>
  </w:numPicBullet>
  <w:numPicBullet w:numPicBulletId="3">
    <w:pict>
      <v:shape id="_x0000_i1065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93228"/>
    <w:rsid w:val="000A7776"/>
    <w:rsid w:val="000B7CB1"/>
    <w:rsid w:val="00100433"/>
    <w:rsid w:val="0010215F"/>
    <w:rsid w:val="00106EEF"/>
    <w:rsid w:val="00123973"/>
    <w:rsid w:val="001253ED"/>
    <w:rsid w:val="00173963"/>
    <w:rsid w:val="0017467A"/>
    <w:rsid w:val="00186D46"/>
    <w:rsid w:val="001C3AE3"/>
    <w:rsid w:val="001C3EB5"/>
    <w:rsid w:val="002041BE"/>
    <w:rsid w:val="00237C22"/>
    <w:rsid w:val="00240624"/>
    <w:rsid w:val="00284194"/>
    <w:rsid w:val="002857BE"/>
    <w:rsid w:val="002B7A7E"/>
    <w:rsid w:val="002C08B9"/>
    <w:rsid w:val="002F5B21"/>
    <w:rsid w:val="002F7397"/>
    <w:rsid w:val="003014EE"/>
    <w:rsid w:val="00332B80"/>
    <w:rsid w:val="00341981"/>
    <w:rsid w:val="00366D36"/>
    <w:rsid w:val="00386999"/>
    <w:rsid w:val="003B2927"/>
    <w:rsid w:val="003D47AF"/>
    <w:rsid w:val="003E2CA2"/>
    <w:rsid w:val="003E656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6677"/>
    <w:rsid w:val="004E4190"/>
    <w:rsid w:val="004F375E"/>
    <w:rsid w:val="00504F80"/>
    <w:rsid w:val="00506485"/>
    <w:rsid w:val="00513DA7"/>
    <w:rsid w:val="00516C82"/>
    <w:rsid w:val="00587C08"/>
    <w:rsid w:val="00594258"/>
    <w:rsid w:val="005E4363"/>
    <w:rsid w:val="00600DC7"/>
    <w:rsid w:val="0060572A"/>
    <w:rsid w:val="0062068D"/>
    <w:rsid w:val="00627902"/>
    <w:rsid w:val="006317AA"/>
    <w:rsid w:val="006473C3"/>
    <w:rsid w:val="006708D7"/>
    <w:rsid w:val="006837E0"/>
    <w:rsid w:val="006A00B6"/>
    <w:rsid w:val="006A4ECA"/>
    <w:rsid w:val="006B7262"/>
    <w:rsid w:val="006C3E5F"/>
    <w:rsid w:val="006C48FF"/>
    <w:rsid w:val="006D10E5"/>
    <w:rsid w:val="006D26D0"/>
    <w:rsid w:val="006D52FE"/>
    <w:rsid w:val="006D5BFB"/>
    <w:rsid w:val="006E03E7"/>
    <w:rsid w:val="006E0D27"/>
    <w:rsid w:val="006F33C2"/>
    <w:rsid w:val="006F6D37"/>
    <w:rsid w:val="00713625"/>
    <w:rsid w:val="00724248"/>
    <w:rsid w:val="00732186"/>
    <w:rsid w:val="00733917"/>
    <w:rsid w:val="00737049"/>
    <w:rsid w:val="007412CD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0987"/>
    <w:rsid w:val="00933BDB"/>
    <w:rsid w:val="00945950"/>
    <w:rsid w:val="00961DFF"/>
    <w:rsid w:val="009769CD"/>
    <w:rsid w:val="00997D98"/>
    <w:rsid w:val="009C22C8"/>
    <w:rsid w:val="009D1969"/>
    <w:rsid w:val="009E6E1A"/>
    <w:rsid w:val="00A315CB"/>
    <w:rsid w:val="00A3579D"/>
    <w:rsid w:val="00A51780"/>
    <w:rsid w:val="00A520D6"/>
    <w:rsid w:val="00A55356"/>
    <w:rsid w:val="00A557BB"/>
    <w:rsid w:val="00A8520D"/>
    <w:rsid w:val="00A92057"/>
    <w:rsid w:val="00AC2993"/>
    <w:rsid w:val="00AF2CD6"/>
    <w:rsid w:val="00AF4DF5"/>
    <w:rsid w:val="00B12A9A"/>
    <w:rsid w:val="00B22041"/>
    <w:rsid w:val="00B30D2F"/>
    <w:rsid w:val="00B46803"/>
    <w:rsid w:val="00B50AD7"/>
    <w:rsid w:val="00B64F2F"/>
    <w:rsid w:val="00B93A3C"/>
    <w:rsid w:val="00B96287"/>
    <w:rsid w:val="00BB3345"/>
    <w:rsid w:val="00BC238F"/>
    <w:rsid w:val="00BE0B55"/>
    <w:rsid w:val="00BF31C4"/>
    <w:rsid w:val="00BF7FE3"/>
    <w:rsid w:val="00C0404B"/>
    <w:rsid w:val="00C21B4B"/>
    <w:rsid w:val="00C24D50"/>
    <w:rsid w:val="00C765C7"/>
    <w:rsid w:val="00CD2D08"/>
    <w:rsid w:val="00CF46EF"/>
    <w:rsid w:val="00D319D1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3202"/>
    <w:rsid w:val="00DF44AC"/>
    <w:rsid w:val="00E2529E"/>
    <w:rsid w:val="00E36906"/>
    <w:rsid w:val="00E42AC9"/>
    <w:rsid w:val="00E648E9"/>
    <w:rsid w:val="00E964FD"/>
    <w:rsid w:val="00EC61D1"/>
    <w:rsid w:val="00ED4D5E"/>
    <w:rsid w:val="00F006B2"/>
    <w:rsid w:val="00F11739"/>
    <w:rsid w:val="00F17B87"/>
    <w:rsid w:val="00F2528A"/>
    <w:rsid w:val="00F43DFA"/>
    <w:rsid w:val="00F557B5"/>
    <w:rsid w:val="00F87670"/>
    <w:rsid w:val="00F90609"/>
    <w:rsid w:val="00F939AE"/>
    <w:rsid w:val="00FB6AD1"/>
    <w:rsid w:val="00FC2C63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/>
</file>

<file path=customXml/itemProps2.xml><?xml version="1.0" encoding="utf-8"?>
<ds:datastoreItem xmlns:ds="http://schemas.openxmlformats.org/officeDocument/2006/customXml" ds:itemID="{27B0E5C3-A606-4E28-86F8-925CC17CA5BD}"/>
</file>

<file path=customXml/itemProps3.xml><?xml version="1.0" encoding="utf-8"?>
<ds:datastoreItem xmlns:ds="http://schemas.openxmlformats.org/officeDocument/2006/customXml" ds:itemID="{25F55FE2-175B-4D19-B4BB-51FFB039E27D}"/>
</file>

<file path=customXml/itemProps4.xml><?xml version="1.0" encoding="utf-8"?>
<ds:datastoreItem xmlns:ds="http://schemas.openxmlformats.org/officeDocument/2006/customXml" ds:itemID="{A3CE3E28-23B0-4F8A-BBE0-C38FF7AF444E}"/>
</file>

<file path=customXml/itemProps5.xml><?xml version="1.0" encoding="utf-8"?>
<ds:datastoreItem xmlns:ds="http://schemas.openxmlformats.org/officeDocument/2006/customXml" ds:itemID="{8CC48E19-3510-41AC-984A-B6DC5D92429E}"/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22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Hof, Matthew R., VBAVACO</cp:lastModifiedBy>
  <cp:revision>11</cp:revision>
  <dcterms:created xsi:type="dcterms:W3CDTF">2015-02-20T00:39:00Z</dcterms:created>
  <dcterms:modified xsi:type="dcterms:W3CDTF">2015-03-23T18:55:00Z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