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4A1F975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57C64ADF" w14:textId="4DD5FE3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90788A">
        <w:rPr>
          <w:b/>
          <w:bCs/>
          <w:sz w:val="20"/>
        </w:rPr>
        <w:t xml:space="preserve">                   September 16, 2014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3E899C68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A777FB" w:rsidRPr="00A777FB">
              <w:t>Initial Screening and Determining Veterans Status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A" w14:textId="24A096D4" w:rsidR="00504F80" w:rsidRDefault="00504F80" w:rsidP="003517CD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57C64AEC" w14:textId="77777777" w:rsidR="00504F80" w:rsidRDefault="00504F80" w:rsidP="003517CD">
            <w:pPr>
              <w:pStyle w:val="BulletText1"/>
            </w:pPr>
            <w:r>
              <w:t>update incorrect or obsolete hyperlink references</w:t>
            </w:r>
          </w:p>
          <w:p w14:paraId="57C64AF1" w14:textId="7E8D0F01" w:rsidR="003E2CA2" w:rsidRDefault="003E2CA2" w:rsidP="003517CD">
            <w:pPr>
              <w:pStyle w:val="BulletText1"/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  <w:r w:rsidR="00922A14">
              <w:t>, and</w:t>
            </w:r>
          </w:p>
          <w:p w14:paraId="57C64AF4" w14:textId="1DF14949" w:rsidR="00504F80" w:rsidRPr="00EA3A57" w:rsidRDefault="00504F80" w:rsidP="00922A14">
            <w:pPr>
              <w:pStyle w:val="BulletText1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 w:rsidR="00922A14">
              <w:t>lock text.</w:t>
            </w:r>
          </w:p>
        </w:tc>
      </w:tr>
    </w:tbl>
    <w:p w14:paraId="57C64AF6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3"/>
        <w:gridCol w:w="2344"/>
        <w:gridCol w:w="987"/>
      </w:tblGrid>
      <w:tr w:rsidR="00C24D50" w14:paraId="57C64AFA" w14:textId="77777777" w:rsidTr="004043E0">
        <w:trPr>
          <w:trHeight w:val="180"/>
        </w:trPr>
        <w:tc>
          <w:tcPr>
            <w:tcW w:w="3248" w:type="pct"/>
            <w:shd w:val="clear" w:color="auto" w:fill="auto"/>
          </w:tcPr>
          <w:p w14:paraId="57C64AF7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33" w:type="pct"/>
            <w:shd w:val="clear" w:color="auto" w:fill="auto"/>
          </w:tcPr>
          <w:p w14:paraId="57C64AF8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57C64AF9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7C64AFE" w14:textId="77777777" w:rsidTr="004043E0">
        <w:trPr>
          <w:trHeight w:val="180"/>
        </w:trPr>
        <w:tc>
          <w:tcPr>
            <w:tcW w:w="3248" w:type="pct"/>
            <w:shd w:val="clear" w:color="auto" w:fill="auto"/>
          </w:tcPr>
          <w:p w14:paraId="57C64AFB" w14:textId="3B63548C" w:rsidR="00C24D50" w:rsidRPr="00C24D50" w:rsidRDefault="00762184" w:rsidP="004043E0">
            <w:pPr>
              <w:pStyle w:val="TableText"/>
            </w:pPr>
            <w:r>
              <w:t xml:space="preserve">To add a </w:t>
            </w:r>
            <w:r w:rsidR="004043E0">
              <w:t>note that t</w:t>
            </w:r>
            <w:r w:rsidR="004043E0" w:rsidRPr="004043E0">
              <w:t>he “received date” on a fax is an acceptable date stamp for documents faxed and dir</w:t>
            </w:r>
            <w:r w:rsidR="004043E0">
              <w:t>ectly indexed into Virtual VA.</w:t>
            </w:r>
          </w:p>
        </w:tc>
        <w:tc>
          <w:tcPr>
            <w:tcW w:w="1233" w:type="pct"/>
            <w:shd w:val="clear" w:color="auto" w:fill="auto"/>
          </w:tcPr>
          <w:p w14:paraId="57C64AFC" w14:textId="0235388B" w:rsidR="00141C8C" w:rsidRPr="00C24D50" w:rsidRDefault="00762184" w:rsidP="004043E0">
            <w:pPr>
              <w:pStyle w:val="TableText"/>
            </w:pPr>
            <w:r>
              <w:t xml:space="preserve">M21-1MR Part III, Subpart ii, Chapter 1, Section C, Topic 10, Block </w:t>
            </w:r>
            <w:r w:rsidR="004043E0">
              <w:t>a</w:t>
            </w:r>
            <w:r>
              <w:t xml:space="preserve"> (III.ii.1.C.</w:t>
            </w:r>
            <w:r w:rsidR="004043E0">
              <w:t>10.a)</w:t>
            </w:r>
          </w:p>
        </w:tc>
        <w:tc>
          <w:tcPr>
            <w:tcW w:w="519" w:type="pct"/>
            <w:shd w:val="clear" w:color="auto" w:fill="auto"/>
          </w:tcPr>
          <w:p w14:paraId="57C64AFD" w14:textId="5E953B4F" w:rsidR="00C24D50" w:rsidRDefault="00762184" w:rsidP="004043E0">
            <w:pPr>
              <w:pStyle w:val="TableText"/>
            </w:pPr>
            <w:r>
              <w:t>1-C-</w:t>
            </w:r>
            <w:r w:rsidR="004043E0">
              <w:t>2</w:t>
            </w:r>
          </w:p>
        </w:tc>
      </w:tr>
      <w:tr w:rsidR="004043E0" w14:paraId="39F0471D" w14:textId="77777777" w:rsidTr="004043E0">
        <w:trPr>
          <w:trHeight w:val="180"/>
        </w:trPr>
        <w:tc>
          <w:tcPr>
            <w:tcW w:w="3248" w:type="pct"/>
            <w:shd w:val="clear" w:color="auto" w:fill="auto"/>
          </w:tcPr>
          <w:p w14:paraId="6366C829" w14:textId="1B8DE37A" w:rsidR="004043E0" w:rsidRDefault="004043E0" w:rsidP="00DC5572">
            <w:pPr>
              <w:pStyle w:val="TableText"/>
            </w:pPr>
            <w:r>
              <w:t>To add a</w:t>
            </w:r>
            <w:r w:rsidR="00DC5572">
              <w:t xml:space="preserve"> (new) B</w:t>
            </w:r>
            <w:r>
              <w:t>lock</w:t>
            </w:r>
            <w:r w:rsidR="00DC5572">
              <w:t xml:space="preserve"> b</w:t>
            </w:r>
            <w:r>
              <w:t xml:space="preserve"> that discusses the placement of the date stamp on incoming documents.</w:t>
            </w:r>
          </w:p>
        </w:tc>
        <w:tc>
          <w:tcPr>
            <w:tcW w:w="1233" w:type="pct"/>
            <w:shd w:val="clear" w:color="auto" w:fill="auto"/>
          </w:tcPr>
          <w:p w14:paraId="7919AE86" w14:textId="72110C22" w:rsidR="004043E0" w:rsidRDefault="004043E0" w:rsidP="002F7397">
            <w:pPr>
              <w:pStyle w:val="TableText"/>
            </w:pPr>
            <w:r>
              <w:t>III.ii.1.C.10.b</w:t>
            </w:r>
          </w:p>
        </w:tc>
        <w:tc>
          <w:tcPr>
            <w:tcW w:w="519" w:type="pct"/>
            <w:shd w:val="clear" w:color="auto" w:fill="auto"/>
          </w:tcPr>
          <w:p w14:paraId="69493E84" w14:textId="5DDF2984" w:rsidR="004043E0" w:rsidRDefault="004043E0" w:rsidP="002F7397">
            <w:pPr>
              <w:pStyle w:val="TableText"/>
            </w:pPr>
            <w:r>
              <w:t>1-C-3</w:t>
            </w:r>
          </w:p>
        </w:tc>
      </w:tr>
      <w:tr w:rsidR="00422836" w14:paraId="57C64B02" w14:textId="77777777" w:rsidTr="004043E0">
        <w:trPr>
          <w:trHeight w:val="180"/>
        </w:trPr>
        <w:tc>
          <w:tcPr>
            <w:tcW w:w="3248" w:type="pct"/>
            <w:shd w:val="clear" w:color="auto" w:fill="auto"/>
          </w:tcPr>
          <w:p w14:paraId="57C64AFF" w14:textId="3F0EEEA0" w:rsidR="00422836" w:rsidRPr="00C24D50" w:rsidRDefault="00762184" w:rsidP="00762184">
            <w:pPr>
              <w:pStyle w:val="TableText"/>
            </w:pPr>
            <w:r>
              <w:t>To a</w:t>
            </w:r>
            <w:r w:rsidR="00141C8C" w:rsidRPr="0015105F">
              <w:t>dd a</w:t>
            </w:r>
            <w:r w:rsidR="00DC5572">
              <w:t xml:space="preserve"> (new) B</w:t>
            </w:r>
            <w:r w:rsidR="00141C8C" w:rsidRPr="0015105F">
              <w:t>lock</w:t>
            </w:r>
            <w:r w:rsidR="00DC5572">
              <w:t xml:space="preserve"> c</w:t>
            </w:r>
            <w:r w:rsidR="00141C8C" w:rsidRPr="0015105F">
              <w:t xml:space="preserve"> that </w:t>
            </w:r>
            <w:r>
              <w:t xml:space="preserve">discusses individuals authorized to sign claims on behalf of a claimant, based on the </w:t>
            </w:r>
            <w:r w:rsidR="00141C8C" w:rsidRPr="0015105F">
              <w:t xml:space="preserve">changes initiated by </w:t>
            </w:r>
            <w:r w:rsidR="00141C8C" w:rsidRPr="0015105F">
              <w:rPr>
                <w:b/>
                <w:i/>
              </w:rPr>
              <w:t>Section 502</w:t>
            </w:r>
            <w:r w:rsidR="00141C8C" w:rsidRPr="0015105F">
              <w:t xml:space="preserve"> of the Honoring America's Veterans and Caring for Camp Lejeune Families Act of 2012.</w:t>
            </w:r>
          </w:p>
        </w:tc>
        <w:tc>
          <w:tcPr>
            <w:tcW w:w="1233" w:type="pct"/>
            <w:shd w:val="clear" w:color="auto" w:fill="auto"/>
          </w:tcPr>
          <w:p w14:paraId="57C64B00" w14:textId="05F5F3DA" w:rsidR="00422836" w:rsidRPr="00C24D50" w:rsidRDefault="00762184" w:rsidP="002F7397">
            <w:pPr>
              <w:pStyle w:val="TableText"/>
            </w:pPr>
            <w:r>
              <w:t>III.ii.1.C.</w:t>
            </w:r>
            <w:r w:rsidR="007B3AD1">
              <w:t>11.c</w:t>
            </w:r>
          </w:p>
        </w:tc>
        <w:tc>
          <w:tcPr>
            <w:tcW w:w="519" w:type="pct"/>
            <w:shd w:val="clear" w:color="auto" w:fill="auto"/>
          </w:tcPr>
          <w:p w14:paraId="57C64B01" w14:textId="40F87821" w:rsidR="00422836" w:rsidRDefault="00B864D4" w:rsidP="002F7397">
            <w:pPr>
              <w:pStyle w:val="TableText"/>
            </w:pPr>
            <w:r>
              <w:t>1-C-6</w:t>
            </w:r>
          </w:p>
        </w:tc>
      </w:tr>
      <w:tr w:rsidR="00422836" w14:paraId="57C64B06" w14:textId="77777777" w:rsidTr="004043E0">
        <w:trPr>
          <w:trHeight w:val="180"/>
        </w:trPr>
        <w:tc>
          <w:tcPr>
            <w:tcW w:w="3248" w:type="pct"/>
            <w:shd w:val="clear" w:color="auto" w:fill="auto"/>
          </w:tcPr>
          <w:p w14:paraId="57C64B03" w14:textId="219BDE0A" w:rsidR="007B3AD1" w:rsidRPr="00C24D50" w:rsidRDefault="00762184" w:rsidP="00823D16">
            <w:pPr>
              <w:pStyle w:val="TableText"/>
            </w:pPr>
            <w:r>
              <w:t>To i</w:t>
            </w:r>
            <w:r w:rsidR="007B3AD1">
              <w:t>ncorporate information regarding restricte</w:t>
            </w:r>
            <w:r w:rsidR="00823D16">
              <w:t>d access claim centers (RACCs) and remove mention of “sister ROs.”</w:t>
            </w:r>
          </w:p>
        </w:tc>
        <w:tc>
          <w:tcPr>
            <w:tcW w:w="1233" w:type="pct"/>
            <w:shd w:val="clear" w:color="auto" w:fill="auto"/>
          </w:tcPr>
          <w:p w14:paraId="57C64B04" w14:textId="761B3E8B" w:rsidR="00422836" w:rsidRPr="00C24D50" w:rsidRDefault="00762184" w:rsidP="002F7397">
            <w:pPr>
              <w:pStyle w:val="TableText"/>
            </w:pPr>
            <w:r>
              <w:t>III.ii.1.C.</w:t>
            </w:r>
            <w:r w:rsidR="00051A74">
              <w:t>14</w:t>
            </w:r>
          </w:p>
        </w:tc>
        <w:tc>
          <w:tcPr>
            <w:tcW w:w="519" w:type="pct"/>
            <w:shd w:val="clear" w:color="auto" w:fill="auto"/>
          </w:tcPr>
          <w:p w14:paraId="57C64B05" w14:textId="40AA0DE8" w:rsidR="00422836" w:rsidRDefault="00051A74" w:rsidP="002F7397">
            <w:pPr>
              <w:pStyle w:val="TableText"/>
            </w:pPr>
            <w:r>
              <w:t>1-C-9 through 1-C-11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1C0D722B" w:rsidR="00504F80" w:rsidRDefault="00504F80" w:rsidP="004043E0">
      <w:pPr>
        <w:pStyle w:val="ContinuedOnNextPa"/>
      </w:pPr>
      <w:r w:rsidRPr="00B4163A">
        <w:t xml:space="preserve"> </w:t>
      </w:r>
      <w:r w:rsidR="004043E0">
        <w:t>Continued on next page</w:t>
      </w:r>
    </w:p>
    <w:p w14:paraId="4AE1AE91" w14:textId="09A6838F" w:rsidR="004043E0" w:rsidRDefault="004043E0" w:rsidP="004043E0">
      <w:pPr>
        <w:pStyle w:val="MapTitleContinued"/>
        <w:rPr>
          <w:b w:val="0"/>
          <w:sz w:val="24"/>
        </w:rPr>
      </w:pPr>
      <w:r w:rsidRPr="004043E0">
        <w:br w:type="page"/>
      </w:r>
      <w:r w:rsidR="0090788A">
        <w:lastRenderedPageBreak/>
        <w:fldChar w:fldCharType="begin"/>
      </w:r>
      <w:r w:rsidR="0090788A">
        <w:instrText xml:space="preserve"> STYLEREF "Map Title" </w:instrText>
      </w:r>
      <w:r w:rsidR="0090788A">
        <w:fldChar w:fldCharType="separate"/>
      </w:r>
      <w:r w:rsidRPr="004043E0">
        <w:rPr>
          <w:noProof/>
        </w:rPr>
        <w:t>Transmittal Sheet</w:t>
      </w:r>
      <w:r w:rsidR="0090788A">
        <w:rPr>
          <w:noProof/>
        </w:rPr>
        <w:fldChar w:fldCharType="end"/>
      </w:r>
      <w:r w:rsidRPr="004043E0">
        <w:t xml:space="preserve">, </w:t>
      </w:r>
      <w:r w:rsidRPr="004043E0">
        <w:rPr>
          <w:b w:val="0"/>
          <w:sz w:val="24"/>
        </w:rPr>
        <w:t>Continued</w:t>
      </w:r>
    </w:p>
    <w:p w14:paraId="5411BDAB" w14:textId="77777777" w:rsidR="004043E0" w:rsidRPr="004043E0" w:rsidRDefault="004043E0" w:rsidP="004043E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3" w14:textId="1532CEC6" w:rsidR="007D5B97" w:rsidRDefault="00DC5572" w:rsidP="00B416A9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90788A">
        <w:fldChar w:fldCharType="begin">
          <w:fldData xml:space="preserve">RABvAGMAVABlAG0AcAAxAFYAYQByAFQAcgBhAGQAaQB0AGkAbwBuAGEAbAA=
</w:fldData>
        </w:fldChar>
      </w:r>
      <w:r w:rsidR="0090788A">
        <w:instrText xml:space="preserve"> ADDIN  \* MERGEFORMAT </w:instrText>
      </w:r>
      <w:r w:rsidR="0090788A">
        <w:fldChar w:fldCharType="end"/>
      </w:r>
      <w:r w:rsidR="0090788A">
        <w:fldChar w:fldCharType="begin">
          <w:fldData xml:space="preserve">RgBvAG4AdABTAGUAdABGAG8AbgB0AFMAZQB0AGkAbQBpAHMAdAB5AGwAZQBzAC4AeABtAGwA
</w:fldData>
        </w:fldChar>
      </w:r>
      <w:r w:rsidR="0090788A">
        <w:instrText xml:space="preserve"> ADDIN  \* MERGEFORMAT </w:instrText>
      </w:r>
      <w:r w:rsidR="0090788A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88A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2pt;height:12pt" o:bullet="t">
        <v:imagedata r:id="rId1" o:title="fspro_2columns"/>
      </v:shape>
    </w:pict>
  </w:numPicBullet>
  <w:numPicBullet w:numPicBulletId="1">
    <w:pict>
      <v:shape id="_x0000_i1172" type="#_x0000_t75" style="width:12pt;height:12pt" o:bullet="t">
        <v:imagedata r:id="rId2" o:title="advanced"/>
      </v:shape>
    </w:pict>
  </w:numPicBullet>
  <w:numPicBullet w:numPicBulletId="2">
    <w:pict>
      <v:shape id="_x0000_i1173" type="#_x0000_t75" style="width:12pt;height:12pt" o:bullet="t">
        <v:imagedata r:id="rId3" o:title="continue"/>
      </v:shape>
    </w:pict>
  </w:numPicBullet>
  <w:numPicBullet w:numPicBulletId="3">
    <w:pict>
      <v:shape id="_x0000_i1174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17771"/>
    <w:rsid w:val="000252C6"/>
    <w:rsid w:val="000256FB"/>
    <w:rsid w:val="00043B19"/>
    <w:rsid w:val="00051A74"/>
    <w:rsid w:val="00093228"/>
    <w:rsid w:val="000A7776"/>
    <w:rsid w:val="000F264D"/>
    <w:rsid w:val="00100433"/>
    <w:rsid w:val="0010215F"/>
    <w:rsid w:val="00106EEF"/>
    <w:rsid w:val="00123973"/>
    <w:rsid w:val="001253ED"/>
    <w:rsid w:val="00133C84"/>
    <w:rsid w:val="00141C8C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517CD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043E0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72618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62184"/>
    <w:rsid w:val="00790C00"/>
    <w:rsid w:val="007A0C5F"/>
    <w:rsid w:val="007A43D3"/>
    <w:rsid w:val="007B3AD1"/>
    <w:rsid w:val="007D5B97"/>
    <w:rsid w:val="007E5515"/>
    <w:rsid w:val="0080590C"/>
    <w:rsid w:val="008144E7"/>
    <w:rsid w:val="00822A16"/>
    <w:rsid w:val="00823D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788A"/>
    <w:rsid w:val="00916AE6"/>
    <w:rsid w:val="00922A14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777FB"/>
    <w:rsid w:val="00A8520D"/>
    <w:rsid w:val="00AC2993"/>
    <w:rsid w:val="00AD0EDC"/>
    <w:rsid w:val="00AF2CD6"/>
    <w:rsid w:val="00B0548B"/>
    <w:rsid w:val="00B30D2F"/>
    <w:rsid w:val="00B416A9"/>
    <w:rsid w:val="00B50AD7"/>
    <w:rsid w:val="00B64F2F"/>
    <w:rsid w:val="00B864D4"/>
    <w:rsid w:val="00B93A3C"/>
    <w:rsid w:val="00B96287"/>
    <w:rsid w:val="00BA46CB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5572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43DFA"/>
    <w:rsid w:val="00F5178F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purl.org/dc/terms/"/>
    <ds:schemaRef ds:uri="b438dcf7-3998-4283-b7fc-0ec6fa8e430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772480-01B0-451A-AD72-BD5E01667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19</cp:revision>
  <dcterms:created xsi:type="dcterms:W3CDTF">2014-07-25T20:08:00Z</dcterms:created>
  <dcterms:modified xsi:type="dcterms:W3CDTF">2014-09-18T14:15:00Z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