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BD1" w:rsidRDefault="00997BD1" w:rsidP="00504F80">
      <w:pPr>
        <w:pStyle w:val="Heading4"/>
        <w:tabs>
          <w:tab w:val="left" w:pos="6840"/>
        </w:tabs>
        <w:spacing w:after="0"/>
        <w:ind w:right="-720"/>
        <w:rPr>
          <w:rFonts w:ascii="Times New Roman" w:hAnsi="Times New Roman"/>
          <w:sz w:val="20"/>
        </w:rPr>
      </w:pPr>
      <w:r>
        <w:rPr>
          <w:rFonts w:ascii="Times New Roman" w:hAnsi="Times New Roman"/>
          <w:sz w:val="20"/>
        </w:rPr>
        <w:t>Department of Veterans Affairs</w:t>
      </w:r>
      <w:r>
        <w:rPr>
          <w:rFonts w:ascii="Times New Roman" w:hAnsi="Times New Roman"/>
          <w:sz w:val="20"/>
        </w:rPr>
        <w:tab/>
        <w:t>M21-1MR, Part III, Subpart i</w:t>
      </w:r>
    </w:p>
    <w:p w:rsidR="00997BD1" w:rsidRDefault="00997BD1"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t xml:space="preserve">                            October 26, 2011</w:t>
      </w:r>
    </w:p>
    <w:p w:rsidR="00997BD1" w:rsidRDefault="00997BD1" w:rsidP="00504F80">
      <w:pPr>
        <w:rPr>
          <w:b/>
          <w:bCs/>
          <w:sz w:val="20"/>
        </w:rPr>
      </w:pPr>
      <w:smartTag w:uri="urn:schemas-microsoft-com:office:smarttags" w:element="City">
        <w:smartTag w:uri="urn:schemas-microsoft-com:office:smarttags" w:element="place">
          <w:r>
            <w:rPr>
              <w:b/>
              <w:bCs/>
              <w:sz w:val="20"/>
            </w:rPr>
            <w:t>Washington</w:t>
          </w:r>
        </w:smartTag>
        <w:r>
          <w:rPr>
            <w:b/>
            <w:bCs/>
            <w:sz w:val="20"/>
          </w:rPr>
          <w:t xml:space="preserve">, </w:t>
        </w:r>
        <w:smartTag w:uri="urn:schemas-microsoft-com:office:smarttags" w:element="PlaceType">
          <w:r>
            <w:rPr>
              <w:b/>
              <w:bCs/>
              <w:sz w:val="20"/>
            </w:rPr>
            <w:t>DC</w:t>
          </w:r>
        </w:smartTag>
        <w:r>
          <w:rPr>
            <w:b/>
            <w:bCs/>
            <w:sz w:val="20"/>
          </w:rPr>
          <w:t xml:space="preserve">  </w:t>
        </w:r>
        <w:smartTag w:uri="urn:schemas-microsoft-com:office:smarttags" w:element="PlaceType">
          <w:r>
            <w:rPr>
              <w:b/>
              <w:bCs/>
              <w:sz w:val="20"/>
            </w:rPr>
            <w:t>20420</w:t>
          </w:r>
        </w:smartTag>
      </w:smartTag>
    </w:p>
    <w:p w:rsidR="00997BD1" w:rsidRDefault="00997BD1" w:rsidP="00504F80">
      <w:pPr>
        <w:rPr>
          <w:b/>
          <w:bCs/>
          <w:sz w:val="20"/>
        </w:rPr>
      </w:pPr>
    </w:p>
    <w:p w:rsidR="00997BD1" w:rsidRDefault="00997BD1" w:rsidP="00504F80">
      <w:pPr>
        <w:pStyle w:val="Heading4"/>
      </w:pPr>
      <w:r>
        <w:t xml:space="preserve">Transmittal Sheet </w:t>
      </w:r>
    </w:p>
    <w:p w:rsidR="00997BD1" w:rsidRDefault="00997BD1" w:rsidP="00504F80">
      <w:pPr>
        <w:pStyle w:val="BlockLine"/>
      </w:pPr>
      <w:r>
        <w:t xml:space="preserve"> </w:t>
      </w:r>
    </w:p>
    <w:tbl>
      <w:tblPr>
        <w:tblW w:w="9468" w:type="dxa"/>
        <w:tblLayout w:type="fixed"/>
        <w:tblLook w:val="0000"/>
      </w:tblPr>
      <w:tblGrid>
        <w:gridCol w:w="1728"/>
        <w:gridCol w:w="7740"/>
      </w:tblGrid>
      <w:tr w:rsidR="00997BD1" w:rsidRPr="00C24D50" w:rsidTr="00C24D50">
        <w:tc>
          <w:tcPr>
            <w:tcW w:w="1728" w:type="dxa"/>
          </w:tcPr>
          <w:p w:rsidR="00997BD1" w:rsidRDefault="00997BD1" w:rsidP="00237C22">
            <w:pPr>
              <w:pStyle w:val="Heading5"/>
            </w:pPr>
            <w:r>
              <w:t>Changes Included in This Revision</w:t>
            </w:r>
          </w:p>
        </w:tc>
        <w:tc>
          <w:tcPr>
            <w:tcW w:w="7740" w:type="dxa"/>
          </w:tcPr>
          <w:p w:rsidR="00317E06" w:rsidRDefault="00B1570D" w:rsidP="00237C22">
            <w:pPr>
              <w:pStyle w:val="BulletText1"/>
              <w:numPr>
                <w:ilvl w:val="0"/>
                <w:numId w:val="0"/>
              </w:numPr>
            </w:pPr>
            <w:r>
              <w:t xml:space="preserve">Significant revisions were made to </w:t>
            </w:r>
            <w:r w:rsidR="00317E06">
              <w:t xml:space="preserve">M21-1MR, Part III, </w:t>
            </w:r>
            <w:r w:rsidR="00BB3A7F">
              <w:t>“General Claims Process,” Subpart i, “Overview of Claims Processing and Structure</w:t>
            </w:r>
            <w:r w:rsidR="00F85383">
              <w:t xml:space="preserve"> of the Veterans Service Center,</w:t>
            </w:r>
            <w:r w:rsidR="00BB3A7F">
              <w:t>”</w:t>
            </w:r>
            <w:r w:rsidR="00317E06">
              <w:t xml:space="preserve"> </w:t>
            </w:r>
            <w:r w:rsidR="00BB3A7F">
              <w:t xml:space="preserve">Chapter </w:t>
            </w:r>
            <w:r w:rsidR="00317E06">
              <w:t>2</w:t>
            </w:r>
            <w:r w:rsidR="00BB3A7F">
              <w:t>,</w:t>
            </w:r>
            <w:r w:rsidR="003D3498">
              <w:t xml:space="preserve"> </w:t>
            </w:r>
            <w:r w:rsidR="009076E7">
              <w:t>s</w:t>
            </w:r>
            <w:r w:rsidR="00BB3A7F">
              <w:t>ection</w:t>
            </w:r>
            <w:r w:rsidR="009076E7">
              <w:t>s</w:t>
            </w:r>
            <w:r w:rsidR="00BB3A7F">
              <w:t xml:space="preserve"> </w:t>
            </w:r>
            <w:r w:rsidR="00317E06">
              <w:t>A</w:t>
            </w:r>
            <w:r w:rsidR="009076E7">
              <w:t xml:space="preserve"> and B</w:t>
            </w:r>
            <w:r w:rsidR="00317E06">
              <w:t xml:space="preserve"> </w:t>
            </w:r>
            <w:r w:rsidR="00BB3A7F">
              <w:t xml:space="preserve">(III.i.2.A and B) </w:t>
            </w:r>
            <w:r w:rsidR="00056EC0">
              <w:t>in order to incorporate the content of</w:t>
            </w:r>
          </w:p>
          <w:p w:rsidR="00997BD1" w:rsidRPr="000C6E72" w:rsidRDefault="00997BD1" w:rsidP="000C6E72">
            <w:pPr>
              <w:pStyle w:val="BlockText"/>
            </w:pPr>
          </w:p>
          <w:p w:rsidR="00997BD1" w:rsidRPr="000C6E72" w:rsidRDefault="00997BD1" w:rsidP="0040629B">
            <w:pPr>
              <w:pStyle w:val="BulletText1"/>
            </w:pPr>
            <w:r w:rsidRPr="000C6E72">
              <w:t>fast letters (FLs) 08-20, 08-21, 09-31, 10-29, and</w:t>
            </w:r>
          </w:p>
          <w:p w:rsidR="00997BD1" w:rsidRPr="000C6E72" w:rsidRDefault="00997BD1" w:rsidP="0040629B">
            <w:pPr>
              <w:pStyle w:val="BulletText1"/>
            </w:pPr>
            <w:r>
              <w:t xml:space="preserve">M21-1MR, Part </w:t>
            </w:r>
            <w:r w:rsidRPr="000C6E72">
              <w:t>III</w:t>
            </w:r>
            <w:r>
              <w:t xml:space="preserve">, Subpart </w:t>
            </w:r>
            <w:r w:rsidRPr="000C6E72">
              <w:t>ii</w:t>
            </w:r>
            <w:r>
              <w:t xml:space="preserve">, </w:t>
            </w:r>
            <w:r w:rsidRPr="000C6E72">
              <w:t>2.B.8.d, e, f, and g.</w:t>
            </w:r>
          </w:p>
          <w:p w:rsidR="0079251B" w:rsidRDefault="0079251B" w:rsidP="00C84C91">
            <w:pPr>
              <w:pStyle w:val="BlockText"/>
            </w:pPr>
          </w:p>
          <w:p w:rsidR="00997BD1" w:rsidRDefault="00C84C91" w:rsidP="00C84C91">
            <w:pPr>
              <w:pStyle w:val="BlockText"/>
            </w:pPr>
            <w:r>
              <w:t xml:space="preserve">Section, chapter, and topic headings </w:t>
            </w:r>
            <w:r w:rsidR="00FC334C">
              <w:t>were</w:t>
            </w:r>
            <w:r>
              <w:t xml:space="preserve"> </w:t>
            </w:r>
            <w:r w:rsidR="003D3498">
              <w:t xml:space="preserve">also </w:t>
            </w:r>
            <w:r>
              <w:t>changed</w:t>
            </w:r>
            <w:r w:rsidR="003D3498">
              <w:t>, where necessary,</w:t>
            </w:r>
            <w:r>
              <w:t xml:space="preserve"> to reflect </w:t>
            </w:r>
            <w:r w:rsidR="007C34EF">
              <w:t xml:space="preserve">the </w:t>
            </w:r>
            <w:r w:rsidR="003D3498">
              <w:t>new content</w:t>
            </w:r>
            <w:r w:rsidR="00911D51">
              <w:t>.</w:t>
            </w:r>
          </w:p>
          <w:p w:rsidR="00911D51" w:rsidRDefault="00911D51" w:rsidP="00C84C91">
            <w:pPr>
              <w:pStyle w:val="BlockText"/>
            </w:pPr>
          </w:p>
          <w:p w:rsidR="00997BD1" w:rsidRDefault="00911D51" w:rsidP="000C6E72">
            <w:pPr>
              <w:pStyle w:val="BlockText"/>
            </w:pPr>
            <w:r>
              <w:t xml:space="preserve">III.i.2.B was changed in its entirety.  </w:t>
            </w:r>
            <w:r w:rsidR="00BB3A7F">
              <w:t>The table below describes the</w:t>
            </w:r>
            <w:r w:rsidR="00FC334C">
              <w:t xml:space="preserve"> specific</w:t>
            </w:r>
            <w:r w:rsidR="00BB3A7F">
              <w:t xml:space="preserve"> changes </w:t>
            </w:r>
            <w:r>
              <w:t>made to III.i.2.A.</w:t>
            </w:r>
          </w:p>
          <w:p w:rsidR="00911D51" w:rsidRPr="00E44993" w:rsidRDefault="00911D51" w:rsidP="000C6E72">
            <w:pPr>
              <w:pStyle w:val="BlockText"/>
            </w:pPr>
          </w:p>
          <w:p w:rsidR="00997BD1" w:rsidRDefault="00997BD1" w:rsidP="00237C22">
            <w:pPr>
              <w:pStyle w:val="BulletText1"/>
              <w:numPr>
                <w:ilvl w:val="0"/>
                <w:numId w:val="0"/>
              </w:numPr>
            </w:pPr>
            <w:r>
              <w:rPr>
                <w:b/>
                <w:i/>
              </w:rPr>
              <w:t>Notes</w:t>
            </w:r>
            <w:r>
              <w:t xml:space="preserve">:  </w:t>
            </w:r>
          </w:p>
          <w:p w:rsidR="00997BD1" w:rsidRDefault="00997BD1" w:rsidP="00237C22">
            <w:pPr>
              <w:pStyle w:val="BulletText1"/>
            </w:pPr>
            <w:r>
              <w:t xml:space="preserve">M21-1MR will retain some information related to the Benefits Delivery Network (BDN) until it is no longer operational, since the Veterans Service Network (VETSNET) does not yet permit processing of all types of benefit transactions.  For information on VETSNET applications and input, consult the </w:t>
            </w:r>
            <w:hyperlink r:id="rId11" w:tooltip="http://10.220.1.10/vetsnet/User%20guide.htm" w:history="1">
              <w:r>
                <w:rPr>
                  <w:rStyle w:val="Hyperlink"/>
                </w:rPr>
                <w:t>VETSNET User Guides</w:t>
              </w:r>
            </w:hyperlink>
            <w:r>
              <w:t xml:space="preserve"> on the Compensation Service Intranet.</w:t>
            </w:r>
          </w:p>
          <w:p w:rsidR="00997BD1" w:rsidRDefault="00997BD1" w:rsidP="00237C22">
            <w:pPr>
              <w:pStyle w:val="BulletText1"/>
            </w:pPr>
            <w:r>
              <w:t xml:space="preserve">The term regional office </w:t>
            </w:r>
            <w:r w:rsidR="00744076">
              <w:t xml:space="preserve">(RO) </w:t>
            </w:r>
            <w:r>
              <w:t>also includes pension management center (PMC), where appropriate.</w:t>
            </w:r>
          </w:p>
          <w:p w:rsidR="007C34EF" w:rsidRDefault="00997BD1" w:rsidP="000C6E72">
            <w:pPr>
              <w:pStyle w:val="BulletText1"/>
            </w:pPr>
            <w:r>
              <w:t>The term Veterans Service Center Manager (VSCM) also includes Pension Management Center Manager (PMCM), where appropriate.</w:t>
            </w:r>
          </w:p>
          <w:p w:rsidR="007C34EF" w:rsidRDefault="007C34EF" w:rsidP="007C34EF">
            <w:pPr>
              <w:pStyle w:val="BulletText1"/>
            </w:pPr>
            <w:r>
              <w:t xml:space="preserve">Minor editorial changes have also been made to </w:t>
            </w:r>
          </w:p>
          <w:p w:rsidR="007C34EF" w:rsidRDefault="007C34EF" w:rsidP="007C34EF">
            <w:pPr>
              <w:pStyle w:val="BulletText2"/>
              <w:tabs>
                <w:tab w:val="num" w:pos="547"/>
              </w:tabs>
            </w:pPr>
            <w:r>
              <w:t>update incorrect or obsolete hyperlink references</w:t>
            </w:r>
          </w:p>
          <w:p w:rsidR="007C34EF" w:rsidRDefault="007C34EF" w:rsidP="007C34EF">
            <w:pPr>
              <w:pStyle w:val="BulletText2"/>
              <w:tabs>
                <w:tab w:val="num" w:pos="547"/>
              </w:tabs>
            </w:pPr>
            <w:r>
              <w:t>update the term “veteran” to “Veteran”</w:t>
            </w:r>
          </w:p>
          <w:p w:rsidR="007C34EF" w:rsidRDefault="007C34EF" w:rsidP="007C34EF">
            <w:pPr>
              <w:pStyle w:val="BulletText2"/>
              <w:tabs>
                <w:tab w:val="num" w:pos="547"/>
              </w:tabs>
            </w:pPr>
            <w:r>
              <w:t>update the term “VCAA notice” to “section 5103 notice”</w:t>
            </w:r>
          </w:p>
          <w:p w:rsidR="007C34EF" w:rsidRDefault="007C34EF" w:rsidP="007C34EF">
            <w:pPr>
              <w:pStyle w:val="BulletText2"/>
              <w:tabs>
                <w:tab w:val="num" w:pos="547"/>
              </w:tabs>
            </w:pPr>
            <w:r>
              <w:t>update obsolete terminology, where appropriate</w:t>
            </w:r>
          </w:p>
          <w:p w:rsidR="007C34EF" w:rsidRDefault="007C34EF" w:rsidP="007C34EF">
            <w:pPr>
              <w:pStyle w:val="BulletText2"/>
              <w:tabs>
                <w:tab w:val="num" w:pos="547"/>
              </w:tabs>
            </w:pPr>
            <w:r>
              <w:t xml:space="preserve">clarify block labels and/or block text, and </w:t>
            </w:r>
          </w:p>
          <w:p w:rsidR="007C34EF" w:rsidRDefault="007C34EF" w:rsidP="007C34EF">
            <w:pPr>
              <w:pStyle w:val="BulletText2"/>
            </w:pPr>
            <w:r>
              <w:t>bring the documents into conformance with M21-1MR standards.</w:t>
            </w:r>
          </w:p>
          <w:p w:rsidR="00997BD1" w:rsidRPr="00EA3A57" w:rsidRDefault="007C34EF" w:rsidP="00744076">
            <w:pPr>
              <w:pStyle w:val="BulletText1"/>
            </w:pPr>
            <w:r w:rsidRPr="000C6E72">
              <w:t xml:space="preserve">The responsibilities of intake sites, </w:t>
            </w:r>
            <w:r w:rsidR="00744076">
              <w:t>ROs</w:t>
            </w:r>
            <w:r w:rsidRPr="000C6E72">
              <w:t>, and Integrated Disability Evaluation System (IDES) rating activity sites, in handling IDES claims, is not included in th</w:t>
            </w:r>
            <w:r>
              <w:t>is</w:t>
            </w:r>
            <w:r w:rsidRPr="000C6E72">
              <w:t xml:space="preserve"> change.  Compensation Service’s Procedures Staff will add this information to the appropriate chapter of this </w:t>
            </w:r>
            <w:r>
              <w:t>S</w:t>
            </w:r>
            <w:r w:rsidRPr="000C6E72">
              <w:t>ubpart</w:t>
            </w:r>
            <w:r>
              <w:t xml:space="preserve"> upon release of</w:t>
            </w:r>
            <w:r w:rsidRPr="000C6E72">
              <w:t xml:space="preserve"> an FL announcing the nationwide rollout of this pre-discharge program.</w:t>
            </w:r>
          </w:p>
        </w:tc>
      </w:tr>
    </w:tbl>
    <w:p w:rsidR="007C34EF" w:rsidRDefault="007C34EF" w:rsidP="007C34EF">
      <w:pPr>
        <w:pStyle w:val="ContinuedOnNextPa"/>
      </w:pPr>
      <w:r>
        <w:t>Continued on next page</w:t>
      </w:r>
    </w:p>
    <w:p w:rsidR="007C34EF" w:rsidRDefault="007C34EF" w:rsidP="007C34EF">
      <w:pPr>
        <w:pStyle w:val="MapTitleContinued"/>
        <w:rPr>
          <w:b w:val="0"/>
          <w:sz w:val="24"/>
        </w:rPr>
      </w:pPr>
      <w:r w:rsidRPr="007C34EF">
        <w:br w:type="page"/>
      </w:r>
      <w:fldSimple w:instr=" STYLEREF &quot;Map Title&quot; ">
        <w:r w:rsidRPr="007C34EF">
          <w:rPr>
            <w:noProof/>
          </w:rPr>
          <w:t>Transmittal Sheet</w:t>
        </w:r>
      </w:fldSimple>
      <w:r w:rsidRPr="007C34EF">
        <w:t xml:space="preserve">, </w:t>
      </w:r>
      <w:r w:rsidRPr="007C34EF">
        <w:rPr>
          <w:b w:val="0"/>
          <w:sz w:val="24"/>
        </w:rPr>
        <w:t>Continued</w:t>
      </w:r>
    </w:p>
    <w:p w:rsidR="007C34EF" w:rsidRPr="007C34EF" w:rsidRDefault="007C34EF" w:rsidP="007C34EF">
      <w:pPr>
        <w:pStyle w:val="BlockLine"/>
      </w:pPr>
    </w:p>
    <w:tbl>
      <w:tblPr>
        <w:tblW w:w="0" w:type="auto"/>
        <w:tblLayout w:type="fixed"/>
        <w:tblLook w:val="0000"/>
      </w:tblPr>
      <w:tblGrid>
        <w:gridCol w:w="1728"/>
        <w:gridCol w:w="7740"/>
      </w:tblGrid>
      <w:tr w:rsidR="007C34EF" w:rsidRPr="007C34EF" w:rsidTr="007C34EF">
        <w:tc>
          <w:tcPr>
            <w:tcW w:w="1728" w:type="dxa"/>
            <w:shd w:val="clear" w:color="auto" w:fill="auto"/>
          </w:tcPr>
          <w:p w:rsidR="007C34EF" w:rsidRPr="007C34EF" w:rsidRDefault="00EE5B25" w:rsidP="007C34EF">
            <w:pPr>
              <w:pStyle w:val="ContinuedBlockLabel"/>
            </w:pPr>
            <w:fldSimple w:instr=" STYLEREF &quot;Block Label&quot; ">
              <w:r w:rsidR="007C34EF">
                <w:rPr>
                  <w:noProof/>
                </w:rPr>
                <w:t>Changes Included in This Revision</w:t>
              </w:r>
            </w:fldSimple>
            <w:r w:rsidR="007C34EF">
              <w:t xml:space="preserve"> </w:t>
            </w:r>
            <w:r w:rsidR="007C34EF" w:rsidRPr="007C34EF">
              <w:rPr>
                <w:b w:val="0"/>
              </w:rPr>
              <w:t>(continued)</w:t>
            </w:r>
          </w:p>
        </w:tc>
        <w:tc>
          <w:tcPr>
            <w:tcW w:w="7740" w:type="dxa"/>
            <w:shd w:val="clear" w:color="auto" w:fill="auto"/>
          </w:tcPr>
          <w:p w:rsidR="007C34EF" w:rsidRPr="007C34EF" w:rsidRDefault="007C34EF" w:rsidP="007C34EF">
            <w:pPr>
              <w:pStyle w:val="BlockText"/>
            </w:pPr>
            <w:r w:rsidRPr="000C6E72">
              <w:t xml:space="preserve">Claims received after a BDD </w:t>
            </w:r>
            <w:r w:rsidR="00FC334C">
              <w:t>rating activity site (</w:t>
            </w:r>
            <w:r w:rsidRPr="000C6E72">
              <w:t>RAS</w:t>
            </w:r>
            <w:r w:rsidR="00FC334C">
              <w:t>)</w:t>
            </w:r>
            <w:r w:rsidRPr="000C6E72">
              <w:t xml:space="preserve"> processes a pre-discharge claim in a paperless environment are </w:t>
            </w:r>
            <w:r w:rsidRPr="000C6E72">
              <w:rPr>
                <w:i/>
              </w:rPr>
              <w:t>not</w:t>
            </w:r>
            <w:r w:rsidRPr="000C6E72">
              <w:t xml:space="preserve"> considered pre-discharge claims.  Accordingly, the instructions for handling such claims are not included in </w:t>
            </w:r>
            <w:r>
              <w:t>this change</w:t>
            </w:r>
            <w:r w:rsidRPr="000C6E72">
              <w:t>.  Compensation Service’s Procedures Staff will add this information, which is currently contained in FL 08-21, to the appropriate location within M21-1MR in a subsequent change.</w:t>
            </w:r>
          </w:p>
        </w:tc>
      </w:tr>
    </w:tbl>
    <w:p w:rsidR="00997BD1" w:rsidRPr="007C34EF" w:rsidRDefault="00997BD1" w:rsidP="007C34EF"/>
    <w:tbl>
      <w:tblPr>
        <w:tblW w:w="95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723"/>
        <w:gridCol w:w="2699"/>
        <w:gridCol w:w="1082"/>
      </w:tblGrid>
      <w:tr w:rsidR="00997BD1" w:rsidTr="00C24D50">
        <w:trPr>
          <w:trHeight w:val="180"/>
        </w:trPr>
        <w:tc>
          <w:tcPr>
            <w:tcW w:w="3011" w:type="pct"/>
          </w:tcPr>
          <w:p w:rsidR="00997BD1" w:rsidRPr="00C24D50" w:rsidRDefault="00997BD1" w:rsidP="002F7397">
            <w:pPr>
              <w:pStyle w:val="TableHeaderText"/>
            </w:pPr>
            <w:r w:rsidRPr="00C24D50">
              <w:t>Reason(s) for the Change</w:t>
            </w:r>
          </w:p>
        </w:tc>
        <w:tc>
          <w:tcPr>
            <w:tcW w:w="1420" w:type="pct"/>
          </w:tcPr>
          <w:p w:rsidR="00997BD1" w:rsidRPr="00C24D50" w:rsidRDefault="00997BD1" w:rsidP="002F7397">
            <w:pPr>
              <w:pStyle w:val="TableHeaderText"/>
            </w:pPr>
            <w:r w:rsidRPr="00C24D50">
              <w:t>Citation</w:t>
            </w:r>
          </w:p>
        </w:tc>
        <w:tc>
          <w:tcPr>
            <w:tcW w:w="569" w:type="pct"/>
          </w:tcPr>
          <w:p w:rsidR="00997BD1" w:rsidRDefault="00997BD1" w:rsidP="002F7397">
            <w:pPr>
              <w:pStyle w:val="TableHeaderText"/>
            </w:pPr>
            <w:r>
              <w:t>Page(s)</w:t>
            </w:r>
          </w:p>
        </w:tc>
      </w:tr>
      <w:tr w:rsidR="00997BD1" w:rsidTr="00C24D50">
        <w:trPr>
          <w:trHeight w:val="180"/>
        </w:trPr>
        <w:tc>
          <w:tcPr>
            <w:tcW w:w="3011" w:type="pct"/>
          </w:tcPr>
          <w:p w:rsidR="00997BD1" w:rsidRDefault="00997BD1" w:rsidP="00397D03">
            <w:pPr>
              <w:pStyle w:val="BulletText1"/>
            </w:pPr>
            <w:r>
              <w:t>Consolidated the first and second topics within Section A</w:t>
            </w:r>
            <w:r w:rsidR="00911D51">
              <w:t>.</w:t>
            </w:r>
          </w:p>
          <w:p w:rsidR="00997BD1" w:rsidRDefault="00997BD1" w:rsidP="00AE39E3">
            <w:pPr>
              <w:pStyle w:val="BulletText1"/>
            </w:pPr>
            <w:r>
              <w:t>Replaced “OEF/OIF” (Operation Enduring Freedom/Operation Iraqi Freedom) with “GWOT” (Global War on Terror)</w:t>
            </w:r>
            <w:r w:rsidR="00911D51">
              <w:t>.</w:t>
            </w:r>
          </w:p>
          <w:p w:rsidR="00997BD1" w:rsidRPr="00C24D50" w:rsidRDefault="00997BD1" w:rsidP="00FD2117">
            <w:pPr>
              <w:pStyle w:val="BulletText1"/>
            </w:pPr>
            <w:r>
              <w:t>Replaced “non-BDD” with “Quick Start,” wherever appropriate.</w:t>
            </w:r>
          </w:p>
        </w:tc>
        <w:tc>
          <w:tcPr>
            <w:tcW w:w="1420" w:type="pct"/>
          </w:tcPr>
          <w:p w:rsidR="00997BD1" w:rsidRPr="00C24D50" w:rsidRDefault="00997BD1" w:rsidP="002F7397">
            <w:pPr>
              <w:pStyle w:val="TableText"/>
            </w:pPr>
            <w:r>
              <w:t>III.i.2.A</w:t>
            </w:r>
            <w:r w:rsidR="001D6C13">
              <w:t>.1 and 2</w:t>
            </w:r>
          </w:p>
        </w:tc>
        <w:tc>
          <w:tcPr>
            <w:tcW w:w="569" w:type="pct"/>
          </w:tcPr>
          <w:p w:rsidR="00997BD1" w:rsidRDefault="00997BD1" w:rsidP="002F7397">
            <w:pPr>
              <w:pStyle w:val="TableText"/>
            </w:pPr>
            <w:r>
              <w:t>2-A-1 through 2-A-7</w:t>
            </w:r>
          </w:p>
        </w:tc>
      </w:tr>
      <w:tr w:rsidR="00997BD1" w:rsidTr="004F4774">
        <w:tc>
          <w:tcPr>
            <w:tcW w:w="3011" w:type="pct"/>
          </w:tcPr>
          <w:p w:rsidR="00997BD1" w:rsidRDefault="00997BD1" w:rsidP="00E619DD">
            <w:pPr>
              <w:pStyle w:val="TableText"/>
            </w:pPr>
            <w:r>
              <w:t xml:space="preserve">Removed erroneous sentences regarding BDD claims. </w:t>
            </w:r>
          </w:p>
        </w:tc>
        <w:tc>
          <w:tcPr>
            <w:tcW w:w="1420" w:type="pct"/>
          </w:tcPr>
          <w:p w:rsidR="00997BD1" w:rsidRDefault="00997BD1" w:rsidP="00807EAA">
            <w:pPr>
              <w:pStyle w:val="TableText"/>
            </w:pPr>
            <w:r w:rsidRPr="002D46A4">
              <w:t>III.i.2.A.1.a</w:t>
            </w:r>
          </w:p>
        </w:tc>
        <w:tc>
          <w:tcPr>
            <w:tcW w:w="569" w:type="pct"/>
          </w:tcPr>
          <w:p w:rsidR="00997BD1" w:rsidRDefault="00997BD1" w:rsidP="00807EAA">
            <w:pPr>
              <w:pStyle w:val="BulletText1"/>
              <w:numPr>
                <w:ilvl w:val="0"/>
                <w:numId w:val="0"/>
              </w:numPr>
            </w:pPr>
            <w:r>
              <w:t>2-A-2</w:t>
            </w:r>
          </w:p>
        </w:tc>
      </w:tr>
      <w:tr w:rsidR="00997BD1" w:rsidTr="004F4774">
        <w:tc>
          <w:tcPr>
            <w:tcW w:w="3011" w:type="pct"/>
          </w:tcPr>
          <w:p w:rsidR="00997BD1" w:rsidRDefault="00997BD1" w:rsidP="00FD2117">
            <w:pPr>
              <w:pStyle w:val="TableText"/>
            </w:pPr>
            <w:r>
              <w:t>Reworded to be consistent with FLs 08-20 and 09-31.</w:t>
            </w:r>
          </w:p>
        </w:tc>
        <w:tc>
          <w:tcPr>
            <w:tcW w:w="1420" w:type="pct"/>
          </w:tcPr>
          <w:p w:rsidR="00997BD1" w:rsidRDefault="00997BD1" w:rsidP="00807EAA">
            <w:pPr>
              <w:pStyle w:val="TableText"/>
            </w:pPr>
            <w:r>
              <w:t>III.i.2.A.1.b</w:t>
            </w:r>
          </w:p>
        </w:tc>
        <w:tc>
          <w:tcPr>
            <w:tcW w:w="569" w:type="pct"/>
          </w:tcPr>
          <w:p w:rsidR="00997BD1" w:rsidRDefault="00997BD1" w:rsidP="00807EAA">
            <w:pPr>
              <w:pStyle w:val="BulletText1"/>
              <w:numPr>
                <w:ilvl w:val="0"/>
                <w:numId w:val="0"/>
              </w:numPr>
            </w:pPr>
            <w:r>
              <w:t>2-A-2</w:t>
            </w:r>
          </w:p>
        </w:tc>
      </w:tr>
      <w:tr w:rsidR="00997BD1" w:rsidTr="004F4774">
        <w:tc>
          <w:tcPr>
            <w:tcW w:w="3011" w:type="pct"/>
          </w:tcPr>
          <w:p w:rsidR="00997BD1" w:rsidRPr="00DC78F4" w:rsidRDefault="00997BD1" w:rsidP="007154FA">
            <w:pPr>
              <w:pStyle w:val="TableText"/>
            </w:pPr>
            <w:r>
              <w:t>Added a block that provides the basic criteria for filing a pre-discharge claim, as set forth in FLs 08-20 and 09-31.</w:t>
            </w:r>
          </w:p>
        </w:tc>
        <w:tc>
          <w:tcPr>
            <w:tcW w:w="1420" w:type="pct"/>
          </w:tcPr>
          <w:p w:rsidR="00997BD1" w:rsidRDefault="00997BD1" w:rsidP="00807EAA">
            <w:pPr>
              <w:pStyle w:val="TableText"/>
            </w:pPr>
            <w:r>
              <w:t>III.i.2.A.1.c</w:t>
            </w:r>
          </w:p>
        </w:tc>
        <w:tc>
          <w:tcPr>
            <w:tcW w:w="569" w:type="pct"/>
          </w:tcPr>
          <w:p w:rsidR="00997BD1" w:rsidRDefault="00997BD1" w:rsidP="00807EAA">
            <w:pPr>
              <w:pStyle w:val="BulletText1"/>
              <w:numPr>
                <w:ilvl w:val="0"/>
                <w:numId w:val="0"/>
              </w:numPr>
            </w:pPr>
            <w:r>
              <w:t>2-A-3</w:t>
            </w:r>
          </w:p>
        </w:tc>
      </w:tr>
      <w:tr w:rsidR="00997BD1" w:rsidTr="004F4774">
        <w:tc>
          <w:tcPr>
            <w:tcW w:w="3011" w:type="pct"/>
          </w:tcPr>
          <w:p w:rsidR="00997BD1" w:rsidRDefault="00997BD1" w:rsidP="00941453">
            <w:pPr>
              <w:pStyle w:val="BulletText1"/>
            </w:pPr>
            <w:r>
              <w:t>Reworded to align with current procedures for processing BDD and Quick Start claims, including RASs and consolidated processing sites (CPSs).</w:t>
            </w:r>
          </w:p>
          <w:p w:rsidR="00997BD1" w:rsidRPr="007A1D0A" w:rsidRDefault="00997BD1" w:rsidP="00586ED4">
            <w:pPr>
              <w:pStyle w:val="BulletText1"/>
            </w:pPr>
            <w:r>
              <w:t xml:space="preserve">Updated text in accordance with </w:t>
            </w:r>
            <w:r w:rsidRPr="00C35EB2">
              <w:t>FL 08-20</w:t>
            </w:r>
            <w:r>
              <w:t>.</w:t>
            </w:r>
          </w:p>
        </w:tc>
        <w:tc>
          <w:tcPr>
            <w:tcW w:w="1420" w:type="pct"/>
          </w:tcPr>
          <w:p w:rsidR="00997BD1" w:rsidRDefault="00997BD1" w:rsidP="002624D7">
            <w:pPr>
              <w:pStyle w:val="TableText"/>
            </w:pPr>
            <w:r>
              <w:t>III.i.2.A.1.d</w:t>
            </w:r>
          </w:p>
        </w:tc>
        <w:tc>
          <w:tcPr>
            <w:tcW w:w="569" w:type="pct"/>
          </w:tcPr>
          <w:p w:rsidR="00997BD1" w:rsidRDefault="00997BD1" w:rsidP="00DD6B1B">
            <w:pPr>
              <w:pStyle w:val="BulletText1"/>
              <w:numPr>
                <w:ilvl w:val="0"/>
                <w:numId w:val="0"/>
              </w:numPr>
            </w:pPr>
            <w:r w:rsidRPr="007111F2">
              <w:t>2-A-</w:t>
            </w:r>
            <w:r w:rsidR="00B06DE6">
              <w:t>4</w:t>
            </w:r>
          </w:p>
        </w:tc>
      </w:tr>
      <w:tr w:rsidR="00997BD1" w:rsidTr="004F4774">
        <w:tc>
          <w:tcPr>
            <w:tcW w:w="3011" w:type="pct"/>
          </w:tcPr>
          <w:p w:rsidR="00997BD1" w:rsidRDefault="00997BD1" w:rsidP="00807EAA">
            <w:pPr>
              <w:pStyle w:val="BulletText1"/>
            </w:pPr>
            <w:r>
              <w:t xml:space="preserve">Clarified that the </w:t>
            </w:r>
            <w:r w:rsidR="00744076">
              <w:t>RO</w:t>
            </w:r>
            <w:r>
              <w:t xml:space="preserve"> of jurisdiction is responsible for processing pre-discharge claims that BDD RASs and Quick Start CPSs do </w:t>
            </w:r>
            <w:r w:rsidRPr="008A41D3">
              <w:rPr>
                <w:i/>
              </w:rPr>
              <w:t>not</w:t>
            </w:r>
            <w:r>
              <w:t xml:space="preserve"> process.</w:t>
            </w:r>
          </w:p>
          <w:p w:rsidR="00997BD1" w:rsidRDefault="00997BD1" w:rsidP="00807EAA">
            <w:pPr>
              <w:pStyle w:val="BulletText1"/>
            </w:pPr>
            <w:r>
              <w:t>Deleted statement that BDD RASs and Quick Start CPSs do not process “</w:t>
            </w:r>
            <w:r w:rsidRPr="00136F3E">
              <w:t xml:space="preserve">claims with pending separations involving MEB </w:t>
            </w:r>
            <w:r>
              <w:t xml:space="preserve">[Medical Evaluation Board] </w:t>
            </w:r>
            <w:r w:rsidRPr="00136F3E">
              <w:t xml:space="preserve">or PEB </w:t>
            </w:r>
            <w:r>
              <w:t xml:space="preserve">[Physical Evaluation Board] </w:t>
            </w:r>
            <w:r w:rsidRPr="00136F3E">
              <w:t>proceedings</w:t>
            </w:r>
            <w:r>
              <w:t>.”</w:t>
            </w:r>
          </w:p>
          <w:p w:rsidR="00997BD1" w:rsidRDefault="00997BD1" w:rsidP="00807EAA">
            <w:pPr>
              <w:pStyle w:val="BulletText1"/>
            </w:pPr>
            <w:r>
              <w:t xml:space="preserve">Added note from FLs 08-20 and 09-31 that warns intake sites against automatically excluding from the BDD and Quick Start programs claims for service connection for </w:t>
            </w:r>
          </w:p>
          <w:p w:rsidR="00997BD1" w:rsidRDefault="00997BD1" w:rsidP="00B92222">
            <w:pPr>
              <w:pStyle w:val="BulletText2"/>
            </w:pPr>
            <w:r>
              <w:t>post-traumatic stress disorder, and</w:t>
            </w:r>
          </w:p>
          <w:p w:rsidR="00997BD1" w:rsidRDefault="00997BD1" w:rsidP="00B92222">
            <w:pPr>
              <w:pStyle w:val="BulletText2"/>
            </w:pPr>
            <w:r>
              <w:t>disabilities resulting from exposure to radiation.</w:t>
            </w:r>
          </w:p>
          <w:p w:rsidR="00997BD1" w:rsidRDefault="00997BD1" w:rsidP="00BB3433">
            <w:pPr>
              <w:pStyle w:val="BulletText1"/>
            </w:pPr>
            <w:r>
              <w:t>Incorporated the content of (old) III.i.2.A.1.d.</w:t>
            </w:r>
          </w:p>
          <w:p w:rsidR="00997BD1" w:rsidRDefault="00997BD1" w:rsidP="000A18F9">
            <w:pPr>
              <w:pStyle w:val="BulletText1"/>
            </w:pPr>
            <w:r>
              <w:t>Added claims for which no service treatment records exist, as of the date of discharge, as a type of pre-discharge claim that requires prolonged development.</w:t>
            </w:r>
          </w:p>
        </w:tc>
        <w:tc>
          <w:tcPr>
            <w:tcW w:w="1420" w:type="pct"/>
          </w:tcPr>
          <w:p w:rsidR="00997BD1" w:rsidRDefault="00997BD1" w:rsidP="00807EAA">
            <w:pPr>
              <w:pStyle w:val="TableText"/>
            </w:pPr>
            <w:r>
              <w:t>III.i.2.A.1.e</w:t>
            </w:r>
          </w:p>
        </w:tc>
        <w:tc>
          <w:tcPr>
            <w:tcW w:w="569" w:type="pct"/>
          </w:tcPr>
          <w:p w:rsidR="00997BD1" w:rsidRDefault="00997BD1" w:rsidP="00807EAA">
            <w:pPr>
              <w:pStyle w:val="BulletText1"/>
              <w:numPr>
                <w:ilvl w:val="0"/>
                <w:numId w:val="0"/>
              </w:numPr>
            </w:pPr>
            <w:r w:rsidRPr="007D2FE0">
              <w:t>2-A-</w:t>
            </w:r>
            <w:r w:rsidR="00DD6B1B" w:rsidRPr="007D2FE0">
              <w:t>5</w:t>
            </w:r>
          </w:p>
        </w:tc>
      </w:tr>
    </w:tbl>
    <w:p w:rsidR="007D2FE0" w:rsidRDefault="007D2FE0" w:rsidP="007D2FE0">
      <w:pPr>
        <w:pStyle w:val="ContinuedOnNextPa"/>
      </w:pPr>
      <w:r>
        <w:t>Continued on next page</w:t>
      </w:r>
    </w:p>
    <w:p w:rsidR="007D2FE0" w:rsidRDefault="007D2FE0" w:rsidP="007D2FE0">
      <w:pPr>
        <w:pStyle w:val="MapTitleContinued"/>
        <w:rPr>
          <w:b w:val="0"/>
          <w:sz w:val="24"/>
        </w:rPr>
      </w:pPr>
      <w:r w:rsidRPr="007D2FE0">
        <w:br w:type="page"/>
      </w:r>
      <w:fldSimple w:instr=" STYLEREF &quot;Map Title&quot; ">
        <w:r w:rsidRPr="007D2FE0">
          <w:rPr>
            <w:noProof/>
          </w:rPr>
          <w:t>Transmittal Sheet</w:t>
        </w:r>
      </w:fldSimple>
      <w:r w:rsidRPr="007D2FE0">
        <w:t xml:space="preserve">, </w:t>
      </w:r>
      <w:r w:rsidRPr="007D2FE0">
        <w:rPr>
          <w:b w:val="0"/>
          <w:sz w:val="24"/>
        </w:rPr>
        <w:t>Continued</w:t>
      </w:r>
    </w:p>
    <w:p w:rsidR="007D2FE0" w:rsidRDefault="007D2FE0" w:rsidP="007D2FE0">
      <w:pPr>
        <w:pStyle w:val="BlockLine"/>
      </w:pPr>
      <w:r>
        <w:t xml:space="preserve"> </w:t>
      </w:r>
    </w:p>
    <w:tbl>
      <w:tblPr>
        <w:tblW w:w="9320" w:type="dxa"/>
        <w:tblInd w:w="144" w:type="dxa"/>
        <w:tblLayout w:type="fixed"/>
        <w:tblLook w:val="0000"/>
      </w:tblPr>
      <w:tblGrid>
        <w:gridCol w:w="9320"/>
      </w:tblGrid>
      <w:tr w:rsidR="007D2FE0" w:rsidTr="007D2FE0">
        <w:tc>
          <w:tcPr>
            <w:tcW w:w="5000" w:type="pct"/>
            <w:shd w:val="clear" w:color="auto" w:fill="auto"/>
          </w:tcPr>
          <w:p w:rsidR="007D2FE0" w:rsidRDefault="00EE5B25" w:rsidP="007D2FE0">
            <w:pPr>
              <w:pStyle w:val="ContinuedTableLabe"/>
            </w:pPr>
            <w:fldSimple w:instr=" STYLEREF &quot;Block Label&quot; ">
              <w:r w:rsidR="007D2FE0">
                <w:rPr>
                  <w:noProof/>
                </w:rPr>
                <w:t>Changes Included in This Revision</w:t>
              </w:r>
            </w:fldSimple>
            <w:r w:rsidR="007D2FE0">
              <w:t xml:space="preserve"> </w:t>
            </w:r>
            <w:r w:rsidR="007D2FE0" w:rsidRPr="007D2FE0">
              <w:rPr>
                <w:b w:val="0"/>
              </w:rPr>
              <w:t>(continued)</w:t>
            </w:r>
          </w:p>
        </w:tc>
      </w:tr>
    </w:tbl>
    <w:p w:rsidR="007D2FE0" w:rsidRPr="007D2FE0" w:rsidRDefault="007D2FE0" w:rsidP="007D2FE0"/>
    <w:tbl>
      <w:tblPr>
        <w:tblW w:w="95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723"/>
        <w:gridCol w:w="2699"/>
        <w:gridCol w:w="1082"/>
      </w:tblGrid>
      <w:tr w:rsidR="007D2FE0" w:rsidTr="007D2FE0">
        <w:tc>
          <w:tcPr>
            <w:tcW w:w="3011" w:type="pct"/>
          </w:tcPr>
          <w:p w:rsidR="007D2FE0" w:rsidRPr="00C24D50" w:rsidRDefault="007D2FE0" w:rsidP="00FD3934">
            <w:pPr>
              <w:pStyle w:val="TableHeaderText"/>
            </w:pPr>
            <w:r w:rsidRPr="00C24D50">
              <w:t>Reason(s) for the Change</w:t>
            </w:r>
          </w:p>
        </w:tc>
        <w:tc>
          <w:tcPr>
            <w:tcW w:w="1420" w:type="pct"/>
          </w:tcPr>
          <w:p w:rsidR="007D2FE0" w:rsidRPr="00C24D50" w:rsidRDefault="007D2FE0" w:rsidP="00FD3934">
            <w:pPr>
              <w:pStyle w:val="TableHeaderText"/>
            </w:pPr>
            <w:r w:rsidRPr="00C24D50">
              <w:t>Citation</w:t>
            </w:r>
          </w:p>
        </w:tc>
        <w:tc>
          <w:tcPr>
            <w:tcW w:w="569" w:type="pct"/>
          </w:tcPr>
          <w:p w:rsidR="007D2FE0" w:rsidRDefault="007D2FE0" w:rsidP="00FD3934">
            <w:pPr>
              <w:pStyle w:val="TableHeaderText"/>
            </w:pPr>
            <w:r>
              <w:t>Page(s)</w:t>
            </w:r>
          </w:p>
        </w:tc>
      </w:tr>
      <w:tr w:rsidR="00997BD1" w:rsidTr="004F4774">
        <w:tc>
          <w:tcPr>
            <w:tcW w:w="3011" w:type="pct"/>
          </w:tcPr>
          <w:p w:rsidR="00997BD1" w:rsidRDefault="00997BD1" w:rsidP="007A1F4C">
            <w:pPr>
              <w:pStyle w:val="BulletText1"/>
            </w:pPr>
            <w:r>
              <w:t>Added additional detail to the instructions for establishing future dates of claim.</w:t>
            </w:r>
          </w:p>
          <w:p w:rsidR="00997BD1" w:rsidRDefault="00997BD1" w:rsidP="00D15547">
            <w:pPr>
              <w:pStyle w:val="BulletText1"/>
            </w:pPr>
            <w:r>
              <w:t>Added information regarding claim labels and corporate flashes for pre-discharge claims.</w:t>
            </w:r>
          </w:p>
        </w:tc>
        <w:tc>
          <w:tcPr>
            <w:tcW w:w="1420" w:type="pct"/>
          </w:tcPr>
          <w:p w:rsidR="00997BD1" w:rsidRDefault="00997BD1" w:rsidP="00807EAA">
            <w:pPr>
              <w:pStyle w:val="TableText"/>
            </w:pPr>
            <w:r>
              <w:t>III.i.2.A.2.a</w:t>
            </w:r>
          </w:p>
        </w:tc>
        <w:tc>
          <w:tcPr>
            <w:tcW w:w="569" w:type="pct"/>
          </w:tcPr>
          <w:p w:rsidR="00997BD1" w:rsidRDefault="00997BD1" w:rsidP="00807EAA">
            <w:pPr>
              <w:pStyle w:val="BulletText1"/>
              <w:numPr>
                <w:ilvl w:val="0"/>
                <w:numId w:val="0"/>
              </w:numPr>
            </w:pPr>
            <w:r>
              <w:t>2-A-6</w:t>
            </w:r>
          </w:p>
        </w:tc>
      </w:tr>
      <w:tr w:rsidR="00997BD1" w:rsidTr="004F4774">
        <w:tc>
          <w:tcPr>
            <w:tcW w:w="3011" w:type="pct"/>
          </w:tcPr>
          <w:p w:rsidR="00997BD1" w:rsidRDefault="00997BD1" w:rsidP="00D15547">
            <w:pPr>
              <w:pStyle w:val="TableText"/>
            </w:pPr>
            <w:r>
              <w:t xml:space="preserve">Modified the table that shows the proper </w:t>
            </w:r>
            <w:r w:rsidR="00D15547">
              <w:t>end products (</w:t>
            </w:r>
            <w:r>
              <w:t>EPs</w:t>
            </w:r>
            <w:r w:rsidR="00D15547">
              <w:t>)</w:t>
            </w:r>
            <w:r>
              <w:t xml:space="preserve"> for controlling pre-discharge claims</w:t>
            </w:r>
            <w:r w:rsidR="00D15547">
              <w:t>.</w:t>
            </w:r>
          </w:p>
        </w:tc>
        <w:tc>
          <w:tcPr>
            <w:tcW w:w="1420" w:type="pct"/>
          </w:tcPr>
          <w:p w:rsidR="00997BD1" w:rsidRDefault="00997BD1" w:rsidP="002624D7">
            <w:pPr>
              <w:pStyle w:val="TableText"/>
            </w:pPr>
            <w:r>
              <w:t>III.i.2.A.2.b</w:t>
            </w:r>
          </w:p>
        </w:tc>
        <w:tc>
          <w:tcPr>
            <w:tcW w:w="569" w:type="pct"/>
          </w:tcPr>
          <w:p w:rsidR="00997BD1" w:rsidRDefault="00997BD1" w:rsidP="00237C22">
            <w:pPr>
              <w:pStyle w:val="BulletText1"/>
              <w:numPr>
                <w:ilvl w:val="0"/>
                <w:numId w:val="0"/>
              </w:numPr>
            </w:pPr>
            <w:r>
              <w:t>2-A-7</w:t>
            </w:r>
          </w:p>
        </w:tc>
      </w:tr>
      <w:tr w:rsidR="00997BD1" w:rsidTr="004F4774">
        <w:tc>
          <w:tcPr>
            <w:tcW w:w="3011" w:type="pct"/>
          </w:tcPr>
          <w:p w:rsidR="00997BD1" w:rsidRDefault="00997BD1" w:rsidP="005720F5">
            <w:pPr>
              <w:pStyle w:val="TableText"/>
            </w:pPr>
            <w:r>
              <w:t xml:space="preserve">Clarified that the date of claim for all </w:t>
            </w:r>
            <w:r w:rsidRPr="00A13B6B">
              <w:rPr>
                <w:i/>
              </w:rPr>
              <w:t>pre-discharge claims</w:t>
            </w:r>
            <w:r>
              <w:t xml:space="preserve"> </w:t>
            </w:r>
            <w:r w:rsidRPr="00A13B6B">
              <w:t>is the day following the anticipated date of separation from active duty, regardless of the date VA receives the claim</w:t>
            </w:r>
            <w:r>
              <w:t>.</w:t>
            </w:r>
          </w:p>
        </w:tc>
        <w:tc>
          <w:tcPr>
            <w:tcW w:w="1420" w:type="pct"/>
          </w:tcPr>
          <w:p w:rsidR="00997BD1" w:rsidRDefault="00997BD1" w:rsidP="002624D7">
            <w:pPr>
              <w:pStyle w:val="TableText"/>
            </w:pPr>
            <w:r>
              <w:t>III.i.2.A.2.c</w:t>
            </w:r>
          </w:p>
        </w:tc>
        <w:tc>
          <w:tcPr>
            <w:tcW w:w="569" w:type="pct"/>
          </w:tcPr>
          <w:p w:rsidR="00997BD1" w:rsidRDefault="00997BD1" w:rsidP="00237C22">
            <w:pPr>
              <w:pStyle w:val="BulletText1"/>
              <w:numPr>
                <w:ilvl w:val="0"/>
                <w:numId w:val="0"/>
              </w:numPr>
            </w:pPr>
            <w:r>
              <w:t>2-A-7</w:t>
            </w:r>
          </w:p>
        </w:tc>
      </w:tr>
      <w:tr w:rsidR="00D15547" w:rsidTr="004F4774">
        <w:tc>
          <w:tcPr>
            <w:tcW w:w="3011" w:type="pct"/>
          </w:tcPr>
          <w:p w:rsidR="00D15547" w:rsidRDefault="00D15547" w:rsidP="00744076">
            <w:pPr>
              <w:pStyle w:val="TableText"/>
            </w:pPr>
            <w:r>
              <w:t xml:space="preserve">Added a new topic (in order to retain the </w:t>
            </w:r>
            <w:r w:rsidR="00840479">
              <w:t xml:space="preserve">numbering convention in Section A) that discusses the </w:t>
            </w:r>
            <w:r w:rsidR="00721F08">
              <w:t xml:space="preserve">common </w:t>
            </w:r>
            <w:r w:rsidR="00840479">
              <w:t xml:space="preserve">responsibilities </w:t>
            </w:r>
            <w:r w:rsidR="00721F08">
              <w:t xml:space="preserve">of </w:t>
            </w:r>
            <w:r w:rsidR="00744076">
              <w:t>RO</w:t>
            </w:r>
            <w:r w:rsidR="00721F08">
              <w:t>s and intake sites in handling pre-discharge claims.</w:t>
            </w:r>
          </w:p>
        </w:tc>
        <w:tc>
          <w:tcPr>
            <w:tcW w:w="1420" w:type="pct"/>
          </w:tcPr>
          <w:p w:rsidR="00D15547" w:rsidRDefault="00721F08" w:rsidP="002624D7">
            <w:pPr>
              <w:pStyle w:val="TableText"/>
            </w:pPr>
            <w:r>
              <w:t>III.i.2.A.3</w:t>
            </w:r>
          </w:p>
        </w:tc>
        <w:tc>
          <w:tcPr>
            <w:tcW w:w="569" w:type="pct"/>
          </w:tcPr>
          <w:p w:rsidR="00D15547" w:rsidRDefault="00721F08" w:rsidP="00237C22">
            <w:pPr>
              <w:pStyle w:val="BulletText1"/>
              <w:numPr>
                <w:ilvl w:val="0"/>
                <w:numId w:val="0"/>
              </w:numPr>
            </w:pPr>
            <w:r>
              <w:t>2-A-8 through 2-A-19</w:t>
            </w:r>
          </w:p>
        </w:tc>
      </w:tr>
      <w:tr w:rsidR="00997BD1" w:rsidTr="004F4774">
        <w:tc>
          <w:tcPr>
            <w:tcW w:w="3011" w:type="pct"/>
          </w:tcPr>
          <w:p w:rsidR="00997BD1" w:rsidRDefault="00997BD1" w:rsidP="00025599">
            <w:pPr>
              <w:pStyle w:val="TableText"/>
            </w:pPr>
            <w:r>
              <w:t>Deleted (old) III.i.2.A.1.c, as the information in this block duplicates that found in III.i.2.B.3.c.</w:t>
            </w:r>
          </w:p>
        </w:tc>
        <w:tc>
          <w:tcPr>
            <w:tcW w:w="1420" w:type="pct"/>
          </w:tcPr>
          <w:p w:rsidR="00997BD1" w:rsidRDefault="00997BD1" w:rsidP="00807EAA">
            <w:pPr>
              <w:pStyle w:val="TableText"/>
              <w:jc w:val="center"/>
            </w:pPr>
            <w:r>
              <w:t>---</w:t>
            </w:r>
          </w:p>
        </w:tc>
        <w:tc>
          <w:tcPr>
            <w:tcW w:w="569" w:type="pct"/>
          </w:tcPr>
          <w:p w:rsidR="00997BD1" w:rsidRDefault="00997BD1" w:rsidP="00807EAA">
            <w:pPr>
              <w:pStyle w:val="BulletText1"/>
              <w:numPr>
                <w:ilvl w:val="0"/>
                <w:numId w:val="0"/>
              </w:numPr>
              <w:jc w:val="center"/>
            </w:pPr>
            <w:r>
              <w:t>---</w:t>
            </w:r>
          </w:p>
        </w:tc>
      </w:tr>
      <w:tr w:rsidR="00997BD1" w:rsidTr="004F4774">
        <w:tc>
          <w:tcPr>
            <w:tcW w:w="3011" w:type="pct"/>
          </w:tcPr>
          <w:p w:rsidR="00997BD1" w:rsidRDefault="00997BD1" w:rsidP="00B91C20">
            <w:pPr>
              <w:pStyle w:val="TableText"/>
            </w:pPr>
            <w:r>
              <w:t>Deleted (old) III.i.2.A.1.e and f, as their content is no longer correct.</w:t>
            </w:r>
          </w:p>
        </w:tc>
        <w:tc>
          <w:tcPr>
            <w:tcW w:w="1420" w:type="pct"/>
          </w:tcPr>
          <w:p w:rsidR="00997BD1" w:rsidRDefault="00997BD1" w:rsidP="00FC0F4F">
            <w:pPr>
              <w:pStyle w:val="TableText"/>
              <w:jc w:val="center"/>
            </w:pPr>
            <w:r>
              <w:t>---</w:t>
            </w:r>
          </w:p>
        </w:tc>
        <w:tc>
          <w:tcPr>
            <w:tcW w:w="569" w:type="pct"/>
          </w:tcPr>
          <w:p w:rsidR="00997BD1" w:rsidRDefault="00997BD1" w:rsidP="00FC0F4F">
            <w:pPr>
              <w:pStyle w:val="BulletText1"/>
              <w:numPr>
                <w:ilvl w:val="0"/>
                <w:numId w:val="0"/>
              </w:numPr>
              <w:jc w:val="center"/>
            </w:pPr>
            <w:r>
              <w:t>---</w:t>
            </w:r>
          </w:p>
        </w:tc>
      </w:tr>
      <w:tr w:rsidR="00997BD1" w:rsidTr="004F4774">
        <w:tc>
          <w:tcPr>
            <w:tcW w:w="3011" w:type="pct"/>
          </w:tcPr>
          <w:p w:rsidR="00997BD1" w:rsidRDefault="00997BD1" w:rsidP="00B91C20">
            <w:pPr>
              <w:pStyle w:val="TableText"/>
            </w:pPr>
            <w:r>
              <w:t xml:space="preserve">Deleted (old) III.i.2.A.2.b, as </w:t>
            </w:r>
            <w:r w:rsidRPr="005833DD">
              <w:t xml:space="preserve">the information contained in this block </w:t>
            </w:r>
            <w:r>
              <w:t>duplicates that found in III.i.2.A.1.c.</w:t>
            </w:r>
          </w:p>
        </w:tc>
        <w:tc>
          <w:tcPr>
            <w:tcW w:w="1420" w:type="pct"/>
          </w:tcPr>
          <w:p w:rsidR="00997BD1" w:rsidRDefault="00997BD1" w:rsidP="00B87939">
            <w:pPr>
              <w:pStyle w:val="TableText"/>
              <w:jc w:val="center"/>
            </w:pPr>
            <w:r>
              <w:t>---</w:t>
            </w:r>
          </w:p>
        </w:tc>
        <w:tc>
          <w:tcPr>
            <w:tcW w:w="569" w:type="pct"/>
          </w:tcPr>
          <w:p w:rsidR="00997BD1" w:rsidRDefault="00997BD1" w:rsidP="00B87939">
            <w:pPr>
              <w:pStyle w:val="BulletText1"/>
              <w:numPr>
                <w:ilvl w:val="0"/>
                <w:numId w:val="0"/>
              </w:numPr>
              <w:jc w:val="center"/>
            </w:pPr>
            <w:r>
              <w:t>---</w:t>
            </w:r>
          </w:p>
        </w:tc>
      </w:tr>
      <w:tr w:rsidR="00997BD1" w:rsidTr="004F4774">
        <w:tc>
          <w:tcPr>
            <w:tcW w:w="3011" w:type="pct"/>
          </w:tcPr>
          <w:p w:rsidR="00997BD1" w:rsidRDefault="00997BD1" w:rsidP="00B91C20">
            <w:pPr>
              <w:pStyle w:val="TableText"/>
            </w:pPr>
            <w:r>
              <w:t xml:space="preserve">Deleted (old) III.i.2.A.2.c, as </w:t>
            </w:r>
            <w:r w:rsidRPr="005833DD">
              <w:t xml:space="preserve">the information contained in this block </w:t>
            </w:r>
            <w:r>
              <w:t>duplicates that found in III.i.2.A.1.c and d.</w:t>
            </w:r>
          </w:p>
        </w:tc>
        <w:tc>
          <w:tcPr>
            <w:tcW w:w="1420" w:type="pct"/>
          </w:tcPr>
          <w:p w:rsidR="00997BD1" w:rsidRDefault="00997BD1" w:rsidP="00B87939">
            <w:pPr>
              <w:pStyle w:val="TableText"/>
              <w:jc w:val="center"/>
            </w:pPr>
            <w:r>
              <w:t>---</w:t>
            </w:r>
          </w:p>
        </w:tc>
        <w:tc>
          <w:tcPr>
            <w:tcW w:w="569" w:type="pct"/>
          </w:tcPr>
          <w:p w:rsidR="00997BD1" w:rsidRDefault="00997BD1" w:rsidP="00B87939">
            <w:pPr>
              <w:pStyle w:val="BulletText1"/>
              <w:numPr>
                <w:ilvl w:val="0"/>
                <w:numId w:val="0"/>
              </w:numPr>
              <w:jc w:val="center"/>
            </w:pPr>
            <w:r>
              <w:t>---</w:t>
            </w:r>
          </w:p>
        </w:tc>
      </w:tr>
    </w:tbl>
    <w:p w:rsidR="00721F08" w:rsidRDefault="00721F08" w:rsidP="00721F08">
      <w:pPr>
        <w:pStyle w:val="ContinuedOnNextPa"/>
      </w:pPr>
      <w:r>
        <w:t>Continued on next page</w:t>
      </w:r>
    </w:p>
    <w:p w:rsidR="00721F08" w:rsidRDefault="00721F08" w:rsidP="00721F08">
      <w:pPr>
        <w:pStyle w:val="MapTitleContinued"/>
        <w:rPr>
          <w:b w:val="0"/>
          <w:sz w:val="24"/>
        </w:rPr>
      </w:pPr>
      <w:r w:rsidRPr="00721F08">
        <w:br w:type="page"/>
      </w:r>
      <w:fldSimple w:instr=" STYLEREF &quot;Map Title&quot; ">
        <w:r w:rsidRPr="00721F08">
          <w:rPr>
            <w:noProof/>
          </w:rPr>
          <w:t>Transmittal Sheet</w:t>
        </w:r>
      </w:fldSimple>
      <w:r w:rsidRPr="00721F08">
        <w:t xml:space="preserve">, </w:t>
      </w:r>
      <w:r w:rsidRPr="00721F08">
        <w:rPr>
          <w:b w:val="0"/>
          <w:sz w:val="24"/>
        </w:rPr>
        <w:t>Continued</w:t>
      </w:r>
    </w:p>
    <w:p w:rsidR="00997BD1" w:rsidRPr="00721F08" w:rsidRDefault="00997BD1" w:rsidP="00721F08">
      <w:pPr>
        <w:pStyle w:val="BlockLine"/>
      </w:pPr>
    </w:p>
    <w:tbl>
      <w:tblPr>
        <w:tblW w:w="0" w:type="auto"/>
        <w:tblLayout w:type="fixed"/>
        <w:tblLook w:val="0000"/>
      </w:tblPr>
      <w:tblGrid>
        <w:gridCol w:w="1728"/>
        <w:gridCol w:w="7740"/>
      </w:tblGrid>
      <w:tr w:rsidR="00997BD1" w:rsidRPr="00B4163A" w:rsidTr="00237C22">
        <w:tc>
          <w:tcPr>
            <w:tcW w:w="1728" w:type="dxa"/>
          </w:tcPr>
          <w:p w:rsidR="00997BD1" w:rsidRPr="00B4163A" w:rsidRDefault="00997BD1" w:rsidP="00237C22">
            <w:pPr>
              <w:pStyle w:val="Heading5"/>
              <w:rPr>
                <w:sz w:val="24"/>
              </w:rPr>
            </w:pPr>
            <w:r w:rsidRPr="00B4163A">
              <w:rPr>
                <w:sz w:val="24"/>
              </w:rPr>
              <w:t>Rescissions</w:t>
            </w:r>
          </w:p>
        </w:tc>
        <w:tc>
          <w:tcPr>
            <w:tcW w:w="7740" w:type="dxa"/>
          </w:tcPr>
          <w:p w:rsidR="00997BD1" w:rsidRPr="00B4163A" w:rsidRDefault="00997BD1" w:rsidP="00237C22">
            <w:pPr>
              <w:pStyle w:val="BlockText"/>
            </w:pPr>
            <w:r w:rsidRPr="00B4163A">
              <w:t>None</w:t>
            </w:r>
          </w:p>
        </w:tc>
      </w:tr>
    </w:tbl>
    <w:p w:rsidR="00997BD1" w:rsidRPr="00B4163A" w:rsidRDefault="00997BD1" w:rsidP="00504F80">
      <w:pPr>
        <w:pStyle w:val="BlockLine"/>
      </w:pPr>
      <w:r w:rsidRPr="00B4163A">
        <w:t xml:space="preserve"> </w:t>
      </w:r>
    </w:p>
    <w:tbl>
      <w:tblPr>
        <w:tblW w:w="0" w:type="auto"/>
        <w:tblLayout w:type="fixed"/>
        <w:tblLook w:val="0000"/>
      </w:tblPr>
      <w:tblGrid>
        <w:gridCol w:w="1728"/>
        <w:gridCol w:w="7740"/>
      </w:tblGrid>
      <w:tr w:rsidR="00997BD1" w:rsidRPr="00B4163A" w:rsidTr="00237C22">
        <w:tc>
          <w:tcPr>
            <w:tcW w:w="1728" w:type="dxa"/>
          </w:tcPr>
          <w:p w:rsidR="00997BD1" w:rsidRPr="00B4163A" w:rsidRDefault="00997BD1" w:rsidP="00237C22">
            <w:pPr>
              <w:pStyle w:val="Heading5"/>
              <w:rPr>
                <w:sz w:val="24"/>
              </w:rPr>
            </w:pPr>
            <w:r w:rsidRPr="00B4163A">
              <w:rPr>
                <w:sz w:val="24"/>
              </w:rPr>
              <w:t>Authority</w:t>
            </w:r>
          </w:p>
        </w:tc>
        <w:tc>
          <w:tcPr>
            <w:tcW w:w="7740" w:type="dxa"/>
          </w:tcPr>
          <w:p w:rsidR="00997BD1" w:rsidRPr="00B4163A" w:rsidRDefault="00997BD1" w:rsidP="00237C22">
            <w:pPr>
              <w:pStyle w:val="BlockText"/>
            </w:pPr>
            <w:r w:rsidRPr="00B4163A">
              <w:t>By Direction of the Under Secretary for Benefits</w:t>
            </w:r>
          </w:p>
        </w:tc>
      </w:tr>
    </w:tbl>
    <w:p w:rsidR="00997BD1" w:rsidRPr="00B4163A" w:rsidRDefault="00997BD1" w:rsidP="00397D03">
      <w:pPr>
        <w:pStyle w:val="BlockLine"/>
      </w:pPr>
    </w:p>
    <w:tbl>
      <w:tblPr>
        <w:tblW w:w="0" w:type="auto"/>
        <w:tblLayout w:type="fixed"/>
        <w:tblLook w:val="0000"/>
      </w:tblPr>
      <w:tblGrid>
        <w:gridCol w:w="1728"/>
        <w:gridCol w:w="7740"/>
      </w:tblGrid>
      <w:tr w:rsidR="00997BD1" w:rsidRPr="00B4163A" w:rsidTr="00237C22">
        <w:tc>
          <w:tcPr>
            <w:tcW w:w="1728" w:type="dxa"/>
          </w:tcPr>
          <w:p w:rsidR="00997BD1" w:rsidRPr="00B4163A" w:rsidRDefault="00997BD1" w:rsidP="00237C22">
            <w:pPr>
              <w:pStyle w:val="Heading5"/>
              <w:rPr>
                <w:sz w:val="24"/>
              </w:rPr>
            </w:pPr>
            <w:r w:rsidRPr="00B4163A">
              <w:rPr>
                <w:sz w:val="24"/>
              </w:rPr>
              <w:t>Signature</w:t>
            </w:r>
          </w:p>
        </w:tc>
        <w:tc>
          <w:tcPr>
            <w:tcW w:w="7740" w:type="dxa"/>
          </w:tcPr>
          <w:p w:rsidR="00997BD1" w:rsidRPr="00B4163A" w:rsidRDefault="00997BD1" w:rsidP="00237C22">
            <w:pPr>
              <w:pStyle w:val="BlockText"/>
            </w:pPr>
          </w:p>
          <w:p w:rsidR="00997BD1" w:rsidRPr="00B4163A" w:rsidRDefault="00997BD1" w:rsidP="00237C22">
            <w:pPr>
              <w:pStyle w:val="MemoLine"/>
              <w:ind w:left="-18" w:right="612"/>
            </w:pPr>
          </w:p>
          <w:p w:rsidR="00997BD1" w:rsidRPr="00B4163A" w:rsidRDefault="00997BD1" w:rsidP="00237C22">
            <w:pPr>
              <w:rPr>
                <w:szCs w:val="20"/>
              </w:rPr>
            </w:pPr>
            <w:r w:rsidRPr="00B4163A">
              <w:t>Thomas J. Murphy, Director</w:t>
            </w:r>
          </w:p>
          <w:p w:rsidR="00997BD1" w:rsidRPr="00B4163A" w:rsidRDefault="00997BD1" w:rsidP="00237C22">
            <w:pPr>
              <w:pStyle w:val="BlockText"/>
            </w:pPr>
            <w:r w:rsidRPr="00B4163A">
              <w:t>Compensation Service</w:t>
            </w:r>
          </w:p>
        </w:tc>
      </w:tr>
    </w:tbl>
    <w:p w:rsidR="00997BD1" w:rsidRPr="00B4163A" w:rsidRDefault="00997BD1" w:rsidP="00504F80">
      <w:pPr>
        <w:pStyle w:val="BlockLine"/>
      </w:pPr>
      <w:r w:rsidRPr="00B4163A">
        <w:t xml:space="preserve"> </w:t>
      </w:r>
    </w:p>
    <w:tbl>
      <w:tblPr>
        <w:tblW w:w="0" w:type="auto"/>
        <w:tblLayout w:type="fixed"/>
        <w:tblLook w:val="0000"/>
      </w:tblPr>
      <w:tblGrid>
        <w:gridCol w:w="1728"/>
        <w:gridCol w:w="7740"/>
      </w:tblGrid>
      <w:tr w:rsidR="00997BD1" w:rsidTr="00237C22">
        <w:tc>
          <w:tcPr>
            <w:tcW w:w="1728" w:type="dxa"/>
          </w:tcPr>
          <w:p w:rsidR="00997BD1" w:rsidRPr="00B4163A" w:rsidRDefault="00997BD1" w:rsidP="00237C22">
            <w:pPr>
              <w:pStyle w:val="Heading5"/>
              <w:rPr>
                <w:sz w:val="24"/>
              </w:rPr>
            </w:pPr>
            <w:r w:rsidRPr="00B4163A">
              <w:rPr>
                <w:sz w:val="24"/>
              </w:rPr>
              <w:t>Distribution</w:t>
            </w:r>
          </w:p>
        </w:tc>
        <w:tc>
          <w:tcPr>
            <w:tcW w:w="7740" w:type="dxa"/>
          </w:tcPr>
          <w:p w:rsidR="00997BD1" w:rsidRPr="00B4163A" w:rsidRDefault="00997BD1" w:rsidP="00237C22">
            <w:pPr>
              <w:pStyle w:val="BlockText"/>
            </w:pPr>
            <w:r w:rsidRPr="00B4163A">
              <w:t>RPC:  2068</w:t>
            </w:r>
          </w:p>
          <w:p w:rsidR="00997BD1" w:rsidRPr="00B4163A" w:rsidRDefault="00997BD1" w:rsidP="00237C22">
            <w:pPr>
              <w:pStyle w:val="BlockText"/>
            </w:pPr>
            <w:r w:rsidRPr="00B4163A">
              <w:t>FD:  EX:  ASO and AR (included in RPC 2068)</w:t>
            </w:r>
          </w:p>
          <w:p w:rsidR="00997BD1" w:rsidRPr="00B4163A" w:rsidRDefault="00997BD1" w:rsidP="00237C22">
            <w:pPr>
              <w:pStyle w:val="BlockText"/>
            </w:pPr>
          </w:p>
          <w:p w:rsidR="00997BD1" w:rsidRDefault="00997BD1" w:rsidP="00237C22">
            <w:pPr>
              <w:pStyle w:val="BlockText"/>
              <w:jc w:val="center"/>
            </w:pPr>
            <w:r w:rsidRPr="00B4163A">
              <w:t>LOCAL REPRODUCTION AUTHORIZED</w:t>
            </w:r>
          </w:p>
        </w:tc>
      </w:tr>
    </w:tbl>
    <w:p w:rsidR="00997BD1" w:rsidRDefault="00EE5B25" w:rsidP="00644183">
      <w:pPr>
        <w:pStyle w:val="BlockLine"/>
      </w:pPr>
      <w:r>
        <w:fldChar w:fldCharType="begin">
          <w:fldData xml:space="preserve">RABvAGMAVABlAG0AcAAxAFYAYQByAFQAcgBhAGQAaQB0AGkAbwBuAGEAbAAAMQBpAGEA9G==
</w:fldData>
        </w:fldChar>
      </w:r>
      <w:r w:rsidR="00997BD1">
        <w:instrText xml:space="preserve"> ADDIN  \* MERGEFORMAT </w:instrText>
      </w:r>
      <w:r>
        <w:fldChar w:fldCharType="end"/>
      </w:r>
      <w:r>
        <w:fldChar w:fldCharType="begin">
          <w:fldData xml:space="preserve">RgBvAG4AdABTAGUAdABGAG8AbgB0AFMAZQB0AGkAbQBpAHMAdAB5AGwAZQBzAC4AeABtAGwAAG8A
cgBhAGx=
</w:fldData>
        </w:fldChar>
      </w:r>
      <w:r w:rsidR="00997BD1">
        <w:instrText xml:space="preserve"> ADDIN  \* MERGEFORMAT </w:instrText>
      </w:r>
      <w:r>
        <w:fldChar w:fldCharType="end"/>
      </w:r>
      <w:r>
        <w:fldChar w:fldCharType="begin">
          <w:fldData xml:space="preserve">RABvAGMAVABlAG0AcAAxAFYAYQByAFQAcgBhAGQAaQB0AGkAbwBuAGEAbAAAXABhAGwAMG==
</w:fldData>
        </w:fldChar>
      </w:r>
      <w:r w:rsidR="00997BD1">
        <w:instrText xml:space="preserve"> ADDIN  \* MERGEFORMAT </w:instrText>
      </w:r>
      <w:r>
        <w:fldChar w:fldCharType="end"/>
      </w:r>
      <w:r>
        <w:fldChar w:fldCharType="begin">
          <w:fldData xml:space="preserve">RgBvAG4AdABTAGUAdABGAG8AbgB0AFMAZQB0AEYAbwBuAHQAUwBlAHQAaQBtAGkAcwB0AHkAbABl
AHMALgB4AG0AbAAAdAAxAFwAZV==
</w:fldData>
        </w:fldChar>
      </w:r>
      <w:r w:rsidR="00997BD1">
        <w:instrText xml:space="preserve"> ADDIN  \* MERGEFORMAT </w:instrText>
      </w:r>
      <w:r>
        <w:fldChar w:fldCharType="end"/>
      </w:r>
      <w:r>
        <w:fldChar w:fldCharType="begin">
          <w:fldData xml:space="preserve">RABvAGMAVABlAG0AcAAxAFYAYQByAFQAcgBhAGQAaQB0AGkAbwBuAGEAbAAAcwBiAGgAdG==
</w:fldData>
        </w:fldChar>
      </w:r>
      <w:r w:rsidR="00997BD1">
        <w:instrText xml:space="preserve"> ADDIN  \* MERGEFORMAT </w:instrText>
      </w:r>
      <w:r>
        <w:fldChar w:fldCharType="end"/>
      </w:r>
      <w:r>
        <w:fldChar w:fldCharType="begin">
          <w:fldData xml:space="preserve">RgBvAG4AdABTAGUAdABGAG8AbgB0AFMAZQB0AEYAbwBuAHQAUwBlAHQARgBvAG4AdABTAGUAdABp
AG0AaQBzAHQAeQBsAGUAcwAuAHgAbQBsAAAwADYANwA4
</w:fldData>
        </w:fldChar>
      </w:r>
      <w:r w:rsidR="00997BD1">
        <w:instrText xml:space="preserve"> ADDIN  \* MERGEFORMAT </w:instrText>
      </w:r>
      <w:r>
        <w:fldChar w:fldCharType="end"/>
      </w:r>
      <w:r>
        <w:fldChar w:fldCharType="begin">
          <w:fldData xml:space="preserve">RABvAGMAVABlAG0AcAAxAFYAYQByAFQAcgBhAGQAaQB0AGkAbwBuAGEAbAAAYgBhADAAZT==
</w:fldData>
        </w:fldChar>
      </w:r>
      <w:r w:rsidR="00997BD1">
        <w:instrText xml:space="preserve"> ADDIN  \* MERGEFORMAT </w:instrText>
      </w:r>
      <w:r>
        <w:fldChar w:fldCharType="end"/>
      </w:r>
      <w:r>
        <w:fldChar w:fldCharType="begin">
          <w:fldData xml:space="preserve">RgBvAG4AdABTAGUAdABGAG8AbgB0AFMAZQB0AEYAbwBuAHQAUwBlAHQARgBvAG4AdABTAGUAdABG
AG8AbgB0AFMAZQB0AGkAbQBpAHMAdAB5AGwAZQBzAC4AeABtAGwAAHIANQAgAG4=
</w:fldData>
        </w:fldChar>
      </w:r>
      <w:r w:rsidR="00997BD1">
        <w:instrText xml:space="preserve"> ADDIN  \* MERGEFORMAT </w:instrText>
      </w:r>
      <w:r>
        <w:fldChar w:fldCharType="end"/>
      </w:r>
      <w:r>
        <w:fldChar w:fldCharType="begin">
          <w:fldData xml:space="preserve">RABvAGMAVABlAG0AcAAxAFYAYQByAFQAcgBhAGQAaQB0AGkAbwBuAGEAbAAAcgBUAHIAcn==
</w:fldData>
        </w:fldChar>
      </w:r>
      <w:r w:rsidR="00997BD1">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AG8AbgB0AFMAZQB0AEYAbwBuAHQAUwBlAHQAaQBtAGkAcwB0AHkAbABlAHMALgB4AG0AbAAAdABh
AGIAcG==
</w:fldData>
        </w:fldChar>
      </w:r>
      <w:r w:rsidR="00997BD1">
        <w:instrText xml:space="preserve"> ADDIN  \* MERGEFORMAT </w:instrText>
      </w:r>
      <w:r>
        <w:fldChar w:fldCharType="end"/>
      </w:r>
      <w:r>
        <w:fldChar w:fldCharType="begin">
          <w:fldData xml:space="preserve">RABvAGMAVABlAG0AcAAxAFYAYQByAFQAcgBhAGQAaQB0AGkAbwBuAGEAbAAAcgAgAH0Ad3==
</w:fldData>
        </w:fldChar>
      </w:r>
      <w:r w:rsidR="00997BD1">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cwAuAHgAbQBsAABcADkAYQAw
</w:fldData>
        </w:fldChar>
      </w:r>
      <w:r w:rsidR="00997BD1">
        <w:instrText xml:space="preserve"> ADDIN  \* MERGEFORMAT </w:instrText>
      </w:r>
      <w:r>
        <w:fldChar w:fldCharType="end"/>
      </w:r>
      <w:r>
        <w:fldChar w:fldCharType="begin">
          <w:fldData xml:space="preserve">RABvAGMAVABlAG0AcAAxAFYAYQByAFQAcgBhAGQAaQB0AGkAbwBuAGEAbAAAcAB0ADEAID==
</w:fldData>
        </w:fldChar>
      </w:r>
      <w:r w:rsidR="00997BD1">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bQBpAHMAdAB5AGwAZQBzAC4AeABtAGwAAFwAYgA0AGE=
</w:fldData>
        </w:fldChar>
      </w:r>
      <w:r w:rsidR="00997BD1">
        <w:instrText xml:space="preserve"> ADDIN  \* MERGEFORMAT </w:instrText>
      </w:r>
      <w:r>
        <w:fldChar w:fldCharType="end"/>
      </w:r>
      <w:r>
        <w:fldChar w:fldCharType="begin">
          <w:fldData xml:space="preserve">RABvAGMAVABlAG0AcAAxAFYAYQByAFQAcgBhAGQAaQB0AGkAbwBuAGEAbAAAMAB0AHAAMn==
</w:fldData>
        </w:fldChar>
      </w:r>
      <w:r w:rsidR="00997BD1">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bwBuAHQAUwBlAHQAaQBtAGkAcwB0AHkAbABlAHMALgB4AG0AbAAAaAA2ADAAcj==
</w:fldData>
        </w:fldChar>
      </w:r>
      <w:r w:rsidR="00997BD1">
        <w:instrText xml:space="preserve"> ADDIN  \* MERGEFORMAT </w:instrText>
      </w:r>
      <w:r>
        <w:fldChar w:fldCharType="end"/>
      </w:r>
      <w:r>
        <w:fldChar w:fldCharType="begin">
          <w:fldData xml:space="preserve">RABvAGMAVABlAG0AcAAxAFYAYQByAFQAcgBhAGQAaQB0AGkAbwBuAGEAbAAAXABcAGwAbm==
</w:fldData>
        </w:fldChar>
      </w:r>
      <w:r w:rsidR="00997BD1">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bwBuAHQAUwBlAHQARgBvAG4AdABTAGUAdABpAG0AaQBzAHQAeQBsAGUAcwAuAHgAbQBsAABvAFwA
YQAz
</w:fldData>
        </w:fldChar>
      </w:r>
      <w:r w:rsidR="00997BD1">
        <w:instrText xml:space="preserve"> ADDIN  \* MERGEFORMAT </w:instrText>
      </w:r>
      <w:r>
        <w:fldChar w:fldCharType="end"/>
      </w:r>
      <w:r>
        <w:fldChar w:fldCharType="begin">
          <w:fldData xml:space="preserve">RABvAGMAVABlAG0AcAAxAFYAYQByAFQAcgBhAGQAaQB0AGkAbwBuAGEAbAAAYwBjACAAMy==
</w:fldData>
        </w:fldChar>
      </w:r>
      <w:r w:rsidR="00997BD1">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AC4AeABtAGwAAHAAZABkAHJ=
</w:fldData>
        </w:fldChar>
      </w:r>
      <w:r w:rsidR="00997BD1">
        <w:instrText xml:space="preserve"> ADDIN  \* MERGEFORMAT </w:instrText>
      </w:r>
      <w:r>
        <w:fldChar w:fldCharType="end"/>
      </w:r>
      <w:r>
        <w:fldChar w:fldCharType="begin">
          <w:fldData xml:space="preserve">RABvAGMAVABlAG0AcAAxAFYAYQByAFQAcgBhAGQAaQB0AGkAbwBuAGEAbAAANwB9ACAAdS==
</w:fldData>
        </w:fldChar>
      </w:r>
      <w:r w:rsidR="00997BD1">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AGkAcwB0AHkAbABlAHMALgB4AG0AbAAAOABNAGQAbG==
</w:fldData>
        </w:fldChar>
      </w:r>
      <w:r w:rsidR="00997BD1">
        <w:instrText xml:space="preserve"> ADDIN  \* MERGEFORMAT </w:instrText>
      </w:r>
      <w:r>
        <w:fldChar w:fldCharType="end"/>
      </w:r>
      <w:r>
        <w:fldChar w:fldCharType="begin">
          <w:fldData xml:space="preserve">RABvAGMAVABlAG0AcAAxAFYAYQByAFQAcgBhAGQAaQB0AGkAbwBuAGEAbAAAaABcAEQAc0==
</w:fldData>
        </w:fldChar>
      </w:r>
      <w:r w:rsidR="00997BD1">
        <w:instrText xml:space="preserve"> ADDIN  \* MERGEFORMAT </w:instrText>
      </w:r>
      <w:r>
        <w:fldChar w:fldCharType="end"/>
      </w:r>
      <w:r>
        <w:fldChar w:fldCharType="begin">
          <w:fldData xml:space="preserve">RgBvAG4AdABTAGUAdABpAG0AaQBzAHQAeQBsAGUAcwAuAHgAbQBsAABhAAAAXABc
</w:fldData>
        </w:fldChar>
      </w:r>
      <w:r w:rsidR="00997BD1">
        <w:instrText xml:space="preserve"> ADDIN  \* MERGEFORMAT </w:instrText>
      </w:r>
      <w:r>
        <w:fldChar w:fldCharType="end"/>
      </w:r>
      <w:r>
        <w:fldChar w:fldCharType="begin">
          <w:fldData xml:space="preserve">RABvAGMAVABlAG0AcAAxAFYAYQByAFQAcgBhAGQAaQB0AGkAbwBuAGEAbAAAcwBlAHQAM3==
</w:fldData>
        </w:fldChar>
      </w:r>
      <w:r w:rsidR="00997BD1">
        <w:instrText xml:space="preserve"> ADDIN  \* MERGEFORMAT </w:instrText>
      </w:r>
      <w:r>
        <w:fldChar w:fldCharType="end"/>
      </w:r>
      <w:r>
        <w:fldChar w:fldCharType="begin">
          <w:fldData xml:space="preserve">RgBvAG4AdABTAGUAdABpAG0AaQBzAHQAeQBsAGUAcwAuAHgAbQBsAABsAGMAMABc
</w:fldData>
        </w:fldChar>
      </w:r>
      <w:r w:rsidR="00997BD1">
        <w:instrText xml:space="preserve"> ADDIN  \* MERGEFORMAT </w:instrText>
      </w:r>
      <w:r>
        <w:fldChar w:fldCharType="end"/>
      </w:r>
      <w:r>
        <w:fldChar w:fldCharType="begin">
          <w:fldData xml:space="preserve">RABvAGMAVABlAG0AcAAxAFYAYQByAFQAcgBhAGQAaQB0AGkAbwBuAGEAbAAAMAAwAG4AaG==
</w:fldData>
        </w:fldChar>
      </w:r>
      <w:r w:rsidR="00997BD1">
        <w:instrText xml:space="preserve"> ADDIN  \* MERGEFORMAT </w:instrText>
      </w:r>
      <w:r>
        <w:fldChar w:fldCharType="end"/>
      </w:r>
      <w:r>
        <w:fldChar w:fldCharType="begin">
          <w:fldData xml:space="preserve">RgBvAG4AdABTAGUAdABpAG0AaQBzAHQAeQBsAGUAcwAuAHgAbQBsAABmAHMAIAB0
</w:fldData>
        </w:fldChar>
      </w:r>
      <w:r w:rsidR="00997BD1">
        <w:instrText xml:space="preserve"> ADDIN  \* MERGEFORMAT </w:instrText>
      </w:r>
      <w:r>
        <w:fldChar w:fldCharType="end"/>
      </w:r>
      <w:r>
        <w:fldChar w:fldCharType="begin">
          <w:fldData xml:space="preserve">RABvAGMAVABlAG0AcAAxAFYAYQByAFQAcgBhAGQAaQB0AGkAbwBuAGEAbAAAAAAAAHIAdH==
</w:fldData>
        </w:fldChar>
      </w:r>
      <w:r w:rsidR="00997BD1">
        <w:instrText xml:space="preserve"> ADDIN  \* MERGEFORMAT </w:instrText>
      </w:r>
      <w:r>
        <w:fldChar w:fldCharType="end"/>
      </w:r>
      <w:r>
        <w:fldChar w:fldCharType="begin">
          <w:fldData xml:space="preserve">RgBvAG4AdABTAGUAdABpAG0AaQBzAHQAeQBsAGUAcwAuAHgAbQBsAABcAFwAcAB0
</w:fldData>
        </w:fldChar>
      </w:r>
      <w:r w:rsidR="00997BD1">
        <w:instrText xml:space="preserve"> ADDIN  \* MERGEFORMAT </w:instrText>
      </w:r>
      <w:r>
        <w:fldChar w:fldCharType="end"/>
      </w:r>
      <w:r>
        <w:fldChar w:fldCharType="begin">
          <w:fldData xml:space="preserve">RABvAGMAVABlAG0AcAAxAFYAYQByAFQAcgBhAGQAaQB0AGkAbwBuAGEAbAAAagBpAGQAYm==
</w:fldData>
        </w:fldChar>
      </w:r>
      <w:r w:rsidR="00997BD1">
        <w:instrText xml:space="preserve"> ADDIN  \* MERGEFORMAT </w:instrText>
      </w:r>
      <w:r>
        <w:fldChar w:fldCharType="end"/>
      </w:r>
      <w:r>
        <w:fldChar w:fldCharType="begin">
          <w:fldData xml:space="preserve">RgBvAG4AdABTAGUAdABpAG0AaQBzAHQAeQBsAGUAcwAuAHgAbQBsAAAzADAAbABz
</w:fldData>
        </w:fldChar>
      </w:r>
      <w:r w:rsidR="00997BD1">
        <w:instrText xml:space="preserve"> ADDIN  \* MERGEFORMAT </w:instrText>
      </w:r>
      <w:r>
        <w:fldChar w:fldCharType="end"/>
      </w:r>
      <w:r>
        <w:fldChar w:fldCharType="begin">
          <w:fldData xml:space="preserve">RABvAGMAVABlAG0AcAAxAFYAYQByAFQAcgBhAGQAaQB0AGkAbwBuAGEAbAAAXABoAHIAXH==
</w:fldData>
        </w:fldChar>
      </w:r>
      <w:r w:rsidR="00997BD1">
        <w:instrText xml:space="preserve"> ADDIN  \* MERGEFORMAT </w:instrText>
      </w:r>
      <w:r>
        <w:fldChar w:fldCharType="end"/>
      </w:r>
      <w:r>
        <w:fldChar w:fldCharType="begin">
          <w:fldData xml:space="preserve">RgBvAG4AdABTAGUAdABpAG0AaQBzAHQAeQBsAGUAcwAuAHgAbQBsAAAgAAAAcgBm
</w:fldData>
        </w:fldChar>
      </w:r>
      <w:r w:rsidR="00997BD1">
        <w:instrText xml:space="preserve"> ADDIN  \* MERGEFORMAT </w:instrText>
      </w:r>
      <w:r>
        <w:fldChar w:fldCharType="end"/>
      </w:r>
      <w:r>
        <w:fldChar w:fldCharType="begin">
          <w:fldData xml:space="preserve">RABvAGMAVABlAG0AcAAxAFYAYQByAFQAcgBhAGQAaQB0AGkAbwBuAGEAbAAAbAAgACAAXC==
</w:fldData>
        </w:fldChar>
      </w:r>
      <w:r w:rsidR="00997BD1">
        <w:instrText xml:space="preserve"> ADDIN  \* MERGEFORMAT </w:instrText>
      </w:r>
      <w:r>
        <w:fldChar w:fldCharType="end"/>
      </w:r>
      <w:r>
        <w:fldChar w:fldCharType="begin">
          <w:fldData xml:space="preserve">RgBvAG4AdABTAGUAdABpAG0AaQBzAHQAeQBsAGUAcwAuAHgAbQBsAAAzAGwAMgAx
</w:fldData>
        </w:fldChar>
      </w:r>
      <w:r w:rsidR="00997BD1">
        <w:instrText xml:space="preserve"> ADDIN  \* MERGEFORMAT </w:instrText>
      </w:r>
      <w:r>
        <w:fldChar w:fldCharType="end"/>
      </w:r>
      <w:r>
        <w:fldChar w:fldCharType="begin">
          <w:fldData xml:space="preserve">RABvAGMAVABlAG0AcAAxAFYAYQByAFQAcgBhAGQAaQB0AGkAbwBuAGEAbAAAcwByAG0AaG==
</w:fldData>
        </w:fldChar>
      </w:r>
      <w:r w:rsidR="00997BD1">
        <w:instrText xml:space="preserve"> ADDIN  \* MERGEFORMAT </w:instrText>
      </w:r>
      <w:r>
        <w:fldChar w:fldCharType="end"/>
      </w:r>
      <w:r>
        <w:fldChar w:fldCharType="begin">
          <w:fldData xml:space="preserve">RgBvAG4AdABTAGUAdABGAG8AbgB0AFMAZQB0AGkAbQBpAHMAdAB5AGwAZQBzAC4AeABtAGwAAGMA
TQBcAGZ=
</w:fldData>
        </w:fldChar>
      </w:r>
      <w:r w:rsidR="00997BD1">
        <w:instrText xml:space="preserve"> ADDIN  \* MERGEFORMAT </w:instrText>
      </w:r>
      <w:r>
        <w:fldChar w:fldCharType="end"/>
      </w:r>
      <w:r>
        <w:fldChar w:fldCharType="begin">
          <w:fldData xml:space="preserve">RABvAGMAVABlAG0AcAAxAFYAYQByAFQAcgBhAGQAaQB0AGkAbwBuAGEAbAAAAAA0AGMASW==
</w:fldData>
        </w:fldChar>
      </w:r>
      <w:r w:rsidR="00997BD1">
        <w:instrText xml:space="preserve"> ADDIN  \* MERGEFORMAT </w:instrText>
      </w:r>
      <w:r>
        <w:fldChar w:fldCharType="end"/>
      </w:r>
      <w:r>
        <w:fldChar w:fldCharType="begin">
          <w:fldData xml:space="preserve">RgBvAG4AdABTAGUAdABGAG8AbgB0AFMAZQB0AEYAbwBuAHQAUwBlAHQAaQBtAGkAcwB0AHkAbABl
AHMALgB4AG0AbAAAXABlAFwAZV==
</w:fldData>
        </w:fldChar>
      </w:r>
      <w:r w:rsidR="00997BD1">
        <w:instrText xml:space="preserve"> ADDIN  \* MERGEFORMAT </w:instrText>
      </w:r>
      <w:r>
        <w:fldChar w:fldCharType="end"/>
      </w:r>
      <w:r>
        <w:fldChar w:fldCharType="begin">
          <w:fldData xml:space="preserve">RABvAGMAVABlAG0AcAAxAFYAYQByAFQAcgBhAGQAaQB0AGkAbwBuAGEAbAAAXABmAHIAbX==
</w:fldData>
        </w:fldChar>
      </w:r>
      <w:r w:rsidR="00997BD1">
        <w:instrText xml:space="preserve"> ADDIN  \* MERGEFORMAT </w:instrText>
      </w:r>
      <w:r>
        <w:fldChar w:fldCharType="end"/>
      </w:r>
      <w:r>
        <w:fldChar w:fldCharType="begin">
          <w:fldData xml:space="preserve">RgBvAG4AdABTAGUAdABGAG8AbgB0AFMAZQB0AEYAbwBuAHQAUwBlAHQARgBvAG4AdABTAGUAdABp
AG0AaQBzAHQAeQBsAGUAcwAuAHgAbQBsAABPACoAAAB0
</w:fldData>
        </w:fldChar>
      </w:r>
      <w:r w:rsidR="00997BD1">
        <w:instrText xml:space="preserve"> ADDIN  \* MERGEFORMAT </w:instrText>
      </w:r>
      <w:r>
        <w:fldChar w:fldCharType="end"/>
      </w:r>
      <w:r>
        <w:fldChar w:fldCharType="begin">
          <w:fldData xml:space="preserve">RABvAGMAVABlAG0AcAAxAFYAYQByAFQAcgBhAGQAaQB0AGkAbwBuAGEAbAAAZABkADAATT==
</w:fldData>
        </w:fldChar>
      </w:r>
      <w:r w:rsidR="00997BD1">
        <w:instrText xml:space="preserve"> ADDIN  \* MERGEFORMAT </w:instrText>
      </w:r>
      <w:r>
        <w:fldChar w:fldCharType="end"/>
      </w:r>
      <w:r>
        <w:fldChar w:fldCharType="begin">
          <w:fldData xml:space="preserve">RgBvAG4AdABTAGUAdABGAG8AbgB0AFMAZQB0AEYAbwBuAHQAUwBlAHQARgBvAG4AdABTAGUAdABG
AG8AbgB0AFMAZQB0AGkAbQBpAHMAdAB5AGwAZQBzAC4AeABtAGwAAHQAfQBcAGx=
</w:fldData>
        </w:fldChar>
      </w:r>
      <w:r w:rsidR="00997BD1">
        <w:instrText xml:space="preserve"> ADDIN  \* MERGEFORMAT </w:instrText>
      </w:r>
      <w:r>
        <w:fldChar w:fldCharType="end"/>
      </w:r>
      <w:r>
        <w:fldChar w:fldCharType="begin">
          <w:fldData xml:space="preserve">RABvAGMAVABlAG0AcAAxAFYAYQByAFQAcgBhAGQAaQB0AGkAbwBuAGEAbAAAZgBzAHIAM3==
</w:fldData>
        </w:fldChar>
      </w:r>
      <w:r w:rsidR="00997BD1">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AG8AbgB0AFMAZQB0AEYAbwBuAHQAUwBlAHQAaQBtAGkAcwB0AHkAbABlAHMALgB4AG0AbAAAAAAw
AGUASW==
</w:fldData>
        </w:fldChar>
      </w:r>
      <w:r w:rsidR="00997BD1">
        <w:instrText xml:space="preserve"> ADDIN  \* MERGEFORMAT </w:instrText>
      </w:r>
      <w:r>
        <w:fldChar w:fldCharType="end"/>
      </w:r>
      <w:r>
        <w:fldChar w:fldCharType="begin">
          <w:fldData xml:space="preserve">RABvAGMAVABlAG0AcAAxAFYAYQByAFQAcgBhAGQAaQB0AGkAbwBuAGEAbAAAAABzAG4AXG==
</w:fldData>
        </w:fldChar>
      </w:r>
      <w:r w:rsidR="00997BD1">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cwAuAHgAbQBsAAAAAGUAXABp
</w:fldData>
        </w:fldChar>
      </w:r>
      <w:r w:rsidR="00997BD1">
        <w:instrText xml:space="preserve"> ADDIN  \* MERGEFORMAT </w:instrText>
      </w:r>
      <w:r>
        <w:fldChar w:fldCharType="end"/>
      </w:r>
      <w:r>
        <w:fldChar w:fldCharType="begin">
          <w:fldData xml:space="preserve">RABvAGMAVABlAG0AcAAxAFYAYQByAFQAcgBhAGQAaQB0AGkAbwBuAGEAbAAAAABjAHsAaX==
</w:fldData>
        </w:fldChar>
      </w:r>
      <w:r w:rsidR="00997BD1">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bQBpAHMAdAB5AGwAZQBzAC4AeABtAGwAAAAAIABjAFN=
</w:fldData>
        </w:fldChar>
      </w:r>
      <w:r w:rsidR="00997BD1">
        <w:instrText xml:space="preserve"> ADDIN  \* MERGEFORMAT </w:instrText>
      </w:r>
      <w:r>
        <w:fldChar w:fldCharType="end"/>
      </w:r>
      <w:r>
        <w:fldChar w:fldCharType="begin">
          <w:fldData xml:space="preserve">RABvAGMAVABlAG0AcAAxAFYAYQByAFQAcgBhAGQAaQB0AGkAbwBuAGEAbAAAAAAAADAAeD==
</w:fldData>
        </w:fldChar>
      </w:r>
      <w:r w:rsidR="00997BD1">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bwBuAHQAUwBlAHQAaQBtAGkAcwB0AHkAbABlAHMALgB4AG0AbAAAAABsAGcAVG==
</w:fldData>
        </w:fldChar>
      </w:r>
      <w:r w:rsidR="00997BD1">
        <w:instrText xml:space="preserve"> ADDIN  \* MERGEFORMAT </w:instrText>
      </w:r>
      <w:r>
        <w:fldChar w:fldCharType="end"/>
      </w:r>
      <w:r>
        <w:fldChar w:fldCharType="begin">
          <w:fldData xml:space="preserve">RABvAGMAVABlAG0AcAAxAFYAYQByAFQAcgBhAGQAaQB0AGkAbwBuAGEAbAAAAABNAGwAMW==
</w:fldData>
        </w:fldChar>
      </w:r>
      <w:r w:rsidR="00997BD1">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bwBuAHQAUwBlAHQARgBvAG4AdABTAGUAdABpAG0AaQBzAHQAeQBsAGUAcwAuAHgAbQBsAAAAAGQA
aQBj
</w:fldData>
        </w:fldChar>
      </w:r>
      <w:r w:rsidR="00997BD1">
        <w:instrText xml:space="preserve"> ADDIN  \* MERGEFORMAT </w:instrText>
      </w:r>
      <w:r>
        <w:fldChar w:fldCharType="end"/>
      </w:r>
      <w:r>
        <w:fldChar w:fldCharType="begin">
          <w:fldData xml:space="preserve">RABvAGMAVABlAG0AcAAxAFYAYQByAFQAcgBhAGQAaQB0AGkAbwBuAGEAbAAAAABjAGwAT2==
</w:fldData>
        </w:fldChar>
      </w:r>
      <w:r w:rsidR="00997BD1">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AC4AeABtAGwAAAAAdAAyAGU=
</w:fldData>
        </w:fldChar>
      </w:r>
      <w:r w:rsidR="00997BD1">
        <w:instrText xml:space="preserve"> ADDIN  \* MERGEFORMAT </w:instrText>
      </w:r>
      <w:r>
        <w:fldChar w:fldCharType="end"/>
      </w:r>
      <w:r>
        <w:fldChar w:fldCharType="begin">
          <w:fldData xml:space="preserve">RABvAGMAVABlAG0AcAAxAFYAYQByAFQAcgBhAGQAaQB0AGkAbwBuAGEAbAAAAAB4AG8AdG==
</w:fldData>
        </w:fldChar>
      </w:r>
      <w:r w:rsidR="00997BD1">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AGkAcwB0AHkAbABlAHMALgB4AG0AbAAAAAAgAGgAYW==
</w:fldData>
        </w:fldChar>
      </w:r>
      <w:r w:rsidR="00997BD1">
        <w:instrText xml:space="preserve"> ADDIN  \* MERGEFORMAT </w:instrText>
      </w:r>
      <w:r>
        <w:fldChar w:fldCharType="end"/>
      </w:r>
      <w:r>
        <w:fldChar w:fldCharType="begin">
          <w:fldData xml:space="preserve">RABvAGMAVABlAG0AcAAxAFYAYQByAFQAcgBhAGQAaQB0AGkAbwBuAGEAbAAAAABhACAAYy==
</w:fldData>
        </w:fldChar>
      </w:r>
      <w:r w:rsidR="00997BD1">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AG4AdABTAGUAdABpAG0AaQBzAHQAeQBsAGUAcwAuAHgAbQBsAAAAACAAdAAg
</w:fldData>
        </w:fldChar>
      </w:r>
      <w:r w:rsidR="00997BD1">
        <w:instrText xml:space="preserve"> ADDIN  \* MERGEFORMAT </w:instrText>
      </w:r>
      <w:r>
        <w:fldChar w:fldCharType="end"/>
      </w:r>
      <w:r>
        <w:fldChar w:fldCharType="begin">
          <w:fldData xml:space="preserve">RABvAGMAVABlAG0AcAAxAFYAYQByAFQAcgBhAGQAaQB0AGkAbwBuAGEAbAAAIAAzAAA=
</w:fldData>
        </w:fldChar>
      </w:r>
      <w:r w:rsidR="00997BD1">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AG4AdABTAGUAdABGAG8AbgB0AFMAZQB0AGkAbQBpAHMAdAB5AGwAZQBzAC4AeABtAGwAAGQAMABS
</w:fldData>
        </w:fldChar>
      </w:r>
      <w:r w:rsidR="00997BD1">
        <w:instrText xml:space="preserve"> ADDIN  \* MERGEFORMAT </w:instrText>
      </w:r>
      <w:r>
        <w:fldChar w:fldCharType="end"/>
      </w:r>
      <w:r>
        <w:fldChar w:fldCharType="begin">
          <w:fldData xml:space="preserve">RABvAGMAVABlAG0AcAAxAFYAYQByAFQAcgBhAGQAaQB0AGkAbwBuAGEAbAAAXABkADV=
</w:fldData>
        </w:fldChar>
      </w:r>
      <w:r w:rsidR="00997BD1">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AG4AdABTAGUAdABGAG8AbgB0AFMAZQB0AGkAbQBpAHMAdAB5AGwAZQBzAC4AeABtAGwAAHIAIABE
</w:fldData>
        </w:fldChar>
      </w:r>
      <w:r w:rsidR="00997BD1">
        <w:instrText xml:space="preserve"> ADDIN  \* MERGEFORMAT </w:instrText>
      </w:r>
      <w:r>
        <w:fldChar w:fldCharType="end"/>
      </w:r>
      <w:r>
        <w:fldChar w:fldCharType="begin">
          <w:fldData xml:space="preserve">RABvAGMAVABlAG0AcAAxAFYAYQByAFQAcgBhAGQAaQB0AGkAbwBuAGEAbAAAMwBzACp=
</w:fldData>
        </w:fldChar>
      </w:r>
      <w:r w:rsidR="00997BD1">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AG4AdABTAGUAdABGAG8AbgB0AFMAZQB0AEYAbwBuAHQAUwBlAHQAaQBtAGkAcwB0AHkAbABlAHMA
LgB4AG0AbAAAbwBTAGZ=
</w:fldData>
        </w:fldChar>
      </w:r>
      <w:r w:rsidR="00997BD1">
        <w:instrText xml:space="preserve"> ADDIN  \* MERGEFORMAT </w:instrText>
      </w:r>
      <w:r>
        <w:fldChar w:fldCharType="end"/>
      </w:r>
      <w:r>
        <w:fldChar w:fldCharType="begin">
          <w:fldData xml:space="preserve">RABvAGMAVABlAG0AcAAxAFYAYQByAFQAcgBhAGQAaQB0AGkAbwBuAGEAbAAAAABJ
</w:fldData>
        </w:fldChar>
      </w:r>
      <w:r w:rsidR="00997BD1">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AG4AdABTAGUAdABGAG8AbgB0AFMAZQB0AEYAbwBuAHQAUwBlAHQARgBvAG4AdABTAGUAdABpAG0A
aQBzAHQAeQBsAGUAcwAuAHgAbQBsAABvAFwAYV==
</w:fldData>
        </w:fldChar>
      </w:r>
      <w:r w:rsidR="00997BD1">
        <w:instrText xml:space="preserve"> ADDIN  \* MERGEFORMAT </w:instrText>
      </w:r>
      <w:r>
        <w:fldChar w:fldCharType="end"/>
      </w:r>
      <w:r>
        <w:fldChar w:fldCharType="begin">
          <w:fldData xml:space="preserve">RABvAGMAVABlAG0AcAAxAFYAYQByAFQAcgBhAGQAaQB0AGkAbwBuAGEAbAAAAABJ
</w:fldData>
        </w:fldChar>
      </w:r>
      <w:r w:rsidR="00997BD1">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bgB0AFMAZQB0AGkAbQBpAHMAdAB5AGwAZQBzAC4AeABtAGwAAG8AbgB0
</w:fldData>
        </w:fldChar>
      </w:r>
      <w:r w:rsidR="00997BD1">
        <w:instrText xml:space="preserve"> ADDIN  \* MERGEFORMAT </w:instrText>
      </w:r>
      <w:r>
        <w:fldChar w:fldCharType="end"/>
      </w:r>
      <w:r>
        <w:fldChar w:fldCharType="begin">
          <w:fldData xml:space="preserve">RABvAGMAVABlAG0AcAAxAFYAYQByAFQAcgBhAGQAaQB0AGkAbwBuAGEAbAA=
</w:fldData>
        </w:fldChar>
      </w:r>
      <w:r w:rsidR="00DD6B1B">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bgB0AFMAZQB0AGkAbQBpAHMAdAB5AGwAZQBzAC4AeABtAGwAPwA=
</w:fldData>
        </w:fldChar>
      </w:r>
      <w:r w:rsidR="00DD6B1B">
        <w:instrText xml:space="preserve"> ADDIN  \* MERGEFORMAT </w:instrText>
      </w:r>
      <w:r>
        <w:fldChar w:fldCharType="end"/>
      </w:r>
      <w:r>
        <w:fldChar w:fldCharType="begin">
          <w:fldData xml:space="preserve">RABvAGMAVABlAG0AcAAxAFYAYQByAFQAcgBhAGQAaQB0AGkAbwBuAGEAbAA=
</w:fldData>
        </w:fldChar>
      </w:r>
      <w:r w:rsidR="00E661B3">
        <w:instrText xml:space="preserve"> ADDIN  \* MERGEFORMAT </w:instrText>
      </w:r>
      <w:r>
        <w:fldChar w:fldCharType="end"/>
      </w:r>
      <w:r>
        <w:fldChar w:fldCharType="begin">
          <w:fldData xml:space="preserve">RgBvAG4AdABTAGUAdABpAG0AaQBzAHQAeQBsAGUAcwAuAHgAbQBsAA==
</w:fldData>
        </w:fldChar>
      </w:r>
      <w:r w:rsidR="00E661B3">
        <w:instrText xml:space="preserve"> ADDIN  \* MERGEFORMAT </w:instrText>
      </w:r>
      <w:r>
        <w:fldChar w:fldCharType="end"/>
      </w:r>
    </w:p>
    <w:sectPr w:rsidR="00997BD1" w:rsidSect="00237C22">
      <w:footerReference w:type="even" r:id="rId12"/>
      <w:footerReference w:type="default" r:id="rId13"/>
      <w:pgSz w:w="12240" w:h="15840"/>
      <w:pgMar w:top="1152" w:right="1440" w:bottom="1008" w:left="1440" w:header="720" w:footer="720" w:gutter="0"/>
      <w:pgNumType w:fmt="lowerRoman"/>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BC8" w:rsidRDefault="00864BC8" w:rsidP="00C765C7">
      <w:r>
        <w:separator/>
      </w:r>
    </w:p>
  </w:endnote>
  <w:endnote w:type="continuationSeparator" w:id="0">
    <w:p w:rsidR="00864BC8" w:rsidRDefault="00864BC8" w:rsidP="00C765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70D" w:rsidRDefault="00EE5B25">
    <w:pPr>
      <w:pStyle w:val="Footer"/>
      <w:framePr w:wrap="around" w:vAnchor="text" w:hAnchor="margin" w:xAlign="center" w:y="1"/>
      <w:rPr>
        <w:rStyle w:val="PageNumber"/>
      </w:rPr>
    </w:pPr>
    <w:r>
      <w:rPr>
        <w:rStyle w:val="PageNumber"/>
      </w:rPr>
      <w:fldChar w:fldCharType="begin"/>
    </w:r>
    <w:r w:rsidR="00B1570D">
      <w:rPr>
        <w:rStyle w:val="PageNumber"/>
      </w:rPr>
      <w:instrText xml:space="preserve">PAGE  </w:instrText>
    </w:r>
    <w:r>
      <w:rPr>
        <w:rStyle w:val="PageNumber"/>
      </w:rPr>
      <w:fldChar w:fldCharType="end"/>
    </w:r>
  </w:p>
  <w:p w:rsidR="00B1570D" w:rsidRDefault="00B157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70D" w:rsidRDefault="00EE5B25">
    <w:pPr>
      <w:pStyle w:val="Footer"/>
      <w:framePr w:wrap="around" w:vAnchor="text" w:hAnchor="margin" w:xAlign="center" w:y="1"/>
      <w:rPr>
        <w:rStyle w:val="PageNumber"/>
      </w:rPr>
    </w:pPr>
    <w:r>
      <w:rPr>
        <w:rStyle w:val="PageNumber"/>
      </w:rPr>
      <w:fldChar w:fldCharType="begin"/>
    </w:r>
    <w:r w:rsidR="00B1570D">
      <w:rPr>
        <w:rStyle w:val="PageNumber"/>
      </w:rPr>
      <w:instrText xml:space="preserve">PAGE  </w:instrText>
    </w:r>
    <w:r>
      <w:rPr>
        <w:rStyle w:val="PageNumber"/>
      </w:rPr>
      <w:fldChar w:fldCharType="separate"/>
    </w:r>
    <w:r w:rsidR="00B06DE6">
      <w:rPr>
        <w:rStyle w:val="PageNumber"/>
        <w:noProof/>
      </w:rPr>
      <w:t>ii</w:t>
    </w:r>
    <w:r>
      <w:rPr>
        <w:rStyle w:val="PageNumber"/>
      </w:rPr>
      <w:fldChar w:fldCharType="end"/>
    </w:r>
  </w:p>
  <w:p w:rsidR="00B1570D" w:rsidRDefault="00B1570D" w:rsidP="00237C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BC8" w:rsidRDefault="00864BC8" w:rsidP="00C765C7">
      <w:r>
        <w:separator/>
      </w:r>
    </w:p>
  </w:footnote>
  <w:footnote w:type="continuationSeparator" w:id="0">
    <w:p w:rsidR="00864BC8" w:rsidRDefault="00864BC8" w:rsidP="00C76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7pt;height:11.7pt" o:bullet="t">
        <v:imagedata r:id="rId1" o:title=""/>
      </v:shape>
    </w:pict>
  </w:numPicBullet>
  <w:numPicBullet w:numPicBulletId="1">
    <w:pict>
      <v:shape id="_x0000_i1067" type="#_x0000_t75" style="width:11.7pt;height:11.7pt" o:bullet="t">
        <v:imagedata r:id="rId2" o:title=""/>
      </v:shape>
    </w:pict>
  </w:numPicBullet>
  <w:numPicBullet w:numPicBulletId="2">
    <w:pict>
      <v:shape id="_x0000_i1068" type="#_x0000_t75" style="width:11.7pt;height:11.7pt" o:bullet="t">
        <v:imagedata r:id="rId3" o:title=""/>
      </v:shape>
    </w:pict>
  </w:numPicBullet>
  <w:numPicBullet w:numPicBulletId="3">
    <w:pict>
      <v:shape id="_x0000_i1069" type="#_x0000_t75" style="width:11.7pt;height:11.7pt" o:bullet="t">
        <v:imagedata r:id="rId4" o:titl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3">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4">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5">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A6B4C78"/>
    <w:multiLevelType w:val="singleLevel"/>
    <w:tmpl w:val="B4525DB6"/>
    <w:lvl w:ilvl="0">
      <w:start w:val="1"/>
      <w:numFmt w:val="bullet"/>
      <w:lvlText w:val=""/>
      <w:lvlJc w:val="left"/>
      <w:pPr>
        <w:tabs>
          <w:tab w:val="num" w:pos="533"/>
        </w:tabs>
        <w:ind w:left="533" w:hanging="360"/>
      </w:pPr>
      <w:rPr>
        <w:rFonts w:ascii="Symbol" w:hAnsi="Symbol" w:hint="default"/>
        <w:color w:val="auto"/>
      </w:rPr>
    </w:lvl>
  </w:abstractNum>
  <w:abstractNum w:abstractNumId="7">
    <w:nsid w:val="707C2456"/>
    <w:multiLevelType w:val="hybridMultilevel"/>
    <w:tmpl w:val="A5FE9EAA"/>
    <w:lvl w:ilvl="0" w:tplc="443ADE8A">
      <w:start w:val="1"/>
      <w:numFmt w:val="bullet"/>
      <w:pStyle w:val="BulletText3"/>
      <w:lvlText w:val=""/>
      <w:lvlJc w:val="left"/>
      <w:pPr>
        <w:tabs>
          <w:tab w:val="num" w:pos="173"/>
        </w:tabs>
        <w:ind w:left="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9">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5"/>
  </w:num>
  <w:num w:numId="3">
    <w:abstractNumId w:val="0"/>
  </w:num>
  <w:num w:numId="4">
    <w:abstractNumId w:val="7"/>
  </w:num>
  <w:num w:numId="5">
    <w:abstractNumId w:val="4"/>
  </w:num>
  <w:num w:numId="6">
    <w:abstractNumId w:val="3"/>
  </w:num>
  <w:num w:numId="7">
    <w:abstractNumId w:val="8"/>
  </w:num>
  <w:num w:numId="8">
    <w:abstractNumId w:val="2"/>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oNotTrackMoves/>
  <w:defaultTabStop w:val="720"/>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Temp1Var" w:val="Traditional"/>
    <w:docVar w:name="FontSet" w:val="imistyles.xml"/>
  </w:docVars>
  <w:rsids>
    <w:rsidRoot w:val="00FE0B26"/>
    <w:rsid w:val="00001BA3"/>
    <w:rsid w:val="00002A1E"/>
    <w:rsid w:val="00006349"/>
    <w:rsid w:val="00014A89"/>
    <w:rsid w:val="000252C6"/>
    <w:rsid w:val="00025599"/>
    <w:rsid w:val="000256FB"/>
    <w:rsid w:val="00045AC8"/>
    <w:rsid w:val="00055BE4"/>
    <w:rsid w:val="00056EC0"/>
    <w:rsid w:val="00070A24"/>
    <w:rsid w:val="00073E11"/>
    <w:rsid w:val="00093228"/>
    <w:rsid w:val="000952F5"/>
    <w:rsid w:val="00097B62"/>
    <w:rsid w:val="000A0C12"/>
    <w:rsid w:val="000A18F9"/>
    <w:rsid w:val="000A1C71"/>
    <w:rsid w:val="000A5095"/>
    <w:rsid w:val="000C6E72"/>
    <w:rsid w:val="000F7E94"/>
    <w:rsid w:val="00100433"/>
    <w:rsid w:val="0010215F"/>
    <w:rsid w:val="00106EEF"/>
    <w:rsid w:val="00123973"/>
    <w:rsid w:val="00136F3E"/>
    <w:rsid w:val="00163421"/>
    <w:rsid w:val="00171643"/>
    <w:rsid w:val="00186D46"/>
    <w:rsid w:val="001A2A08"/>
    <w:rsid w:val="001B58CC"/>
    <w:rsid w:val="001C3607"/>
    <w:rsid w:val="001C3AE3"/>
    <w:rsid w:val="001C3EB5"/>
    <w:rsid w:val="001D6C13"/>
    <w:rsid w:val="001E1F56"/>
    <w:rsid w:val="001E6432"/>
    <w:rsid w:val="001F0114"/>
    <w:rsid w:val="001F5C04"/>
    <w:rsid w:val="002048B3"/>
    <w:rsid w:val="00231522"/>
    <w:rsid w:val="00237C22"/>
    <w:rsid w:val="00240624"/>
    <w:rsid w:val="00244BC2"/>
    <w:rsid w:val="002478EC"/>
    <w:rsid w:val="002624D7"/>
    <w:rsid w:val="00277229"/>
    <w:rsid w:val="00280953"/>
    <w:rsid w:val="00287F07"/>
    <w:rsid w:val="002B0DC1"/>
    <w:rsid w:val="002B2787"/>
    <w:rsid w:val="002B5613"/>
    <w:rsid w:val="002B7A7E"/>
    <w:rsid w:val="002D46A4"/>
    <w:rsid w:val="002D7704"/>
    <w:rsid w:val="002E5C93"/>
    <w:rsid w:val="002F0EB3"/>
    <w:rsid w:val="002F2563"/>
    <w:rsid w:val="002F5B21"/>
    <w:rsid w:val="002F7397"/>
    <w:rsid w:val="00317416"/>
    <w:rsid w:val="00317E06"/>
    <w:rsid w:val="00321DD0"/>
    <w:rsid w:val="00323D23"/>
    <w:rsid w:val="00332B80"/>
    <w:rsid w:val="00341055"/>
    <w:rsid w:val="00341981"/>
    <w:rsid w:val="003468AD"/>
    <w:rsid w:val="003530A1"/>
    <w:rsid w:val="003600E2"/>
    <w:rsid w:val="00366D36"/>
    <w:rsid w:val="00382293"/>
    <w:rsid w:val="00382556"/>
    <w:rsid w:val="003833DD"/>
    <w:rsid w:val="00386999"/>
    <w:rsid w:val="0039378D"/>
    <w:rsid w:val="00397D03"/>
    <w:rsid w:val="003B2927"/>
    <w:rsid w:val="003D3498"/>
    <w:rsid w:val="003F2181"/>
    <w:rsid w:val="003F6048"/>
    <w:rsid w:val="003F672A"/>
    <w:rsid w:val="0040351B"/>
    <w:rsid w:val="00405F5A"/>
    <w:rsid w:val="0040629B"/>
    <w:rsid w:val="00421403"/>
    <w:rsid w:val="00435BA5"/>
    <w:rsid w:val="004373D9"/>
    <w:rsid w:val="0045026F"/>
    <w:rsid w:val="00455EF7"/>
    <w:rsid w:val="004562CC"/>
    <w:rsid w:val="00456FA7"/>
    <w:rsid w:val="0045764F"/>
    <w:rsid w:val="00471ECA"/>
    <w:rsid w:val="00472997"/>
    <w:rsid w:val="00474440"/>
    <w:rsid w:val="00474A35"/>
    <w:rsid w:val="004821F2"/>
    <w:rsid w:val="00482FA3"/>
    <w:rsid w:val="0048559D"/>
    <w:rsid w:val="004939C6"/>
    <w:rsid w:val="00494175"/>
    <w:rsid w:val="004C6C3D"/>
    <w:rsid w:val="004E55C3"/>
    <w:rsid w:val="004E6824"/>
    <w:rsid w:val="004F375E"/>
    <w:rsid w:val="004F4774"/>
    <w:rsid w:val="00504F80"/>
    <w:rsid w:val="00506485"/>
    <w:rsid w:val="00512BA0"/>
    <w:rsid w:val="00513DA7"/>
    <w:rsid w:val="00516C82"/>
    <w:rsid w:val="005720F5"/>
    <w:rsid w:val="005833DD"/>
    <w:rsid w:val="00586ED4"/>
    <w:rsid w:val="00587B24"/>
    <w:rsid w:val="00594258"/>
    <w:rsid w:val="005A464D"/>
    <w:rsid w:val="005A46DE"/>
    <w:rsid w:val="005B74CE"/>
    <w:rsid w:val="005D6908"/>
    <w:rsid w:val="005E4363"/>
    <w:rsid w:val="005F0800"/>
    <w:rsid w:val="006008C5"/>
    <w:rsid w:val="00620301"/>
    <w:rsid w:val="0062068D"/>
    <w:rsid w:val="0063004C"/>
    <w:rsid w:val="006300A2"/>
    <w:rsid w:val="006317AA"/>
    <w:rsid w:val="00633634"/>
    <w:rsid w:val="00634957"/>
    <w:rsid w:val="006378CC"/>
    <w:rsid w:val="0063796F"/>
    <w:rsid w:val="00644183"/>
    <w:rsid w:val="006473C3"/>
    <w:rsid w:val="00662FB0"/>
    <w:rsid w:val="006708D7"/>
    <w:rsid w:val="006837E0"/>
    <w:rsid w:val="006917AA"/>
    <w:rsid w:val="00691E8B"/>
    <w:rsid w:val="006967A7"/>
    <w:rsid w:val="00696EEA"/>
    <w:rsid w:val="006B7262"/>
    <w:rsid w:val="006C3465"/>
    <w:rsid w:val="006C3E5F"/>
    <w:rsid w:val="006C48FF"/>
    <w:rsid w:val="006D066E"/>
    <w:rsid w:val="006D3EFE"/>
    <w:rsid w:val="006D5C21"/>
    <w:rsid w:val="006F6D37"/>
    <w:rsid w:val="007111F2"/>
    <w:rsid w:val="0071429A"/>
    <w:rsid w:val="007154FA"/>
    <w:rsid w:val="00721F08"/>
    <w:rsid w:val="00724248"/>
    <w:rsid w:val="00724448"/>
    <w:rsid w:val="0072605B"/>
    <w:rsid w:val="00732186"/>
    <w:rsid w:val="00732FFC"/>
    <w:rsid w:val="00737049"/>
    <w:rsid w:val="0074182A"/>
    <w:rsid w:val="00744076"/>
    <w:rsid w:val="00762D35"/>
    <w:rsid w:val="0077223E"/>
    <w:rsid w:val="00774CE0"/>
    <w:rsid w:val="0078769A"/>
    <w:rsid w:val="0079251B"/>
    <w:rsid w:val="007A0BBA"/>
    <w:rsid w:val="007A0C5F"/>
    <w:rsid w:val="007A1D0A"/>
    <w:rsid w:val="007A1F4C"/>
    <w:rsid w:val="007C34EF"/>
    <w:rsid w:val="007C5EE7"/>
    <w:rsid w:val="007D0C9A"/>
    <w:rsid w:val="007D14BA"/>
    <w:rsid w:val="007D2FE0"/>
    <w:rsid w:val="007D5B97"/>
    <w:rsid w:val="007D736D"/>
    <w:rsid w:val="007E5515"/>
    <w:rsid w:val="007E6E0B"/>
    <w:rsid w:val="007F33CB"/>
    <w:rsid w:val="008034E7"/>
    <w:rsid w:val="0080590C"/>
    <w:rsid w:val="00807EAA"/>
    <w:rsid w:val="00834FED"/>
    <w:rsid w:val="00840479"/>
    <w:rsid w:val="00846A38"/>
    <w:rsid w:val="0086475B"/>
    <w:rsid w:val="00864BC8"/>
    <w:rsid w:val="00875AFA"/>
    <w:rsid w:val="00875D0A"/>
    <w:rsid w:val="00876503"/>
    <w:rsid w:val="0088609E"/>
    <w:rsid w:val="008906BF"/>
    <w:rsid w:val="008A3D1B"/>
    <w:rsid w:val="008A41D3"/>
    <w:rsid w:val="008B12DA"/>
    <w:rsid w:val="008B4CB5"/>
    <w:rsid w:val="008C723F"/>
    <w:rsid w:val="008D12C3"/>
    <w:rsid w:val="008D458B"/>
    <w:rsid w:val="008E22CF"/>
    <w:rsid w:val="008E271D"/>
    <w:rsid w:val="008E5824"/>
    <w:rsid w:val="008E589A"/>
    <w:rsid w:val="008F1D5B"/>
    <w:rsid w:val="009076E7"/>
    <w:rsid w:val="00910D6B"/>
    <w:rsid w:val="00911D51"/>
    <w:rsid w:val="00914FA9"/>
    <w:rsid w:val="00916AE6"/>
    <w:rsid w:val="009329A7"/>
    <w:rsid w:val="009350FC"/>
    <w:rsid w:val="00937447"/>
    <w:rsid w:val="00941453"/>
    <w:rsid w:val="009477FE"/>
    <w:rsid w:val="00954CA0"/>
    <w:rsid w:val="009769CD"/>
    <w:rsid w:val="00980898"/>
    <w:rsid w:val="0098727F"/>
    <w:rsid w:val="00997BD1"/>
    <w:rsid w:val="009A131A"/>
    <w:rsid w:val="009C7EEF"/>
    <w:rsid w:val="009E6E1A"/>
    <w:rsid w:val="009F12D6"/>
    <w:rsid w:val="009F70F7"/>
    <w:rsid w:val="00A1069D"/>
    <w:rsid w:val="00A13B6B"/>
    <w:rsid w:val="00A315CB"/>
    <w:rsid w:val="00A3579D"/>
    <w:rsid w:val="00A55356"/>
    <w:rsid w:val="00A56D87"/>
    <w:rsid w:val="00A800D2"/>
    <w:rsid w:val="00A8520D"/>
    <w:rsid w:val="00A94FCE"/>
    <w:rsid w:val="00AB1B7F"/>
    <w:rsid w:val="00AC2993"/>
    <w:rsid w:val="00AE39E3"/>
    <w:rsid w:val="00AF2CD6"/>
    <w:rsid w:val="00B03407"/>
    <w:rsid w:val="00B06DE6"/>
    <w:rsid w:val="00B1570D"/>
    <w:rsid w:val="00B22731"/>
    <w:rsid w:val="00B30D2F"/>
    <w:rsid w:val="00B40968"/>
    <w:rsid w:val="00B41348"/>
    <w:rsid w:val="00B4163A"/>
    <w:rsid w:val="00B45559"/>
    <w:rsid w:val="00B56908"/>
    <w:rsid w:val="00B64C48"/>
    <w:rsid w:val="00B86A6E"/>
    <w:rsid w:val="00B87939"/>
    <w:rsid w:val="00B91C20"/>
    <w:rsid w:val="00B91C85"/>
    <w:rsid w:val="00B92222"/>
    <w:rsid w:val="00B93A3C"/>
    <w:rsid w:val="00B945D6"/>
    <w:rsid w:val="00B96287"/>
    <w:rsid w:val="00BA5115"/>
    <w:rsid w:val="00BA6188"/>
    <w:rsid w:val="00BA69A1"/>
    <w:rsid w:val="00BB3433"/>
    <w:rsid w:val="00BB3A7F"/>
    <w:rsid w:val="00BC1044"/>
    <w:rsid w:val="00BC174D"/>
    <w:rsid w:val="00BE45D2"/>
    <w:rsid w:val="00BF7FE3"/>
    <w:rsid w:val="00C03E10"/>
    <w:rsid w:val="00C106F3"/>
    <w:rsid w:val="00C1174A"/>
    <w:rsid w:val="00C171D1"/>
    <w:rsid w:val="00C244D1"/>
    <w:rsid w:val="00C24D50"/>
    <w:rsid w:val="00C35EB2"/>
    <w:rsid w:val="00C416B5"/>
    <w:rsid w:val="00C428C4"/>
    <w:rsid w:val="00C75ADD"/>
    <w:rsid w:val="00C765C7"/>
    <w:rsid w:val="00C770EB"/>
    <w:rsid w:val="00C819A3"/>
    <w:rsid w:val="00C84C91"/>
    <w:rsid w:val="00C85ABC"/>
    <w:rsid w:val="00C94576"/>
    <w:rsid w:val="00CA309F"/>
    <w:rsid w:val="00CB4E3C"/>
    <w:rsid w:val="00CC105E"/>
    <w:rsid w:val="00CD2D08"/>
    <w:rsid w:val="00CD5432"/>
    <w:rsid w:val="00CD6D99"/>
    <w:rsid w:val="00CE58D1"/>
    <w:rsid w:val="00D03608"/>
    <w:rsid w:val="00D15547"/>
    <w:rsid w:val="00D17818"/>
    <w:rsid w:val="00D20C37"/>
    <w:rsid w:val="00D36508"/>
    <w:rsid w:val="00D57B91"/>
    <w:rsid w:val="00D61497"/>
    <w:rsid w:val="00D64282"/>
    <w:rsid w:val="00D66011"/>
    <w:rsid w:val="00D673BB"/>
    <w:rsid w:val="00D746AE"/>
    <w:rsid w:val="00D77146"/>
    <w:rsid w:val="00D823AF"/>
    <w:rsid w:val="00D859C0"/>
    <w:rsid w:val="00DA11C2"/>
    <w:rsid w:val="00DA1BE2"/>
    <w:rsid w:val="00DB074F"/>
    <w:rsid w:val="00DB2902"/>
    <w:rsid w:val="00DB743E"/>
    <w:rsid w:val="00DC78F4"/>
    <w:rsid w:val="00DD4027"/>
    <w:rsid w:val="00DD5336"/>
    <w:rsid w:val="00DD6B1B"/>
    <w:rsid w:val="00DD7D9C"/>
    <w:rsid w:val="00DE0E35"/>
    <w:rsid w:val="00DE1EBC"/>
    <w:rsid w:val="00DF44AC"/>
    <w:rsid w:val="00DF6A91"/>
    <w:rsid w:val="00E02B0C"/>
    <w:rsid w:val="00E07BAD"/>
    <w:rsid w:val="00E2529E"/>
    <w:rsid w:val="00E3435B"/>
    <w:rsid w:val="00E36906"/>
    <w:rsid w:val="00E44993"/>
    <w:rsid w:val="00E46B0C"/>
    <w:rsid w:val="00E572F2"/>
    <w:rsid w:val="00E619DD"/>
    <w:rsid w:val="00E661B3"/>
    <w:rsid w:val="00E76CDE"/>
    <w:rsid w:val="00E964FD"/>
    <w:rsid w:val="00E96B99"/>
    <w:rsid w:val="00EA3A57"/>
    <w:rsid w:val="00EB00F1"/>
    <w:rsid w:val="00EB3C76"/>
    <w:rsid w:val="00EC3228"/>
    <w:rsid w:val="00ED25E7"/>
    <w:rsid w:val="00ED4D5E"/>
    <w:rsid w:val="00ED6E4D"/>
    <w:rsid w:val="00EE2A6B"/>
    <w:rsid w:val="00EE5B25"/>
    <w:rsid w:val="00EF4BEC"/>
    <w:rsid w:val="00F006B2"/>
    <w:rsid w:val="00F060A7"/>
    <w:rsid w:val="00F0755C"/>
    <w:rsid w:val="00F07FCB"/>
    <w:rsid w:val="00F22AC4"/>
    <w:rsid w:val="00F35B44"/>
    <w:rsid w:val="00F43DFA"/>
    <w:rsid w:val="00F470AA"/>
    <w:rsid w:val="00F700B9"/>
    <w:rsid w:val="00F806FB"/>
    <w:rsid w:val="00F820B6"/>
    <w:rsid w:val="00F85383"/>
    <w:rsid w:val="00F87670"/>
    <w:rsid w:val="00F902F9"/>
    <w:rsid w:val="00F90609"/>
    <w:rsid w:val="00F93EAA"/>
    <w:rsid w:val="00FA55D5"/>
    <w:rsid w:val="00FA6C2F"/>
    <w:rsid w:val="00FB2594"/>
    <w:rsid w:val="00FB3CD2"/>
    <w:rsid w:val="00FB5830"/>
    <w:rsid w:val="00FC0F4F"/>
    <w:rsid w:val="00FC334C"/>
    <w:rsid w:val="00FD2117"/>
    <w:rsid w:val="00FE0B26"/>
    <w:rsid w:val="00FE6A10"/>
    <w:rsid w:val="00FF70B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A309F"/>
    <w:rPr>
      <w:rFonts w:eastAsia="Times New Roman"/>
      <w:color w:val="000000"/>
      <w:sz w:val="24"/>
      <w:szCs w:val="24"/>
    </w:rPr>
  </w:style>
  <w:style w:type="paragraph" w:styleId="Heading1">
    <w:name w:val="heading 1"/>
    <w:aliases w:val="Part Title"/>
    <w:basedOn w:val="Normal"/>
    <w:next w:val="Heading4"/>
    <w:link w:val="Heading1Char"/>
    <w:uiPriority w:val="99"/>
    <w:qFormat/>
    <w:rsid w:val="00CA309F"/>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uiPriority w:val="99"/>
    <w:qFormat/>
    <w:rsid w:val="00CA309F"/>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uiPriority w:val="99"/>
    <w:qFormat/>
    <w:rsid w:val="00CA309F"/>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uiPriority w:val="99"/>
    <w:qFormat/>
    <w:rsid w:val="00CA309F"/>
    <w:pPr>
      <w:spacing w:after="240"/>
      <w:outlineLvl w:val="3"/>
    </w:pPr>
    <w:rPr>
      <w:rFonts w:ascii="Arial" w:hAnsi="Arial" w:cs="Arial"/>
      <w:b/>
      <w:sz w:val="32"/>
      <w:szCs w:val="20"/>
    </w:rPr>
  </w:style>
  <w:style w:type="paragraph" w:styleId="Heading5">
    <w:name w:val="heading 5"/>
    <w:aliases w:val="Block Label"/>
    <w:basedOn w:val="Normal"/>
    <w:link w:val="Heading5Char"/>
    <w:uiPriority w:val="99"/>
    <w:qFormat/>
    <w:rsid w:val="00CA309F"/>
    <w:pPr>
      <w:outlineLvl w:val="4"/>
    </w:pPr>
    <w:rPr>
      <w:b/>
      <w:sz w:val="22"/>
      <w:szCs w:val="20"/>
    </w:rPr>
  </w:style>
  <w:style w:type="paragraph" w:styleId="Heading6">
    <w:name w:val="heading 6"/>
    <w:aliases w:val="Sub Label"/>
    <w:basedOn w:val="Heading5"/>
    <w:next w:val="BlockText"/>
    <w:link w:val="Heading6Char"/>
    <w:uiPriority w:val="99"/>
    <w:qFormat/>
    <w:rsid w:val="00CA309F"/>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uiPriority w:val="99"/>
    <w:locked/>
    <w:rsid w:val="00C24D50"/>
    <w:rPr>
      <w:rFonts w:ascii="Arial" w:hAnsi="Arial" w:cs="Arial"/>
      <w:b/>
      <w:color w:val="000000"/>
      <w:sz w:val="32"/>
    </w:rPr>
  </w:style>
  <w:style w:type="character" w:customStyle="1" w:styleId="Heading2Char">
    <w:name w:val="Heading 2 Char"/>
    <w:aliases w:val="Chapter Title Char"/>
    <w:basedOn w:val="DefaultParagraphFont"/>
    <w:link w:val="Heading2"/>
    <w:uiPriority w:val="99"/>
    <w:locked/>
    <w:rsid w:val="00C24D50"/>
    <w:rPr>
      <w:rFonts w:ascii="Arial" w:hAnsi="Arial" w:cs="Arial"/>
      <w:b/>
      <w:color w:val="000000"/>
      <w:sz w:val="32"/>
    </w:rPr>
  </w:style>
  <w:style w:type="character" w:customStyle="1" w:styleId="Heading3Char">
    <w:name w:val="Heading 3 Char"/>
    <w:aliases w:val="Section Title Char"/>
    <w:basedOn w:val="DefaultParagraphFont"/>
    <w:link w:val="Heading3"/>
    <w:uiPriority w:val="99"/>
    <w:locked/>
    <w:rsid w:val="00C24D50"/>
    <w:rPr>
      <w:rFonts w:ascii="Arial" w:hAnsi="Arial" w:cs="Arial"/>
      <w:b/>
      <w:color w:val="000000"/>
      <w:sz w:val="32"/>
    </w:rPr>
  </w:style>
  <w:style w:type="character" w:customStyle="1" w:styleId="Heading4Char">
    <w:name w:val="Heading 4 Char"/>
    <w:aliases w:val="Map Title Char"/>
    <w:basedOn w:val="DefaultParagraphFont"/>
    <w:link w:val="Heading4"/>
    <w:uiPriority w:val="99"/>
    <w:locked/>
    <w:rsid w:val="00504F80"/>
    <w:rPr>
      <w:rFonts w:ascii="Arial" w:hAnsi="Arial" w:cs="Arial"/>
      <w:b/>
      <w:color w:val="000000"/>
      <w:sz w:val="32"/>
    </w:rPr>
  </w:style>
  <w:style w:type="character" w:customStyle="1" w:styleId="Heading5Char">
    <w:name w:val="Heading 5 Char"/>
    <w:aliases w:val="Block Label Char"/>
    <w:basedOn w:val="DefaultParagraphFont"/>
    <w:link w:val="Heading5"/>
    <w:uiPriority w:val="99"/>
    <w:locked/>
    <w:rsid w:val="00504F80"/>
    <w:rPr>
      <w:rFonts w:eastAsia="Times New Roman" w:cs="Times New Roman"/>
      <w:b/>
      <w:color w:val="000000"/>
      <w:sz w:val="22"/>
    </w:rPr>
  </w:style>
  <w:style w:type="character" w:customStyle="1" w:styleId="Heading6Char">
    <w:name w:val="Heading 6 Char"/>
    <w:aliases w:val="Sub Label Char"/>
    <w:basedOn w:val="DefaultParagraphFont"/>
    <w:link w:val="Heading6"/>
    <w:uiPriority w:val="99"/>
    <w:locked/>
    <w:rsid w:val="00C24D50"/>
    <w:rPr>
      <w:rFonts w:eastAsia="Times New Roman" w:cs="Times New Roman"/>
      <w:b/>
      <w:i/>
      <w:color w:val="000000"/>
      <w:sz w:val="22"/>
    </w:rPr>
  </w:style>
  <w:style w:type="paragraph" w:customStyle="1" w:styleId="BlockLine">
    <w:name w:val="Block Line"/>
    <w:basedOn w:val="Normal"/>
    <w:next w:val="Normal"/>
    <w:uiPriority w:val="99"/>
    <w:rsid w:val="00CA309F"/>
    <w:pPr>
      <w:pBdr>
        <w:top w:val="single" w:sz="6" w:space="1" w:color="000000"/>
        <w:between w:val="single" w:sz="6" w:space="1" w:color="auto"/>
      </w:pBdr>
      <w:spacing w:before="240"/>
      <w:ind w:left="1728"/>
    </w:pPr>
    <w:rPr>
      <w:szCs w:val="20"/>
    </w:rPr>
  </w:style>
  <w:style w:type="paragraph" w:styleId="BlockText">
    <w:name w:val="Block Text"/>
    <w:basedOn w:val="Normal"/>
    <w:uiPriority w:val="99"/>
    <w:rsid w:val="00CA309F"/>
  </w:style>
  <w:style w:type="paragraph" w:customStyle="1" w:styleId="BulletText1">
    <w:name w:val="Bullet Text 1"/>
    <w:basedOn w:val="Normal"/>
    <w:uiPriority w:val="99"/>
    <w:rsid w:val="00CA309F"/>
    <w:pPr>
      <w:numPr>
        <w:numId w:val="2"/>
      </w:numPr>
    </w:pPr>
    <w:rPr>
      <w:szCs w:val="20"/>
    </w:rPr>
  </w:style>
  <w:style w:type="paragraph" w:customStyle="1" w:styleId="ContinuedOnNextPa">
    <w:name w:val="Continued On Next Pa"/>
    <w:basedOn w:val="Normal"/>
    <w:next w:val="Normal"/>
    <w:uiPriority w:val="99"/>
    <w:rsid w:val="00CA309F"/>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uiPriority w:val="99"/>
    <w:rsid w:val="00CA309F"/>
    <w:rPr>
      <w:szCs w:val="20"/>
    </w:rPr>
  </w:style>
  <w:style w:type="paragraph" w:customStyle="1" w:styleId="TableHeaderText">
    <w:name w:val="Table Header Text"/>
    <w:basedOn w:val="Normal"/>
    <w:uiPriority w:val="99"/>
    <w:rsid w:val="00CA309F"/>
    <w:pPr>
      <w:jc w:val="center"/>
    </w:pPr>
    <w:rPr>
      <w:b/>
      <w:szCs w:val="20"/>
    </w:rPr>
  </w:style>
  <w:style w:type="paragraph" w:customStyle="1" w:styleId="MapTitleContinued">
    <w:name w:val="Map Title. Continued"/>
    <w:basedOn w:val="Normal"/>
    <w:next w:val="Normal"/>
    <w:uiPriority w:val="99"/>
    <w:rsid w:val="00CA309F"/>
    <w:pPr>
      <w:spacing w:after="240"/>
    </w:pPr>
    <w:rPr>
      <w:rFonts w:ascii="Arial" w:hAnsi="Arial" w:cs="Arial"/>
      <w:b/>
      <w:sz w:val="32"/>
      <w:szCs w:val="20"/>
    </w:rPr>
  </w:style>
  <w:style w:type="paragraph" w:customStyle="1" w:styleId="BulletText2">
    <w:name w:val="Bullet Text 2"/>
    <w:basedOn w:val="Normal"/>
    <w:uiPriority w:val="99"/>
    <w:rsid w:val="00CA309F"/>
    <w:pPr>
      <w:numPr>
        <w:numId w:val="3"/>
      </w:numPr>
    </w:pPr>
    <w:rPr>
      <w:szCs w:val="20"/>
    </w:rPr>
  </w:style>
  <w:style w:type="character" w:styleId="Hyperlink">
    <w:name w:val="Hyperlink"/>
    <w:basedOn w:val="DefaultParagraphFont"/>
    <w:uiPriority w:val="99"/>
    <w:rsid w:val="00CA309F"/>
    <w:rPr>
      <w:rFonts w:cs="Times New Roman"/>
      <w:color w:val="0000FF"/>
      <w:u w:val="single"/>
    </w:rPr>
  </w:style>
  <w:style w:type="paragraph" w:customStyle="1" w:styleId="ContinuedTableLabe">
    <w:name w:val="Continued Table Labe"/>
    <w:basedOn w:val="Normal"/>
    <w:next w:val="Normal"/>
    <w:uiPriority w:val="99"/>
    <w:rsid w:val="00CA309F"/>
    <w:pPr>
      <w:spacing w:after="240"/>
    </w:pPr>
    <w:rPr>
      <w:b/>
      <w:sz w:val="22"/>
      <w:szCs w:val="20"/>
    </w:rPr>
  </w:style>
  <w:style w:type="paragraph" w:customStyle="1" w:styleId="MemoLine">
    <w:name w:val="Memo Line"/>
    <w:basedOn w:val="BlockLine"/>
    <w:next w:val="Normal"/>
    <w:uiPriority w:val="99"/>
    <w:rsid w:val="00CA309F"/>
  </w:style>
  <w:style w:type="paragraph" w:styleId="Footer">
    <w:name w:val="footer"/>
    <w:basedOn w:val="Normal"/>
    <w:link w:val="FooterChar"/>
    <w:uiPriority w:val="99"/>
    <w:rsid w:val="00CA309F"/>
    <w:pPr>
      <w:tabs>
        <w:tab w:val="center" w:pos="4680"/>
        <w:tab w:val="right" w:pos="9360"/>
      </w:tabs>
    </w:pPr>
    <w:rPr>
      <w:color w:val="auto"/>
    </w:rPr>
  </w:style>
  <w:style w:type="character" w:customStyle="1" w:styleId="FooterChar">
    <w:name w:val="Footer Char"/>
    <w:basedOn w:val="DefaultParagraphFont"/>
    <w:link w:val="Footer"/>
    <w:uiPriority w:val="99"/>
    <w:locked/>
    <w:rsid w:val="00CA309F"/>
    <w:rPr>
      <w:rFonts w:eastAsia="Times New Roman" w:cs="Times New Roman"/>
      <w:sz w:val="24"/>
    </w:rPr>
  </w:style>
  <w:style w:type="character" w:styleId="PageNumber">
    <w:name w:val="page number"/>
    <w:basedOn w:val="DefaultParagraphFont"/>
    <w:uiPriority w:val="99"/>
    <w:rsid w:val="00504F80"/>
    <w:rPr>
      <w:rFonts w:cs="Times New Roman"/>
    </w:rPr>
  </w:style>
  <w:style w:type="character" w:styleId="CommentReference">
    <w:name w:val="annotation reference"/>
    <w:basedOn w:val="DefaultParagraphFont"/>
    <w:uiPriority w:val="99"/>
    <w:semiHidden/>
    <w:rsid w:val="00B96287"/>
    <w:rPr>
      <w:rFonts w:cs="Times New Roman"/>
      <w:sz w:val="16"/>
      <w:szCs w:val="16"/>
    </w:rPr>
  </w:style>
  <w:style w:type="paragraph" w:styleId="CommentText">
    <w:name w:val="annotation text"/>
    <w:basedOn w:val="Normal"/>
    <w:link w:val="CommentTextChar"/>
    <w:uiPriority w:val="99"/>
    <w:semiHidden/>
    <w:rsid w:val="00B96287"/>
    <w:rPr>
      <w:sz w:val="20"/>
      <w:szCs w:val="20"/>
    </w:rPr>
  </w:style>
  <w:style w:type="character" w:customStyle="1" w:styleId="CommentTextChar">
    <w:name w:val="Comment Text Char"/>
    <w:basedOn w:val="DefaultParagraphFont"/>
    <w:link w:val="CommentText"/>
    <w:uiPriority w:val="99"/>
    <w:semiHidden/>
    <w:locked/>
    <w:rsid w:val="00B96287"/>
    <w:rPr>
      <w:rFonts w:eastAsia="Times New Roman" w:cs="Times New Roman"/>
      <w:color w:val="000000"/>
    </w:rPr>
  </w:style>
  <w:style w:type="paragraph" w:styleId="CommentSubject">
    <w:name w:val="annotation subject"/>
    <w:basedOn w:val="CommentText"/>
    <w:next w:val="CommentText"/>
    <w:link w:val="CommentSubjectChar"/>
    <w:uiPriority w:val="99"/>
    <w:semiHidden/>
    <w:rsid w:val="00B96287"/>
    <w:rPr>
      <w:b/>
      <w:bCs/>
    </w:rPr>
  </w:style>
  <w:style w:type="character" w:customStyle="1" w:styleId="CommentSubjectChar">
    <w:name w:val="Comment Subject Char"/>
    <w:basedOn w:val="CommentTextChar"/>
    <w:link w:val="CommentSubject"/>
    <w:uiPriority w:val="99"/>
    <w:semiHidden/>
    <w:locked/>
    <w:rsid w:val="00B96287"/>
    <w:rPr>
      <w:b/>
      <w:bCs/>
    </w:rPr>
  </w:style>
  <w:style w:type="paragraph" w:styleId="BalloonText">
    <w:name w:val="Balloon Text"/>
    <w:basedOn w:val="Normal"/>
    <w:link w:val="BalloonTextChar"/>
    <w:uiPriority w:val="99"/>
    <w:semiHidden/>
    <w:rsid w:val="00CA30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6287"/>
    <w:rPr>
      <w:rFonts w:ascii="Tahoma" w:hAnsi="Tahoma" w:cs="Tahoma"/>
      <w:color w:val="000000"/>
      <w:sz w:val="16"/>
      <w:szCs w:val="16"/>
    </w:rPr>
  </w:style>
  <w:style w:type="paragraph" w:customStyle="1" w:styleId="BulletText3">
    <w:name w:val="Bullet Text 3"/>
    <w:basedOn w:val="Normal"/>
    <w:uiPriority w:val="99"/>
    <w:rsid w:val="00CA309F"/>
    <w:pPr>
      <w:numPr>
        <w:numId w:val="4"/>
      </w:numPr>
      <w:tabs>
        <w:tab w:val="clear" w:pos="173"/>
      </w:tabs>
      <w:ind w:left="533" w:hanging="173"/>
    </w:pPr>
    <w:rPr>
      <w:szCs w:val="20"/>
    </w:rPr>
  </w:style>
  <w:style w:type="paragraph" w:customStyle="1" w:styleId="ContinuedBlockLabel">
    <w:name w:val="Continued Block Label"/>
    <w:basedOn w:val="Normal"/>
    <w:next w:val="Normal"/>
    <w:uiPriority w:val="99"/>
    <w:rsid w:val="00CA309F"/>
    <w:pPr>
      <w:spacing w:after="240"/>
    </w:pPr>
    <w:rPr>
      <w:b/>
      <w:sz w:val="22"/>
      <w:szCs w:val="20"/>
    </w:rPr>
  </w:style>
  <w:style w:type="paragraph" w:customStyle="1" w:styleId="EmbeddedText">
    <w:name w:val="Embedded Text"/>
    <w:basedOn w:val="Normal"/>
    <w:uiPriority w:val="99"/>
    <w:rsid w:val="00CA309F"/>
    <w:rPr>
      <w:szCs w:val="20"/>
    </w:rPr>
  </w:style>
  <w:style w:type="character" w:styleId="HTMLAcronym">
    <w:name w:val="HTML Acronym"/>
    <w:basedOn w:val="DefaultParagraphFont"/>
    <w:uiPriority w:val="99"/>
    <w:rsid w:val="00CA309F"/>
    <w:rPr>
      <w:rFonts w:cs="Times New Roman"/>
    </w:rPr>
  </w:style>
  <w:style w:type="paragraph" w:customStyle="1" w:styleId="IMTOC">
    <w:name w:val="IMTOC"/>
    <w:uiPriority w:val="99"/>
    <w:rsid w:val="00CA309F"/>
    <w:rPr>
      <w:rFonts w:eastAsia="Times New Roman"/>
      <w:sz w:val="24"/>
    </w:rPr>
  </w:style>
  <w:style w:type="paragraph" w:customStyle="1" w:styleId="NoteText">
    <w:name w:val="Note Text"/>
    <w:basedOn w:val="Normal"/>
    <w:uiPriority w:val="99"/>
    <w:rsid w:val="00CA309F"/>
    <w:rPr>
      <w:szCs w:val="20"/>
    </w:rPr>
  </w:style>
  <w:style w:type="paragraph" w:customStyle="1" w:styleId="PublicationTitle">
    <w:name w:val="Publication Title"/>
    <w:basedOn w:val="Normal"/>
    <w:next w:val="Heading4"/>
    <w:uiPriority w:val="99"/>
    <w:rsid w:val="00CA309F"/>
    <w:pPr>
      <w:spacing w:after="240"/>
      <w:jc w:val="center"/>
    </w:pPr>
    <w:rPr>
      <w:rFonts w:ascii="Arial" w:hAnsi="Arial" w:cs="Arial"/>
      <w:b/>
      <w:sz w:val="32"/>
      <w:szCs w:val="20"/>
    </w:rPr>
  </w:style>
  <w:style w:type="table" w:styleId="TableGrid">
    <w:name w:val="Table Grid"/>
    <w:basedOn w:val="TableNormal"/>
    <w:uiPriority w:val="99"/>
    <w:rsid w:val="00CA309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Title">
    <w:name w:val="TOC Title"/>
    <w:basedOn w:val="Normal"/>
    <w:uiPriority w:val="99"/>
    <w:rsid w:val="00CA309F"/>
    <w:pPr>
      <w:widowControl w:val="0"/>
    </w:pPr>
    <w:rPr>
      <w:rFonts w:ascii="Arial" w:hAnsi="Arial" w:cs="Arial"/>
      <w:b/>
      <w:sz w:val="32"/>
      <w:szCs w:val="20"/>
    </w:rPr>
  </w:style>
  <w:style w:type="paragraph" w:customStyle="1" w:styleId="TOCItem">
    <w:name w:val="TOCItem"/>
    <w:basedOn w:val="Normal"/>
    <w:uiPriority w:val="99"/>
    <w:rsid w:val="00CA309F"/>
    <w:pPr>
      <w:tabs>
        <w:tab w:val="left" w:leader="dot" w:pos="7061"/>
        <w:tab w:val="right" w:pos="7524"/>
      </w:tabs>
      <w:spacing w:before="60" w:after="60"/>
      <w:ind w:right="465"/>
    </w:pPr>
    <w:rPr>
      <w:szCs w:val="20"/>
    </w:rPr>
  </w:style>
  <w:style w:type="paragraph" w:customStyle="1" w:styleId="TOCStem">
    <w:name w:val="TOCStem"/>
    <w:basedOn w:val="Normal"/>
    <w:uiPriority w:val="99"/>
    <w:rsid w:val="00CA309F"/>
    <w:rPr>
      <w:szCs w:val="20"/>
    </w:rPr>
  </w:style>
  <w:style w:type="paragraph" w:styleId="Header">
    <w:name w:val="header"/>
    <w:basedOn w:val="Normal"/>
    <w:link w:val="HeaderChar"/>
    <w:uiPriority w:val="99"/>
    <w:rsid w:val="00CA309F"/>
    <w:pPr>
      <w:tabs>
        <w:tab w:val="center" w:pos="4680"/>
        <w:tab w:val="right" w:pos="9360"/>
      </w:tabs>
    </w:pPr>
    <w:rPr>
      <w:color w:val="auto"/>
    </w:rPr>
  </w:style>
  <w:style w:type="character" w:customStyle="1" w:styleId="HeaderChar">
    <w:name w:val="Header Char"/>
    <w:basedOn w:val="DefaultParagraphFont"/>
    <w:link w:val="Header"/>
    <w:uiPriority w:val="99"/>
    <w:locked/>
    <w:rsid w:val="00CA309F"/>
    <w:rPr>
      <w:rFonts w:eastAsia="Times New Roman" w:cs="Times New Roman"/>
      <w:sz w:val="24"/>
    </w:rPr>
  </w:style>
  <w:style w:type="character" w:styleId="FollowedHyperlink">
    <w:name w:val="FollowedHyperlink"/>
    <w:basedOn w:val="DefaultParagraphFont"/>
    <w:uiPriority w:val="99"/>
    <w:rsid w:val="00CA309F"/>
    <w:rPr>
      <w:rFonts w:cs="Times New Roman"/>
      <w:color w:val="800080"/>
      <w:u w:val="single"/>
    </w:rPr>
  </w:style>
  <w:style w:type="paragraph" w:styleId="TOC3">
    <w:name w:val="toc 3"/>
    <w:basedOn w:val="Normal"/>
    <w:next w:val="Normal"/>
    <w:autoRedefine/>
    <w:uiPriority w:val="99"/>
    <w:rsid w:val="00CA309F"/>
    <w:pPr>
      <w:ind w:left="480"/>
    </w:pPr>
  </w:style>
  <w:style w:type="paragraph" w:styleId="TOC4">
    <w:name w:val="toc 4"/>
    <w:basedOn w:val="Normal"/>
    <w:next w:val="Normal"/>
    <w:autoRedefine/>
    <w:uiPriority w:val="99"/>
    <w:rsid w:val="00CA309F"/>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vbaw.vba.va.gov/bl/21/Systems/awards.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rmation%20Mapping\FS%20Pro%204.2\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CC3A49C1CDA34C8A8DBFD75C1DD13C" ma:contentTypeVersion="0" ma:contentTypeDescription="Create a new document." ma:contentTypeScope="" ma:versionID="1bee4ecabd05a40697f011d3a31da575">
  <xsd:schema xmlns:xsd="http://www.w3.org/2001/XMLSchema" xmlns:p="http://schemas.microsoft.com/office/2006/metadata/properties" targetNamespace="http://schemas.microsoft.com/office/2006/metadata/properties" ma:root="true" ma:fieldsID="46a794065921c4818d40ff1823962b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25C2DC1-40B8-4044-B171-67A924F6C247}"/>
</file>

<file path=customXml/itemProps2.xml><?xml version="1.0" encoding="utf-8"?>
<ds:datastoreItem xmlns:ds="http://schemas.openxmlformats.org/officeDocument/2006/customXml" ds:itemID="{69308479-23EB-41D7-BD7B-A7B622EEAAD5}"/>
</file>

<file path=customXml/itemProps3.xml><?xml version="1.0" encoding="utf-8"?>
<ds:datastoreItem xmlns:ds="http://schemas.openxmlformats.org/officeDocument/2006/customXml" ds:itemID="{94352DB1-B98D-411D-9129-EFF72BAA4F77}"/>
</file>

<file path=docProps/app.xml><?xml version="1.0" encoding="utf-8"?>
<Properties xmlns="http://schemas.openxmlformats.org/officeDocument/2006/extended-properties" xmlns:vt="http://schemas.openxmlformats.org/officeDocument/2006/docPropsVTypes">
  <Template>FSPro.dotm</Template>
  <TotalTime>34</TotalTime>
  <Pages>4</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capktibb</dc:creator>
  <cp:keywords/>
  <dc:description/>
  <cp:lastModifiedBy>capktibb</cp:lastModifiedBy>
  <cp:revision>6</cp:revision>
  <cp:lastPrinted>2011-10-24T13:57:00Z</cp:lastPrinted>
  <dcterms:created xsi:type="dcterms:W3CDTF">2012-02-28T21:50:00Z</dcterms:created>
  <dcterms:modified xsi:type="dcterms:W3CDTF">2012-02-28T22:44:00Z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0x01010087CC3A49C1CDA34C8A8DBFD75C1DD13C</vt:lpwstr>
  </property>
  <property fmtid="{D5CDD505-2E9C-101B-9397-08002B2CF9AE}" pid="4" name="Posted?">
    <vt:lpwstr/>
  </property>
</Properties>
</file>