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0C338EEA"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sidR="009834F6">
        <w:rPr>
          <w:rFonts w:ascii="Times New Roman" w:hAnsi="Times New Roman"/>
          <w:sz w:val="20"/>
        </w:rPr>
        <w:t xml:space="preserve">     </w:t>
      </w:r>
      <w:r>
        <w:rPr>
          <w:rFonts w:ascii="Times New Roman" w:hAnsi="Times New Roman"/>
          <w:sz w:val="20"/>
        </w:rPr>
        <w:t xml:space="preserve">M21-1, Part </w:t>
      </w:r>
      <w:r w:rsidR="00945950">
        <w:rPr>
          <w:rFonts w:ascii="Times New Roman" w:hAnsi="Times New Roman"/>
          <w:sz w:val="20"/>
        </w:rPr>
        <w:t>III</w:t>
      </w:r>
      <w:r>
        <w:rPr>
          <w:rFonts w:ascii="Times New Roman" w:hAnsi="Times New Roman"/>
          <w:sz w:val="20"/>
        </w:rPr>
        <w:t xml:space="preserve">, Subpart </w:t>
      </w:r>
      <w:r w:rsidR="00B56228">
        <w:rPr>
          <w:rFonts w:ascii="Times New Roman" w:hAnsi="Times New Roman"/>
          <w:sz w:val="20"/>
        </w:rPr>
        <w:t>i</w:t>
      </w:r>
    </w:p>
    <w:p w14:paraId="57C64ADF" w14:textId="0766C22B"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9834F6">
        <w:rPr>
          <w:b/>
          <w:bCs/>
          <w:sz w:val="20"/>
        </w:rPr>
        <w:t>June 18,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77777777" w:rsidR="00504F80" w:rsidRDefault="00504F80" w:rsidP="00504F80">
      <w:pPr>
        <w:pStyle w:val="Heading4"/>
      </w:pPr>
      <w:r>
        <w:t xml:space="preserve">Transmittal Sheet </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1EFEA388"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B56228">
              <w:t>i</w:t>
            </w:r>
            <w:r>
              <w:t>, “</w:t>
            </w:r>
            <w:r w:rsidR="00B56228">
              <w:t>Overview of Claims Processing and Structure of the Veterans Service Center</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57C64AF0" w14:textId="77777777" w:rsidR="00504F80" w:rsidRDefault="00504F80" w:rsidP="00237C22">
            <w:pPr>
              <w:pStyle w:val="BulletText2"/>
              <w:tabs>
                <w:tab w:val="num" w:pos="547"/>
              </w:tabs>
            </w:pPr>
            <w:r>
              <w:t>update obsolete terminology, where appropriate</w:t>
            </w:r>
          </w:p>
          <w:p w14:paraId="57C64AF1" w14:textId="2E1F9B91" w:rsidR="003E2CA2" w:rsidRDefault="003E2CA2" w:rsidP="00237C22">
            <w:pPr>
              <w:pStyle w:val="BulletText2"/>
              <w:tabs>
                <w:tab w:val="num" w:pos="547"/>
              </w:tabs>
            </w:pPr>
            <w:r>
              <w:t>reassign alphabetical designations to individual blocks, where necessary, to account for new and/or deleted blocks within a topic</w:t>
            </w:r>
          </w:p>
          <w:p w14:paraId="57C64AF2" w14:textId="77777777" w:rsidR="00A557BB" w:rsidRDefault="00A557BB" w:rsidP="00237C22">
            <w:pPr>
              <w:pStyle w:val="BulletText2"/>
              <w:tabs>
                <w:tab w:val="num" w:pos="547"/>
              </w:tabs>
            </w:pPr>
            <w:r>
              <w:t>update section and topic titles to more accurately reflect their content</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02E1E7F9" w:rsidR="00504F80" w:rsidRPr="00EA3A57" w:rsidRDefault="00504F80" w:rsidP="00120103">
            <w:pPr>
              <w:pStyle w:val="BulletText2"/>
            </w:pPr>
            <w:r>
              <w:t>bring the document into conformance with M21-1 standards.</w:t>
            </w:r>
          </w:p>
        </w:tc>
        <w:bookmarkStart w:id="0" w:name="_GoBack"/>
        <w:bookmarkEnd w:id="0"/>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14:paraId="57C64AFA" w14:textId="77777777" w:rsidTr="002220F1">
        <w:trPr>
          <w:trHeight w:val="180"/>
        </w:trPr>
        <w:tc>
          <w:tcPr>
            <w:tcW w:w="3942" w:type="pct"/>
            <w:shd w:val="clear" w:color="auto" w:fill="auto"/>
          </w:tcPr>
          <w:p w14:paraId="57C64AF7" w14:textId="77777777" w:rsidR="002A1D3E" w:rsidRPr="00C24D50" w:rsidRDefault="002A1D3E" w:rsidP="002F7397">
            <w:pPr>
              <w:pStyle w:val="TableHeaderText"/>
            </w:pPr>
            <w:r w:rsidRPr="00C24D50">
              <w:t>Reason(s) for the Change</w:t>
            </w:r>
          </w:p>
        </w:tc>
        <w:tc>
          <w:tcPr>
            <w:tcW w:w="1058"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2220F1">
        <w:trPr>
          <w:trHeight w:val="180"/>
        </w:trPr>
        <w:tc>
          <w:tcPr>
            <w:tcW w:w="3942" w:type="pct"/>
            <w:shd w:val="clear" w:color="auto" w:fill="auto"/>
          </w:tcPr>
          <w:p w14:paraId="3D1FB2E8" w14:textId="69771986" w:rsidR="002A1D3E" w:rsidRDefault="00B56228" w:rsidP="00B56228">
            <w:pPr>
              <w:numPr>
                <w:ilvl w:val="0"/>
                <w:numId w:val="11"/>
              </w:numPr>
              <w:ind w:left="158" w:hanging="187"/>
            </w:pPr>
            <w:r>
              <w:t>To add guidance on end product establishment, the process to follow in Veterans Benefits Management System (VBMS), and actions to take based on jurisdiction when an intake site receives an application for Vocational Rehabilitation and Employment (VR&amp;E) benefits.</w:t>
            </w:r>
          </w:p>
          <w:p w14:paraId="4B63B2E1" w14:textId="77777777" w:rsidR="00B56228" w:rsidRDefault="00B56228" w:rsidP="002F7397">
            <w:pPr>
              <w:numPr>
                <w:ilvl w:val="0"/>
                <w:numId w:val="12"/>
              </w:numPr>
              <w:ind w:left="158" w:hanging="187"/>
            </w:pPr>
            <w:r>
              <w:t>To remove inapplicable guidance based on paper claims folders.</w:t>
            </w:r>
          </w:p>
          <w:p w14:paraId="57C64AFB" w14:textId="2C8D9131" w:rsidR="001224F1" w:rsidRPr="00C24D50" w:rsidRDefault="001224F1" w:rsidP="0034434D">
            <w:pPr>
              <w:numPr>
                <w:ilvl w:val="0"/>
                <w:numId w:val="12"/>
              </w:numPr>
              <w:ind w:left="158" w:hanging="187"/>
            </w:pPr>
            <w:r>
              <w:t>To add a reference</w:t>
            </w:r>
            <w:r w:rsidR="0034434D">
              <w:t xml:space="preserve"> to III.iii.2.I</w:t>
            </w:r>
            <w:r>
              <w:t xml:space="preserve"> for more information on actions to take if the claimant’s service treatment records (STRs) are unavailable.</w:t>
            </w:r>
          </w:p>
        </w:tc>
        <w:tc>
          <w:tcPr>
            <w:tcW w:w="1058" w:type="pct"/>
            <w:shd w:val="clear" w:color="auto" w:fill="auto"/>
          </w:tcPr>
          <w:p w14:paraId="2B8BEE2E" w14:textId="77777777" w:rsidR="002A1D3E" w:rsidRDefault="00B56228" w:rsidP="002F7397">
            <w:pPr>
              <w:pStyle w:val="TableText"/>
            </w:pPr>
            <w:r>
              <w:t>M21-1, Part III, Subpart i, Chapter 2, Section C, Topic 1, Block b</w:t>
            </w:r>
          </w:p>
          <w:p w14:paraId="57C64AFC" w14:textId="25BC4A4D" w:rsidR="00B56228" w:rsidRPr="00C24D50" w:rsidRDefault="00B56228" w:rsidP="002F7397">
            <w:pPr>
              <w:pStyle w:val="TableText"/>
            </w:pPr>
            <w:r>
              <w:t>(III.i.2.C.1.b)</w:t>
            </w:r>
          </w:p>
        </w:tc>
      </w:tr>
      <w:tr w:rsidR="002A1D3E" w14:paraId="57C64B02" w14:textId="77777777" w:rsidTr="002220F1">
        <w:trPr>
          <w:trHeight w:val="180"/>
        </w:trPr>
        <w:tc>
          <w:tcPr>
            <w:tcW w:w="3942" w:type="pct"/>
            <w:shd w:val="clear" w:color="auto" w:fill="auto"/>
          </w:tcPr>
          <w:p w14:paraId="35D37848" w14:textId="77777777" w:rsidR="002A1D3E" w:rsidRDefault="00B56228" w:rsidP="001224F1">
            <w:pPr>
              <w:numPr>
                <w:ilvl w:val="0"/>
                <w:numId w:val="13"/>
              </w:numPr>
              <w:ind w:left="158" w:hanging="187"/>
            </w:pPr>
            <w:r>
              <w:t>To clarify the note by removing paper claims folder guidance related to Disability Rating Activity Sites (D-RASs)</w:t>
            </w:r>
          </w:p>
          <w:p w14:paraId="57C64AFF" w14:textId="76E76D66" w:rsidR="001224F1" w:rsidRPr="00C24D50" w:rsidRDefault="001224F1" w:rsidP="001224F1">
            <w:pPr>
              <w:numPr>
                <w:ilvl w:val="0"/>
                <w:numId w:val="13"/>
              </w:numPr>
              <w:ind w:left="158" w:hanging="187"/>
            </w:pPr>
            <w:r>
              <w:t>To add a hyperlink to a list of VR&amp;E contacts by regional office of jurisdiction (ROJ) to include e-mail addresses.</w:t>
            </w:r>
          </w:p>
        </w:tc>
        <w:tc>
          <w:tcPr>
            <w:tcW w:w="1058" w:type="pct"/>
            <w:shd w:val="clear" w:color="auto" w:fill="auto"/>
          </w:tcPr>
          <w:p w14:paraId="57C64B00" w14:textId="437B2FDC" w:rsidR="002A1D3E" w:rsidRPr="00C24D50" w:rsidRDefault="00B56228" w:rsidP="002F7397">
            <w:pPr>
              <w:pStyle w:val="TableText"/>
            </w:pPr>
            <w:r>
              <w:t>III.i.2.C.1.c</w:t>
            </w:r>
          </w:p>
        </w:tc>
      </w:tr>
      <w:tr w:rsidR="002A1D3E" w14:paraId="57C64B06" w14:textId="77777777" w:rsidTr="002220F1">
        <w:trPr>
          <w:trHeight w:val="180"/>
        </w:trPr>
        <w:tc>
          <w:tcPr>
            <w:tcW w:w="3942" w:type="pct"/>
            <w:shd w:val="clear" w:color="auto" w:fill="auto"/>
          </w:tcPr>
          <w:p w14:paraId="57C64B03" w14:textId="5CF5FC3A" w:rsidR="002A1D3E" w:rsidRPr="00C24D50" w:rsidRDefault="00B56228" w:rsidP="002F7397">
            <w:pPr>
              <w:pStyle w:val="TableText"/>
            </w:pPr>
            <w:r>
              <w:t>To remove Block d with guidance on using preliminary rating decisions in lieu of memorandum rating decisions as this will be contained in a new section for the Integrated Disability Evaluation System (IDES) Program.</w:t>
            </w:r>
          </w:p>
        </w:tc>
        <w:tc>
          <w:tcPr>
            <w:tcW w:w="1058" w:type="pct"/>
            <w:shd w:val="clear" w:color="auto" w:fill="auto"/>
          </w:tcPr>
          <w:p w14:paraId="57C64B04" w14:textId="367B0E6D" w:rsidR="002A1D3E" w:rsidRPr="00C24D50" w:rsidRDefault="00B56228" w:rsidP="002F7397">
            <w:pPr>
              <w:pStyle w:val="TableText"/>
            </w:pPr>
            <w:r>
              <w:t>III.i.2.C.1.d</w:t>
            </w:r>
          </w:p>
        </w:tc>
      </w:tr>
      <w:tr w:rsidR="001224F1" w14:paraId="62CAA09F" w14:textId="77777777" w:rsidTr="002220F1">
        <w:trPr>
          <w:trHeight w:val="180"/>
        </w:trPr>
        <w:tc>
          <w:tcPr>
            <w:tcW w:w="3942" w:type="pct"/>
            <w:shd w:val="clear" w:color="auto" w:fill="auto"/>
          </w:tcPr>
          <w:p w14:paraId="4C5A6622" w14:textId="2D2E96A7" w:rsidR="001224F1" w:rsidRDefault="001224F1" w:rsidP="002F7397">
            <w:pPr>
              <w:pStyle w:val="TableText"/>
            </w:pPr>
            <w:r>
              <w:t>To add a reference for more information on the appropriate regional loan center (RLC).</w:t>
            </w:r>
          </w:p>
        </w:tc>
        <w:tc>
          <w:tcPr>
            <w:tcW w:w="1058" w:type="pct"/>
            <w:shd w:val="clear" w:color="auto" w:fill="auto"/>
          </w:tcPr>
          <w:p w14:paraId="430CF2C7" w14:textId="1280D5EC" w:rsidR="001224F1" w:rsidRDefault="001224F1" w:rsidP="002F7397">
            <w:pPr>
              <w:pStyle w:val="TableText"/>
            </w:pPr>
            <w:r>
              <w:t>III.i.2.C.2.b</w:t>
            </w:r>
          </w:p>
        </w:tc>
      </w:tr>
      <w:tr w:rsidR="001224F1" w14:paraId="20BF8B81" w14:textId="77777777" w:rsidTr="002220F1">
        <w:trPr>
          <w:trHeight w:val="180"/>
        </w:trPr>
        <w:tc>
          <w:tcPr>
            <w:tcW w:w="3942" w:type="pct"/>
            <w:shd w:val="clear" w:color="auto" w:fill="auto"/>
          </w:tcPr>
          <w:p w14:paraId="529A6730" w14:textId="1081D1A5" w:rsidR="001224F1" w:rsidRDefault="001224F1" w:rsidP="002F7397">
            <w:pPr>
              <w:pStyle w:val="TableText"/>
            </w:pPr>
            <w:r>
              <w:t>To add a reference for more information on the appropriate regional benefit offices.</w:t>
            </w:r>
          </w:p>
        </w:tc>
        <w:tc>
          <w:tcPr>
            <w:tcW w:w="1058" w:type="pct"/>
            <w:shd w:val="clear" w:color="auto" w:fill="auto"/>
          </w:tcPr>
          <w:p w14:paraId="08758D6F" w14:textId="6F57A5D5" w:rsidR="001224F1" w:rsidRDefault="001224F1" w:rsidP="002F7397">
            <w:pPr>
              <w:pStyle w:val="TableText"/>
            </w:pPr>
            <w:r>
              <w:t>III.i.2.C.2.c</w:t>
            </w:r>
          </w:p>
        </w:tc>
      </w:tr>
      <w:tr w:rsidR="002A1D3E" w14:paraId="57C64B0A" w14:textId="77777777" w:rsidTr="002220F1">
        <w:trPr>
          <w:trHeight w:val="180"/>
        </w:trPr>
        <w:tc>
          <w:tcPr>
            <w:tcW w:w="3942" w:type="pct"/>
            <w:shd w:val="clear" w:color="auto" w:fill="auto"/>
          </w:tcPr>
          <w:p w14:paraId="57C64B07" w14:textId="4317BE83" w:rsidR="002A1D3E" w:rsidRPr="00C24D50" w:rsidRDefault="00B56228" w:rsidP="002F7397">
            <w:pPr>
              <w:pStyle w:val="TableText"/>
            </w:pPr>
            <w:r>
              <w:t xml:space="preserve">To add a cross-reference for more information on loan guaranty benefits </w:t>
            </w:r>
            <w:r>
              <w:lastRenderedPageBreak/>
              <w:t>at IX.i.5.A.</w:t>
            </w:r>
          </w:p>
        </w:tc>
        <w:tc>
          <w:tcPr>
            <w:tcW w:w="1058" w:type="pct"/>
            <w:shd w:val="clear" w:color="auto" w:fill="auto"/>
          </w:tcPr>
          <w:p w14:paraId="57C64B08" w14:textId="63DA2704" w:rsidR="002A1D3E" w:rsidRPr="00C24D50" w:rsidRDefault="00B56228" w:rsidP="002F7397">
            <w:pPr>
              <w:pStyle w:val="TableText"/>
            </w:pPr>
            <w:r>
              <w:lastRenderedPageBreak/>
              <w:t>III.i.2.C.2.e</w:t>
            </w:r>
          </w:p>
        </w:tc>
      </w:tr>
      <w:tr w:rsidR="002A1D3E" w14:paraId="57C64B0E" w14:textId="77777777" w:rsidTr="002220F1">
        <w:trPr>
          <w:trHeight w:val="180"/>
        </w:trPr>
        <w:tc>
          <w:tcPr>
            <w:tcW w:w="3942" w:type="pct"/>
            <w:shd w:val="clear" w:color="auto" w:fill="auto"/>
          </w:tcPr>
          <w:p w14:paraId="57C64B0B" w14:textId="5A29C0E2" w:rsidR="002A1D3E" w:rsidRPr="00C24D50" w:rsidRDefault="00B56228" w:rsidP="00933BDB">
            <w:pPr>
              <w:pStyle w:val="TableText"/>
            </w:pPr>
            <w:r>
              <w:lastRenderedPageBreak/>
              <w:t>To remove outdated guidance that an appeal of a Benefits Delivery at Discharge (BDD) rating activity site (RAS) or D-RAS decision in a paperless environment is to be processed by the RAS or D-RAS.</w:t>
            </w:r>
          </w:p>
        </w:tc>
        <w:tc>
          <w:tcPr>
            <w:tcW w:w="1058" w:type="pct"/>
            <w:shd w:val="clear" w:color="auto" w:fill="auto"/>
          </w:tcPr>
          <w:p w14:paraId="57C64B0C" w14:textId="00F47D50" w:rsidR="002A1D3E" w:rsidRPr="00C24D50" w:rsidRDefault="00B56228" w:rsidP="00933BDB">
            <w:pPr>
              <w:pStyle w:val="TableText"/>
            </w:pPr>
            <w:r>
              <w:t>III.i.2.C.4.b</w:t>
            </w:r>
          </w:p>
        </w:tc>
      </w:tr>
      <w:tr w:rsidR="002A1D3E" w14:paraId="57C64B12" w14:textId="77777777" w:rsidTr="002220F1">
        <w:trPr>
          <w:trHeight w:val="180"/>
        </w:trPr>
        <w:tc>
          <w:tcPr>
            <w:tcW w:w="3942" w:type="pct"/>
            <w:shd w:val="clear" w:color="auto" w:fill="auto"/>
          </w:tcPr>
          <w:p w14:paraId="57C64B0F" w14:textId="49451D48" w:rsidR="002A1D3E" w:rsidRPr="00C24D50" w:rsidRDefault="00B56228" w:rsidP="00933BDB">
            <w:pPr>
              <w:pStyle w:val="TableText"/>
            </w:pPr>
            <w:r>
              <w:t xml:space="preserve">To remove Block c, </w:t>
            </w:r>
            <w:r w:rsidR="0034434D">
              <w:t>which contains unnecessary information on identifying appeals of decisions on Pre-Discharge claims?</w:t>
            </w:r>
          </w:p>
        </w:tc>
        <w:tc>
          <w:tcPr>
            <w:tcW w:w="1058" w:type="pct"/>
            <w:shd w:val="clear" w:color="auto" w:fill="auto"/>
          </w:tcPr>
          <w:p w14:paraId="57C64B10" w14:textId="0ED97D52" w:rsidR="002A1D3E" w:rsidRPr="00C24D50" w:rsidRDefault="00B56228" w:rsidP="00933BDB">
            <w:pPr>
              <w:pStyle w:val="TableText"/>
            </w:pPr>
            <w:r>
              <w:t>III.i.2.C.4.c</w:t>
            </w:r>
          </w:p>
        </w:tc>
      </w:tr>
      <w:tr w:rsidR="002A1D3E" w14:paraId="57C64B16" w14:textId="77777777" w:rsidTr="002220F1">
        <w:trPr>
          <w:trHeight w:val="180"/>
        </w:trPr>
        <w:tc>
          <w:tcPr>
            <w:tcW w:w="3942" w:type="pct"/>
            <w:shd w:val="clear" w:color="auto" w:fill="auto"/>
          </w:tcPr>
          <w:p w14:paraId="57C64B13" w14:textId="15F8F055" w:rsidR="002A1D3E" w:rsidRPr="00C24D50" w:rsidRDefault="00B56228" w:rsidP="00933BDB">
            <w:pPr>
              <w:pStyle w:val="TableText"/>
            </w:pPr>
            <w:r>
              <w:t>To add a new Topic 5 to provide guidance on requests for civil service preference letters (CSPLs).</w:t>
            </w:r>
          </w:p>
        </w:tc>
        <w:tc>
          <w:tcPr>
            <w:tcW w:w="1058" w:type="pct"/>
            <w:shd w:val="clear" w:color="auto" w:fill="auto"/>
          </w:tcPr>
          <w:p w14:paraId="57C64B14" w14:textId="262C8BB9" w:rsidR="002A1D3E" w:rsidRPr="00C24D50" w:rsidRDefault="00B56228" w:rsidP="00933BDB">
            <w:pPr>
              <w:pStyle w:val="TableText"/>
            </w:pPr>
            <w:r>
              <w:t>III.i.2.C.5</w:t>
            </w:r>
          </w:p>
        </w:tc>
      </w:tr>
      <w:tr w:rsidR="002A1D3E" w14:paraId="57C64B1A" w14:textId="77777777" w:rsidTr="002220F1">
        <w:trPr>
          <w:trHeight w:val="180"/>
        </w:trPr>
        <w:tc>
          <w:tcPr>
            <w:tcW w:w="3942" w:type="pct"/>
            <w:shd w:val="clear" w:color="auto" w:fill="auto"/>
          </w:tcPr>
          <w:p w14:paraId="57C64B17" w14:textId="5E7E9E9B" w:rsidR="002A1D3E" w:rsidRPr="00C24D50" w:rsidRDefault="00B56228" w:rsidP="0034434D">
            <w:pPr>
              <w:pStyle w:val="TableText"/>
            </w:pPr>
            <w:r>
              <w:t xml:space="preserve">To add a new Block a </w:t>
            </w:r>
            <w:r w:rsidR="0034434D">
              <w:t>which</w:t>
            </w:r>
            <w:r>
              <w:t xml:space="preserve"> provide</w:t>
            </w:r>
            <w:r w:rsidR="0034434D">
              <w:t>s</w:t>
            </w:r>
            <w:r>
              <w:t xml:space="preserve"> guidance on the procedure to follow for CSPL requests.</w:t>
            </w:r>
          </w:p>
        </w:tc>
        <w:tc>
          <w:tcPr>
            <w:tcW w:w="1058" w:type="pct"/>
            <w:shd w:val="clear" w:color="auto" w:fill="auto"/>
          </w:tcPr>
          <w:p w14:paraId="57C64B18" w14:textId="0A28A23B" w:rsidR="002A1D3E" w:rsidRPr="00C24D50" w:rsidRDefault="00B56228" w:rsidP="00933BDB">
            <w:pPr>
              <w:pStyle w:val="TableText"/>
            </w:pPr>
            <w:r>
              <w:t>III.i.2.C.5.a</w:t>
            </w:r>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7C64B33" w14:textId="45F104E0"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C273AD" w:rsidRDefault="00C273AD" w:rsidP="00C765C7">
      <w:r>
        <w:separator/>
      </w:r>
    </w:p>
  </w:endnote>
  <w:endnote w:type="continuationSeparator" w:id="0">
    <w:p w14:paraId="4B7D2D99" w14:textId="77777777"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34F6">
      <w:rPr>
        <w:rStyle w:val="PageNumber"/>
        <w:noProof/>
      </w:rPr>
      <w:t>i</w:t>
    </w:r>
    <w:r>
      <w:rPr>
        <w:rStyle w:val="PageNumber"/>
      </w:rPr>
      <w:fldChar w:fldCharType="end"/>
    </w: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C273AD" w:rsidRDefault="00C273AD" w:rsidP="00C765C7">
      <w:r>
        <w:separator/>
      </w:r>
    </w:p>
  </w:footnote>
  <w:footnote w:type="continuationSeparator" w:id="0">
    <w:p w14:paraId="3D098D02" w14:textId="77777777"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AB7661F"/>
    <w:multiLevelType w:val="hybridMultilevel"/>
    <w:tmpl w:val="020E1A08"/>
    <w:lvl w:ilvl="0" w:tplc="01407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B46011"/>
    <w:multiLevelType w:val="hybridMultilevel"/>
    <w:tmpl w:val="8258EAC6"/>
    <w:lvl w:ilvl="0" w:tplc="0974EF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2">
    <w:nsid w:val="7AE443EE"/>
    <w:multiLevelType w:val="hybridMultilevel"/>
    <w:tmpl w:val="6E2AA6CE"/>
    <w:lvl w:ilvl="0" w:tplc="01407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5"/>
  </w:num>
  <w:num w:numId="6">
    <w:abstractNumId w:val="3"/>
  </w:num>
  <w:num w:numId="7">
    <w:abstractNumId w:val="10"/>
  </w:num>
  <w:num w:numId="8">
    <w:abstractNumId w:val="2"/>
  </w:num>
  <w:num w:numId="9">
    <w:abstractNumId w:val="1"/>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s>
  <w:rsids>
    <w:rsidRoot w:val="00FF26A6"/>
    <w:rsid w:val="00002A1E"/>
    <w:rsid w:val="00014A89"/>
    <w:rsid w:val="000252C6"/>
    <w:rsid w:val="000256FB"/>
    <w:rsid w:val="00093228"/>
    <w:rsid w:val="000A7776"/>
    <w:rsid w:val="000E320F"/>
    <w:rsid w:val="00100433"/>
    <w:rsid w:val="0010215F"/>
    <w:rsid w:val="00106EEF"/>
    <w:rsid w:val="00120103"/>
    <w:rsid w:val="001224F1"/>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4434D"/>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834F6"/>
    <w:rsid w:val="00997D98"/>
    <w:rsid w:val="009C22C8"/>
    <w:rsid w:val="009C6B2E"/>
    <w:rsid w:val="009E6E1A"/>
    <w:rsid w:val="00A2703B"/>
    <w:rsid w:val="00A315CB"/>
    <w:rsid w:val="00A3579D"/>
    <w:rsid w:val="00A55356"/>
    <w:rsid w:val="00A557BB"/>
    <w:rsid w:val="00A8520D"/>
    <w:rsid w:val="00AC2993"/>
    <w:rsid w:val="00AC43CF"/>
    <w:rsid w:val="00AD0EDC"/>
    <w:rsid w:val="00AF2CD6"/>
    <w:rsid w:val="00B0548B"/>
    <w:rsid w:val="00B30D2F"/>
    <w:rsid w:val="00B50AD7"/>
    <w:rsid w:val="00B56228"/>
    <w:rsid w:val="00B64F2F"/>
    <w:rsid w:val="00B93A3C"/>
    <w:rsid w:val="00B96287"/>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infopath/2007/PartnerControls"/>
    <ds:schemaRef ds:uri="b438dcf7-3998-4283-b7fc-0ec6fa8e430f"/>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297C915D-6CE9-4ABF-9A29-6F22BC48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174</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Kimberly Martin-Butler</cp:lastModifiedBy>
  <cp:revision>22</cp:revision>
  <dcterms:created xsi:type="dcterms:W3CDTF">2014-07-22T17:54:00Z</dcterms:created>
  <dcterms:modified xsi:type="dcterms:W3CDTF">2015-06-18T13:03:00Z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