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1CD2F" w14:textId="77777777"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 xml:space="preserve">M21-1MR, Part </w:t>
      </w:r>
      <w:r w:rsidR="00945950">
        <w:rPr>
          <w:rFonts w:ascii="Times New Roman" w:hAnsi="Times New Roman"/>
          <w:sz w:val="20"/>
        </w:rPr>
        <w:t>III</w:t>
      </w:r>
      <w:r>
        <w:rPr>
          <w:rFonts w:ascii="Times New Roman" w:hAnsi="Times New Roman"/>
          <w:sz w:val="20"/>
        </w:rPr>
        <w:t xml:space="preserve">, Subpart </w:t>
      </w:r>
      <w:r w:rsidR="007C6E22">
        <w:rPr>
          <w:rFonts w:ascii="Times New Roman" w:hAnsi="Times New Roman"/>
          <w:sz w:val="20"/>
        </w:rPr>
        <w:t>i</w:t>
      </w:r>
    </w:p>
    <w:p w14:paraId="2C498960" w14:textId="1FDD53DB"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C85B46">
        <w:rPr>
          <w:b/>
          <w:bCs/>
          <w:sz w:val="20"/>
        </w:rPr>
        <w:t xml:space="preserve">                         </w:t>
      </w:r>
      <w:bookmarkStart w:id="0" w:name="_GoBack"/>
      <w:bookmarkEnd w:id="0"/>
      <w:r>
        <w:rPr>
          <w:b/>
          <w:bCs/>
          <w:sz w:val="20"/>
        </w:rPr>
        <w:t xml:space="preserve"> </w:t>
      </w:r>
      <w:r w:rsidR="00C85B46">
        <w:rPr>
          <w:b/>
          <w:bCs/>
          <w:sz w:val="20"/>
        </w:rPr>
        <w:t>January 6, 2015</w:t>
      </w:r>
      <w:r>
        <w:rPr>
          <w:b/>
          <w:bCs/>
          <w:sz w:val="20"/>
        </w:rPr>
        <w:tab/>
      </w:r>
    </w:p>
    <w:p w14:paraId="1C27E0C0" w14:textId="77777777" w:rsidR="00504F80" w:rsidRDefault="00504F80" w:rsidP="00504F80">
      <w:pPr>
        <w:rPr>
          <w:b/>
          <w:bCs/>
          <w:sz w:val="20"/>
        </w:rPr>
      </w:pPr>
      <w:r>
        <w:rPr>
          <w:b/>
          <w:bCs/>
          <w:sz w:val="20"/>
        </w:rPr>
        <w:t>Washington, DC  20420</w:t>
      </w:r>
    </w:p>
    <w:p w14:paraId="40E5D40E" w14:textId="77777777" w:rsidR="00504F80" w:rsidRDefault="00504F80" w:rsidP="00504F80">
      <w:pPr>
        <w:rPr>
          <w:b/>
          <w:bCs/>
          <w:sz w:val="20"/>
        </w:rPr>
      </w:pPr>
    </w:p>
    <w:p w14:paraId="4C0500AA" w14:textId="77777777" w:rsidR="00504F80" w:rsidRDefault="00504F80" w:rsidP="00504F80">
      <w:pPr>
        <w:pStyle w:val="Heading4"/>
      </w:pPr>
      <w:r>
        <w:t xml:space="preserve">Transmittal Sheet </w:t>
      </w:r>
    </w:p>
    <w:p w14:paraId="76F762F4"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3FB27A5B" w14:textId="77777777" w:rsidTr="00C24D50">
        <w:tc>
          <w:tcPr>
            <w:tcW w:w="1728" w:type="dxa"/>
          </w:tcPr>
          <w:p w14:paraId="0B9C2BBF" w14:textId="77777777" w:rsidR="00504F80" w:rsidRDefault="00504F80" w:rsidP="00237C22">
            <w:pPr>
              <w:pStyle w:val="Heading5"/>
            </w:pPr>
            <w:r>
              <w:t>Changes Included in This Revision</w:t>
            </w:r>
          </w:p>
        </w:tc>
        <w:tc>
          <w:tcPr>
            <w:tcW w:w="7740" w:type="dxa"/>
          </w:tcPr>
          <w:p w14:paraId="0146F0AB" w14:textId="77777777" w:rsidR="00504F80" w:rsidRDefault="007C6E22" w:rsidP="00237C22">
            <w:pPr>
              <w:pStyle w:val="BulletText1"/>
              <w:numPr>
                <w:ilvl w:val="0"/>
                <w:numId w:val="0"/>
              </w:numPr>
              <w:rPr>
                <w:szCs w:val="24"/>
              </w:rPr>
            </w:pPr>
            <w:r w:rsidRPr="007C6E22">
              <w:rPr>
                <w:szCs w:val="24"/>
              </w:rPr>
              <w:t>The table below describes the changes included in this revision of Veterans Benefits Manual M21-1MR, Part III, “General Claims Process,” Subpart i, “</w:t>
            </w:r>
            <w:r w:rsidR="008F4AF3" w:rsidRPr="008F4AF3">
              <w:rPr>
                <w:szCs w:val="24"/>
              </w:rPr>
              <w:t>Overview of Claims Processing and Structure of the Veterans Service Center</w:t>
            </w:r>
            <w:r w:rsidRPr="007C6E22">
              <w:rPr>
                <w:szCs w:val="24"/>
              </w:rPr>
              <w:t>.”</w:t>
            </w:r>
          </w:p>
          <w:p w14:paraId="198B7F07" w14:textId="77777777" w:rsidR="007C6E22" w:rsidRPr="00450FD6" w:rsidRDefault="007C6E22" w:rsidP="00237C22">
            <w:pPr>
              <w:pStyle w:val="BulletText1"/>
              <w:numPr>
                <w:ilvl w:val="0"/>
                <w:numId w:val="0"/>
              </w:numPr>
            </w:pPr>
          </w:p>
          <w:p w14:paraId="1794FE26" w14:textId="77777777" w:rsidR="005A514F" w:rsidRDefault="00504F80" w:rsidP="005A514F">
            <w:pPr>
              <w:pStyle w:val="BulletText1"/>
              <w:numPr>
                <w:ilvl w:val="0"/>
                <w:numId w:val="0"/>
              </w:numPr>
            </w:pPr>
            <w:r>
              <w:rPr>
                <w:b/>
                <w:i/>
              </w:rPr>
              <w:t>Notes</w:t>
            </w:r>
            <w:r>
              <w:t>:  Minor editorial changes have also been made to</w:t>
            </w:r>
          </w:p>
          <w:p w14:paraId="49E6A52C" w14:textId="77777777" w:rsidR="00504F80" w:rsidRDefault="003E2CA2" w:rsidP="005A514F">
            <w:pPr>
              <w:pStyle w:val="BulletText1"/>
            </w:pPr>
            <w:r>
              <w:t>reassign alphabetical designations to individual blocks</w:t>
            </w:r>
            <w:r w:rsidR="00772232">
              <w:t xml:space="preserve"> and repaginate</w:t>
            </w:r>
            <w:r>
              <w:t>, where necessary, to account for new and/or deleted blocks within a topic</w:t>
            </w:r>
            <w:r w:rsidR="005A514F">
              <w:t>, and</w:t>
            </w:r>
          </w:p>
          <w:p w14:paraId="305B755F" w14:textId="77777777" w:rsidR="005A514F" w:rsidRPr="00EA3A57" w:rsidRDefault="005A514F" w:rsidP="005A514F">
            <w:pPr>
              <w:pStyle w:val="BulletText1"/>
            </w:pPr>
            <w:r>
              <w:t>clarify block labels and/or block text.</w:t>
            </w:r>
          </w:p>
        </w:tc>
      </w:tr>
    </w:tbl>
    <w:p w14:paraId="3D0CBB6B" w14:textId="77777777" w:rsidR="00C24D50" w:rsidRDefault="00C24D50" w:rsidP="00C24D50"/>
    <w:tbl>
      <w:tblPr>
        <w:tblW w:w="93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433"/>
        <w:gridCol w:w="1891"/>
      </w:tblGrid>
      <w:tr w:rsidR="00667B3C" w14:paraId="436D0688" w14:textId="77777777" w:rsidTr="00667B3C">
        <w:trPr>
          <w:trHeight w:val="180"/>
        </w:trPr>
        <w:tc>
          <w:tcPr>
            <w:tcW w:w="3986" w:type="pct"/>
            <w:shd w:val="clear" w:color="auto" w:fill="auto"/>
          </w:tcPr>
          <w:p w14:paraId="2C7EC0DA" w14:textId="77777777" w:rsidR="00667B3C" w:rsidRPr="00C24D50" w:rsidRDefault="00667B3C" w:rsidP="002F7397">
            <w:pPr>
              <w:pStyle w:val="TableHeaderText"/>
            </w:pPr>
            <w:r w:rsidRPr="00C24D50">
              <w:t>Reason(s) for the Change</w:t>
            </w:r>
          </w:p>
        </w:tc>
        <w:tc>
          <w:tcPr>
            <w:tcW w:w="1014" w:type="pct"/>
            <w:shd w:val="clear" w:color="auto" w:fill="auto"/>
          </w:tcPr>
          <w:p w14:paraId="15B941E4" w14:textId="77777777" w:rsidR="00667B3C" w:rsidRPr="00C24D50" w:rsidRDefault="00667B3C" w:rsidP="002F7397">
            <w:pPr>
              <w:pStyle w:val="TableHeaderText"/>
            </w:pPr>
            <w:r w:rsidRPr="00C24D50">
              <w:t>Citation</w:t>
            </w:r>
          </w:p>
        </w:tc>
      </w:tr>
      <w:tr w:rsidR="00667B3C" w14:paraId="79FF16BD" w14:textId="77777777" w:rsidTr="00667B3C">
        <w:trPr>
          <w:trHeight w:val="180"/>
        </w:trPr>
        <w:tc>
          <w:tcPr>
            <w:tcW w:w="3986" w:type="pct"/>
            <w:shd w:val="clear" w:color="auto" w:fill="auto"/>
          </w:tcPr>
          <w:p w14:paraId="48A07456" w14:textId="77777777" w:rsidR="00667B3C" w:rsidRPr="00C24D50" w:rsidRDefault="00667B3C" w:rsidP="00A527CC">
            <w:pPr>
              <w:pStyle w:val="TableText"/>
            </w:pPr>
            <w:r>
              <w:t>To split (old) M21-1MR, Part III, Subpart i, Chapter 3, Section A, Topic 2, Block h (III.i.3.A.2.h) into two separate blocks:  one addressing forms that do not contain all the information required to identify all of a claimant’s contentions, and the other addressing unsigned forms.</w:t>
            </w:r>
          </w:p>
        </w:tc>
        <w:tc>
          <w:tcPr>
            <w:tcW w:w="1014" w:type="pct"/>
            <w:shd w:val="clear" w:color="auto" w:fill="auto"/>
          </w:tcPr>
          <w:p w14:paraId="4E9BD46B" w14:textId="77777777" w:rsidR="00667B3C" w:rsidRPr="00C24D50" w:rsidRDefault="00667B3C" w:rsidP="002F7397">
            <w:pPr>
              <w:pStyle w:val="TableText"/>
            </w:pPr>
            <w:r>
              <w:t>III.i.3.A.2.h and i</w:t>
            </w:r>
          </w:p>
        </w:tc>
      </w:tr>
      <w:tr w:rsidR="00667B3C" w14:paraId="19F656E0" w14:textId="77777777" w:rsidTr="00667B3C">
        <w:trPr>
          <w:trHeight w:val="180"/>
        </w:trPr>
        <w:tc>
          <w:tcPr>
            <w:tcW w:w="3986" w:type="pct"/>
            <w:shd w:val="clear" w:color="auto" w:fill="auto"/>
          </w:tcPr>
          <w:p w14:paraId="4A18567B" w14:textId="77777777" w:rsidR="00667B3C" w:rsidRPr="00C24D50" w:rsidRDefault="00667B3C" w:rsidP="002F7397">
            <w:pPr>
              <w:pStyle w:val="TableText"/>
            </w:pPr>
            <w:r>
              <w:t xml:space="preserve">To add two new Blocks to incorporate information about informal claims that had been mistakenly left out of this section when it was originally drafted for the purpose of incorporating Fast Letter (FL) 12-25, </w:t>
            </w:r>
            <w:r>
              <w:rPr>
                <w:i/>
                <w:iCs/>
              </w:rPr>
              <w:t>Fully Developed Claim Program</w:t>
            </w:r>
            <w:r>
              <w:t>.</w:t>
            </w:r>
          </w:p>
        </w:tc>
        <w:tc>
          <w:tcPr>
            <w:tcW w:w="1014" w:type="pct"/>
            <w:shd w:val="clear" w:color="auto" w:fill="auto"/>
          </w:tcPr>
          <w:p w14:paraId="22BA9642" w14:textId="77777777" w:rsidR="00667B3C" w:rsidRPr="00C24D50" w:rsidRDefault="00667B3C" w:rsidP="002F7397">
            <w:pPr>
              <w:pStyle w:val="TableText"/>
            </w:pPr>
            <w:r>
              <w:t>III.i.3.A.2.j and k</w:t>
            </w:r>
          </w:p>
        </w:tc>
      </w:tr>
      <w:tr w:rsidR="00667B3C" w14:paraId="4DEC6B23" w14:textId="77777777" w:rsidTr="00667B3C">
        <w:trPr>
          <w:trHeight w:val="180"/>
        </w:trPr>
        <w:tc>
          <w:tcPr>
            <w:tcW w:w="3986" w:type="pct"/>
            <w:shd w:val="clear" w:color="auto" w:fill="auto"/>
          </w:tcPr>
          <w:p w14:paraId="05DBBA04" w14:textId="29C7DFF4" w:rsidR="00667B3C" w:rsidRDefault="00667B3C" w:rsidP="008E3DDB">
            <w:pPr>
              <w:pStyle w:val="TableText"/>
            </w:pPr>
            <w:r>
              <w:t>To replace “timeliness requirements” with “timeliness targets.”</w:t>
            </w:r>
          </w:p>
        </w:tc>
        <w:tc>
          <w:tcPr>
            <w:tcW w:w="1014" w:type="pct"/>
            <w:shd w:val="clear" w:color="auto" w:fill="auto"/>
          </w:tcPr>
          <w:p w14:paraId="597BE632" w14:textId="34C4120E" w:rsidR="00667B3C" w:rsidRDefault="00667B3C" w:rsidP="002F7397">
            <w:pPr>
              <w:pStyle w:val="TableText"/>
            </w:pPr>
            <w:r>
              <w:t>III.i.3.A.3.b</w:t>
            </w:r>
          </w:p>
        </w:tc>
      </w:tr>
    </w:tbl>
    <w:p w14:paraId="1A6F9775"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153D419F" w14:textId="77777777" w:rsidTr="00237C22">
        <w:tc>
          <w:tcPr>
            <w:tcW w:w="1728" w:type="dxa"/>
          </w:tcPr>
          <w:p w14:paraId="4612334D" w14:textId="77777777" w:rsidR="00504F80" w:rsidRPr="00B4163A" w:rsidRDefault="00504F80" w:rsidP="00237C22">
            <w:pPr>
              <w:pStyle w:val="Heading5"/>
              <w:rPr>
                <w:sz w:val="24"/>
              </w:rPr>
            </w:pPr>
            <w:r w:rsidRPr="00B4163A">
              <w:rPr>
                <w:sz w:val="24"/>
              </w:rPr>
              <w:t>Rescissions</w:t>
            </w:r>
          </w:p>
        </w:tc>
        <w:tc>
          <w:tcPr>
            <w:tcW w:w="7740" w:type="dxa"/>
          </w:tcPr>
          <w:p w14:paraId="4346FBF8" w14:textId="77777777" w:rsidR="00504F80" w:rsidRPr="00B4163A" w:rsidRDefault="00504F80" w:rsidP="00237C22">
            <w:pPr>
              <w:pStyle w:val="BlockText"/>
            </w:pPr>
            <w:r w:rsidRPr="00B4163A">
              <w:t>None</w:t>
            </w:r>
          </w:p>
        </w:tc>
      </w:tr>
    </w:tbl>
    <w:p w14:paraId="6A0B3325"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674DF124" w14:textId="77777777" w:rsidTr="00237C22">
        <w:tc>
          <w:tcPr>
            <w:tcW w:w="1728" w:type="dxa"/>
          </w:tcPr>
          <w:p w14:paraId="4AB61019" w14:textId="77777777" w:rsidR="00504F80" w:rsidRPr="00B4163A" w:rsidRDefault="00504F80" w:rsidP="00237C22">
            <w:pPr>
              <w:pStyle w:val="Heading5"/>
              <w:rPr>
                <w:sz w:val="24"/>
              </w:rPr>
            </w:pPr>
            <w:r w:rsidRPr="00B4163A">
              <w:rPr>
                <w:sz w:val="24"/>
              </w:rPr>
              <w:t>Authority</w:t>
            </w:r>
          </w:p>
        </w:tc>
        <w:tc>
          <w:tcPr>
            <w:tcW w:w="7740" w:type="dxa"/>
          </w:tcPr>
          <w:p w14:paraId="45945A03" w14:textId="77777777" w:rsidR="00504F80" w:rsidRPr="00B4163A" w:rsidRDefault="00504F80" w:rsidP="00237C22">
            <w:pPr>
              <w:pStyle w:val="BlockText"/>
            </w:pPr>
            <w:r w:rsidRPr="00B4163A">
              <w:t>By Direction of the Under Secretary for Benefits</w:t>
            </w:r>
          </w:p>
        </w:tc>
      </w:tr>
    </w:tbl>
    <w:p w14:paraId="3428D9EE"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06BD3F28" w14:textId="77777777" w:rsidTr="00237C22">
        <w:tc>
          <w:tcPr>
            <w:tcW w:w="1728" w:type="dxa"/>
          </w:tcPr>
          <w:p w14:paraId="1E3D4FDD" w14:textId="77777777" w:rsidR="00504F80" w:rsidRPr="00B4163A" w:rsidRDefault="00504F80" w:rsidP="00237C22">
            <w:pPr>
              <w:pStyle w:val="Heading5"/>
              <w:rPr>
                <w:sz w:val="24"/>
              </w:rPr>
            </w:pPr>
            <w:r w:rsidRPr="00B4163A">
              <w:rPr>
                <w:sz w:val="24"/>
              </w:rPr>
              <w:t>Signature</w:t>
            </w:r>
          </w:p>
        </w:tc>
        <w:tc>
          <w:tcPr>
            <w:tcW w:w="7740" w:type="dxa"/>
          </w:tcPr>
          <w:p w14:paraId="312D80F1" w14:textId="77777777" w:rsidR="00504F80" w:rsidRPr="00B4163A" w:rsidRDefault="00504F80" w:rsidP="00237C22">
            <w:pPr>
              <w:pStyle w:val="BlockText"/>
            </w:pPr>
          </w:p>
          <w:p w14:paraId="39B8651C" w14:textId="77777777" w:rsidR="00504F80" w:rsidRPr="00B4163A" w:rsidRDefault="00504F80" w:rsidP="00237C22">
            <w:pPr>
              <w:pStyle w:val="MemoLine"/>
              <w:ind w:left="-18" w:right="612"/>
            </w:pPr>
          </w:p>
          <w:p w14:paraId="720BA88E" w14:textId="77777777" w:rsidR="00504F80" w:rsidRPr="00B4163A" w:rsidRDefault="00504F80" w:rsidP="00237C22">
            <w:pPr>
              <w:rPr>
                <w:szCs w:val="20"/>
              </w:rPr>
            </w:pPr>
            <w:r w:rsidRPr="00B4163A">
              <w:t>Thomas J. Murphy, Director</w:t>
            </w:r>
          </w:p>
          <w:p w14:paraId="444E3111" w14:textId="77777777" w:rsidR="00504F80" w:rsidRPr="00B4163A" w:rsidRDefault="00504F80" w:rsidP="00237C22">
            <w:pPr>
              <w:pStyle w:val="BlockText"/>
            </w:pPr>
            <w:r w:rsidRPr="00B4163A">
              <w:t>Compensation Service</w:t>
            </w:r>
          </w:p>
        </w:tc>
      </w:tr>
    </w:tbl>
    <w:p w14:paraId="252C9D2D"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3499DABE" w14:textId="77777777" w:rsidTr="00237C22">
        <w:tc>
          <w:tcPr>
            <w:tcW w:w="1728" w:type="dxa"/>
          </w:tcPr>
          <w:p w14:paraId="3B96914D" w14:textId="77777777" w:rsidR="00504F80" w:rsidRPr="00B4163A" w:rsidRDefault="00504F80" w:rsidP="00237C22">
            <w:pPr>
              <w:pStyle w:val="Heading5"/>
              <w:rPr>
                <w:sz w:val="24"/>
              </w:rPr>
            </w:pPr>
            <w:r w:rsidRPr="00B4163A">
              <w:rPr>
                <w:sz w:val="24"/>
              </w:rPr>
              <w:t>Distribution</w:t>
            </w:r>
          </w:p>
        </w:tc>
        <w:tc>
          <w:tcPr>
            <w:tcW w:w="7740" w:type="dxa"/>
          </w:tcPr>
          <w:p w14:paraId="1A511B87" w14:textId="77777777" w:rsidR="00504F80" w:rsidRDefault="00504F80" w:rsidP="00237C22">
            <w:pPr>
              <w:pStyle w:val="BlockText"/>
              <w:jc w:val="center"/>
            </w:pPr>
            <w:r w:rsidRPr="00B4163A">
              <w:t>LOCAL REPRODUCTION AUTHORIZED</w:t>
            </w:r>
          </w:p>
        </w:tc>
      </w:tr>
    </w:tbl>
    <w:p w14:paraId="0D69768E"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21F5DCA9" w14:textId="2578EB4F"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8E3DDB">
        <w:fldChar w:fldCharType="begin">
          <w:fldData xml:space="preserve">RABvAGMAVABlAG0AcAAxAFYAYQByAFQAcgBhAGQAaQB0AGkAbwBuAGEAbAA=
</w:fldData>
        </w:fldChar>
      </w:r>
      <w:r w:rsidR="008E3DDB">
        <w:instrText xml:space="preserve"> ADDIN  \* MERGEFORMAT </w:instrText>
      </w:r>
      <w:r w:rsidR="008E3DDB">
        <w:fldChar w:fldCharType="end"/>
      </w:r>
      <w:r w:rsidR="008E3DDB">
        <w:fldChar w:fldCharType="begin">
          <w:fldData xml:space="preserve">RgBvAG4AdABTAGUAdABGAG8AbgB0AFMAZQB0AGkAbQBpAHMAdAB5AGwAZQBzAC4AeABtAGwA
</w:fldData>
        </w:fldChar>
      </w:r>
      <w:r w:rsidR="008E3DDB">
        <w:instrText xml:space="preserve"> ADDIN  \* MERGEFORMAT </w:instrText>
      </w:r>
      <w:r w:rsidR="008E3DDB">
        <w:fldChar w:fldCharType="end"/>
      </w:r>
    </w:p>
    <w:sectPr w:rsidR="007D5B97" w:rsidSect="00237C22">
      <w:footerReference w:type="even" r:id="rId12"/>
      <w:footerReference w:type="default" r:id="rId13"/>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37E16" w14:textId="77777777" w:rsidR="0009084C" w:rsidRDefault="0009084C" w:rsidP="00C765C7">
      <w:r>
        <w:separator/>
      </w:r>
    </w:p>
  </w:endnote>
  <w:endnote w:type="continuationSeparator" w:id="0">
    <w:p w14:paraId="35F47FAD" w14:textId="77777777" w:rsidR="0009084C" w:rsidRDefault="0009084C"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29542"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14F00D"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9EED3"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5B46">
      <w:rPr>
        <w:rStyle w:val="PageNumber"/>
        <w:noProof/>
      </w:rPr>
      <w:t>i</w:t>
    </w:r>
    <w:r>
      <w:rPr>
        <w:rStyle w:val="PageNumber"/>
      </w:rPr>
      <w:fldChar w:fldCharType="end"/>
    </w:r>
  </w:p>
  <w:p w14:paraId="197BEC52"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F0646" w14:textId="77777777" w:rsidR="0009084C" w:rsidRDefault="0009084C" w:rsidP="00C765C7">
      <w:r>
        <w:separator/>
      </w:r>
    </w:p>
  </w:footnote>
  <w:footnote w:type="continuationSeparator" w:id="0">
    <w:p w14:paraId="580E02B8" w14:textId="77777777" w:rsidR="0009084C" w:rsidRDefault="0009084C"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7">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9">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0"/>
  </w:num>
  <w:num w:numId="4">
    <w:abstractNumId w:val="7"/>
  </w:num>
  <w:num w:numId="5">
    <w:abstractNumId w:val="4"/>
  </w:num>
  <w:num w:numId="6">
    <w:abstractNumId w:val="3"/>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FontSetFontSetimistyles.xml"/>
  </w:docVars>
  <w:rsids>
    <w:rsidRoot w:val="007C6E22"/>
    <w:rsid w:val="00002A1E"/>
    <w:rsid w:val="00014A89"/>
    <w:rsid w:val="000252C6"/>
    <w:rsid w:val="000256FB"/>
    <w:rsid w:val="0009084C"/>
    <w:rsid w:val="00093228"/>
    <w:rsid w:val="000A7776"/>
    <w:rsid w:val="00100433"/>
    <w:rsid w:val="0010215F"/>
    <w:rsid w:val="00106EEF"/>
    <w:rsid w:val="00123973"/>
    <w:rsid w:val="001253ED"/>
    <w:rsid w:val="00186D46"/>
    <w:rsid w:val="001C3AE3"/>
    <w:rsid w:val="001C3EB5"/>
    <w:rsid w:val="001D5937"/>
    <w:rsid w:val="002041BE"/>
    <w:rsid w:val="00237C22"/>
    <w:rsid w:val="00240624"/>
    <w:rsid w:val="002B7A7E"/>
    <w:rsid w:val="002F5B21"/>
    <w:rsid w:val="002F7397"/>
    <w:rsid w:val="00332B80"/>
    <w:rsid w:val="00341981"/>
    <w:rsid w:val="00366D36"/>
    <w:rsid w:val="00386999"/>
    <w:rsid w:val="003B2927"/>
    <w:rsid w:val="003D47AF"/>
    <w:rsid w:val="003E2CA2"/>
    <w:rsid w:val="003F3021"/>
    <w:rsid w:val="003F6048"/>
    <w:rsid w:val="003F672A"/>
    <w:rsid w:val="00401EAD"/>
    <w:rsid w:val="0040351B"/>
    <w:rsid w:val="0041026E"/>
    <w:rsid w:val="00412CFA"/>
    <w:rsid w:val="00421403"/>
    <w:rsid w:val="00422836"/>
    <w:rsid w:val="00435BA5"/>
    <w:rsid w:val="00450FD6"/>
    <w:rsid w:val="00455EF7"/>
    <w:rsid w:val="004562CC"/>
    <w:rsid w:val="00471ECA"/>
    <w:rsid w:val="00482FA3"/>
    <w:rsid w:val="0048559D"/>
    <w:rsid w:val="00494175"/>
    <w:rsid w:val="004F375E"/>
    <w:rsid w:val="00504F80"/>
    <w:rsid w:val="00506485"/>
    <w:rsid w:val="00513DA7"/>
    <w:rsid w:val="00516C82"/>
    <w:rsid w:val="00594258"/>
    <w:rsid w:val="005A514F"/>
    <w:rsid w:val="005E4363"/>
    <w:rsid w:val="00600DC7"/>
    <w:rsid w:val="0062068D"/>
    <w:rsid w:val="006317AA"/>
    <w:rsid w:val="006473C3"/>
    <w:rsid w:val="00667B3C"/>
    <w:rsid w:val="006708D7"/>
    <w:rsid w:val="006837E0"/>
    <w:rsid w:val="006B7262"/>
    <w:rsid w:val="006C3E5F"/>
    <w:rsid w:val="006C48FF"/>
    <w:rsid w:val="006D10E5"/>
    <w:rsid w:val="006D52FE"/>
    <w:rsid w:val="006F6D37"/>
    <w:rsid w:val="00724248"/>
    <w:rsid w:val="00732186"/>
    <w:rsid w:val="00737049"/>
    <w:rsid w:val="00772232"/>
    <w:rsid w:val="007A0C5F"/>
    <w:rsid w:val="007B7B4D"/>
    <w:rsid w:val="007C6E22"/>
    <w:rsid w:val="007D5B97"/>
    <w:rsid w:val="007E5515"/>
    <w:rsid w:val="0080590C"/>
    <w:rsid w:val="008144E7"/>
    <w:rsid w:val="00822A16"/>
    <w:rsid w:val="0086475B"/>
    <w:rsid w:val="00875AFA"/>
    <w:rsid w:val="0088609E"/>
    <w:rsid w:val="008B4CB5"/>
    <w:rsid w:val="008C723F"/>
    <w:rsid w:val="008D12C3"/>
    <w:rsid w:val="008D458B"/>
    <w:rsid w:val="008E22CF"/>
    <w:rsid w:val="008E3DDB"/>
    <w:rsid w:val="008E5824"/>
    <w:rsid w:val="008E589A"/>
    <w:rsid w:val="008F14EA"/>
    <w:rsid w:val="008F1D5B"/>
    <w:rsid w:val="008F4AF3"/>
    <w:rsid w:val="00916AE6"/>
    <w:rsid w:val="00933BDB"/>
    <w:rsid w:val="00945950"/>
    <w:rsid w:val="009769CD"/>
    <w:rsid w:val="00997D98"/>
    <w:rsid w:val="009C22C8"/>
    <w:rsid w:val="009E6E1A"/>
    <w:rsid w:val="00A315CB"/>
    <w:rsid w:val="00A3579D"/>
    <w:rsid w:val="00A527CC"/>
    <w:rsid w:val="00A55356"/>
    <w:rsid w:val="00A557BB"/>
    <w:rsid w:val="00A8520D"/>
    <w:rsid w:val="00AC2993"/>
    <w:rsid w:val="00AD0EDC"/>
    <w:rsid w:val="00AF2CD6"/>
    <w:rsid w:val="00B013C8"/>
    <w:rsid w:val="00B30D2F"/>
    <w:rsid w:val="00B50AD7"/>
    <w:rsid w:val="00B64F2F"/>
    <w:rsid w:val="00B93A3C"/>
    <w:rsid w:val="00B96287"/>
    <w:rsid w:val="00BB3345"/>
    <w:rsid w:val="00BF7FE3"/>
    <w:rsid w:val="00C0404B"/>
    <w:rsid w:val="00C24D50"/>
    <w:rsid w:val="00C765C7"/>
    <w:rsid w:val="00C85B46"/>
    <w:rsid w:val="00CD2D08"/>
    <w:rsid w:val="00D33A6E"/>
    <w:rsid w:val="00D36508"/>
    <w:rsid w:val="00D57B91"/>
    <w:rsid w:val="00D61497"/>
    <w:rsid w:val="00D77146"/>
    <w:rsid w:val="00D823AF"/>
    <w:rsid w:val="00D87741"/>
    <w:rsid w:val="00D9207B"/>
    <w:rsid w:val="00DA11C2"/>
    <w:rsid w:val="00DB074F"/>
    <w:rsid w:val="00DB2902"/>
    <w:rsid w:val="00DB743E"/>
    <w:rsid w:val="00DE0E35"/>
    <w:rsid w:val="00DF44AC"/>
    <w:rsid w:val="00E2529E"/>
    <w:rsid w:val="00E36906"/>
    <w:rsid w:val="00E648E9"/>
    <w:rsid w:val="00E964FD"/>
    <w:rsid w:val="00ED4D5E"/>
    <w:rsid w:val="00F006B2"/>
    <w:rsid w:val="00F43DFA"/>
    <w:rsid w:val="00F87670"/>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E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c12b2768c8e4029759d13a5a5b3dfa4c">
  <xsd:schema xmlns:xsd="http://www.w3.org/2001/XMLSchema" xmlns:xs="http://www.w3.org/2001/XMLSchema" xmlns:p="http://schemas.microsoft.com/office/2006/metadata/properties" xmlns:ns2="b438dcf7-3998-4283-b7fc-0ec6fa8e430f" targetNamespace="http://schemas.microsoft.com/office/2006/metadata/properties" ma:root="true" ma:fieldsID="a81d78088bb395a281ca6ac745992e25"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3262-7E72-4827-AF20-6F4868708AA5}">
  <ds:schemaRefs>
    <ds:schemaRef ds:uri="http://www.w3.org/XML/1998/namespace"/>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b438dcf7-3998-4283-b7fc-0ec6fa8e430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2EB8651E-13FE-4ECA-B93E-4EFB513A6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FSPro.dotm</Template>
  <TotalTime>39</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Mazar, Leah B., VBAVACO</cp:lastModifiedBy>
  <cp:revision>9</cp:revision>
  <dcterms:created xsi:type="dcterms:W3CDTF">2014-07-22T17:38:00Z</dcterms:created>
  <dcterms:modified xsi:type="dcterms:W3CDTF">2015-01-09T15:07:00Z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