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B2" w:rsidRDefault="006157B2"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            M21-1MR, Part X</w:t>
      </w:r>
    </w:p>
    <w:p w:rsidR="006157B2" w:rsidRDefault="006157B2"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November 22, 2011</w:t>
      </w:r>
      <w:r>
        <w:rPr>
          <w:b/>
          <w:bCs/>
          <w:sz w:val="20"/>
        </w:rPr>
        <w:tab/>
      </w:r>
    </w:p>
    <w:p w:rsidR="006157B2" w:rsidRDefault="006157B2" w:rsidP="00504F80">
      <w:pPr>
        <w:rPr>
          <w:b/>
          <w:bCs/>
          <w:sz w:val="20"/>
        </w:rPr>
      </w:pPr>
      <w:smartTag w:uri="urn:schemas-microsoft-com:office:smarttags" w:element="place">
        <w:smartTag w:uri="urn:schemas-microsoft-com:office:smarttags" w:element="City">
          <w:r>
            <w:rPr>
              <w:b/>
              <w:bCs/>
              <w:sz w:val="20"/>
            </w:rPr>
            <w:t>Washington</w:t>
          </w:r>
        </w:smartTag>
        <w:r>
          <w:rPr>
            <w:b/>
            <w:bCs/>
            <w:sz w:val="20"/>
          </w:rPr>
          <w:t xml:space="preserve">, </w:t>
        </w:r>
        <w:smartTag w:uri="urn:schemas-microsoft-com:office:smarttags" w:element="State">
          <w:r>
            <w:rPr>
              <w:b/>
              <w:bCs/>
              <w:sz w:val="20"/>
            </w:rPr>
            <w:t>DC</w:t>
          </w:r>
        </w:smartTag>
        <w:r>
          <w:rPr>
            <w:b/>
            <w:bCs/>
            <w:sz w:val="20"/>
          </w:rPr>
          <w:t xml:space="preserve">  </w:t>
        </w:r>
        <w:smartTag w:uri="urn:schemas-microsoft-com:office:smarttags" w:element="PostalCode">
          <w:r>
            <w:rPr>
              <w:b/>
              <w:bCs/>
              <w:sz w:val="20"/>
            </w:rPr>
            <w:t>20420</w:t>
          </w:r>
        </w:smartTag>
      </w:smartTag>
    </w:p>
    <w:p w:rsidR="006157B2" w:rsidRDefault="006157B2" w:rsidP="00504F80">
      <w:pPr>
        <w:rPr>
          <w:b/>
          <w:bCs/>
          <w:sz w:val="20"/>
        </w:rPr>
      </w:pPr>
    </w:p>
    <w:p w:rsidR="006157B2" w:rsidRDefault="006157B2" w:rsidP="00504F80">
      <w:pPr>
        <w:pStyle w:val="Heading4"/>
      </w:pPr>
      <w:r>
        <w:t xml:space="preserve">Transmittal Sheet </w:t>
      </w:r>
    </w:p>
    <w:p w:rsidR="006157B2" w:rsidRDefault="006157B2" w:rsidP="00504F80">
      <w:pPr>
        <w:pStyle w:val="BlockLine"/>
      </w:pPr>
      <w:r>
        <w:t xml:space="preserve"> </w:t>
      </w:r>
    </w:p>
    <w:tbl>
      <w:tblPr>
        <w:tblW w:w="9468" w:type="dxa"/>
        <w:tblLayout w:type="fixed"/>
        <w:tblLook w:val="0000"/>
      </w:tblPr>
      <w:tblGrid>
        <w:gridCol w:w="1728"/>
        <w:gridCol w:w="7740"/>
      </w:tblGrid>
      <w:tr w:rsidR="006157B2" w:rsidTr="00237C22">
        <w:tc>
          <w:tcPr>
            <w:tcW w:w="1728" w:type="dxa"/>
          </w:tcPr>
          <w:p w:rsidR="006157B2" w:rsidRDefault="006157B2" w:rsidP="00237C22">
            <w:pPr>
              <w:pStyle w:val="Heading5"/>
            </w:pPr>
            <w:r>
              <w:t>Changes Included in this Revision</w:t>
            </w:r>
          </w:p>
        </w:tc>
        <w:tc>
          <w:tcPr>
            <w:tcW w:w="7740" w:type="dxa"/>
          </w:tcPr>
          <w:p w:rsidR="006157B2" w:rsidRDefault="006157B2" w:rsidP="00237C22">
            <w:pPr>
              <w:pStyle w:val="BlockText"/>
            </w:pPr>
            <w:r>
              <w:t>The table below describes the changes included in this revision of Veterans Benefits Manual M21-1MR, Part X, “Matching Programs.”</w:t>
            </w:r>
          </w:p>
          <w:p w:rsidR="006157B2" w:rsidRPr="00020D4F" w:rsidRDefault="006157B2" w:rsidP="00237C22">
            <w:pPr>
              <w:pStyle w:val="BulletText1"/>
              <w:numPr>
                <w:ilvl w:val="0"/>
                <w:numId w:val="0"/>
              </w:numPr>
            </w:pPr>
          </w:p>
          <w:p w:rsidR="006157B2" w:rsidRDefault="006157B2" w:rsidP="00237C22">
            <w:pPr>
              <w:pStyle w:val="BulletText1"/>
              <w:numPr>
                <w:ilvl w:val="0"/>
                <w:numId w:val="0"/>
              </w:numPr>
            </w:pPr>
            <w:r>
              <w:rPr>
                <w:b/>
                <w:i/>
              </w:rPr>
              <w:t>Notes</w:t>
            </w:r>
            <w:r>
              <w:t xml:space="preserve">:  </w:t>
            </w:r>
          </w:p>
          <w:p w:rsidR="006157B2" w:rsidRDefault="006157B2" w:rsidP="001B3F68">
            <w:pPr>
              <w:pStyle w:val="BulletText1"/>
            </w:pPr>
            <w:r>
              <w:t xml:space="preserve">M21-1MR will retain some information related to the Benefits Delivery Network (BDN) until all master records are converted to the Veterans Service Network (VETSNET).  For information on VETSNET applications and input, consult the </w:t>
            </w:r>
            <w:hyperlink r:id="rId7" w:tooltip="http://10.220.1.10/vetsnet/User%20guide.htm" w:history="1">
              <w:r w:rsidRPr="00072B1A">
                <w:rPr>
                  <w:rStyle w:val="Hyperlink"/>
                  <w:i/>
                </w:rPr>
                <w:t>VETSNET User Guides</w:t>
              </w:r>
            </w:hyperlink>
            <w:r w:rsidRPr="00072B1A">
              <w:rPr>
                <w:i/>
              </w:rPr>
              <w:t xml:space="preserve"> </w:t>
            </w:r>
            <w:r>
              <w:t>on the Compensation Service Intranet.</w:t>
            </w:r>
          </w:p>
          <w:p w:rsidR="006157B2" w:rsidRDefault="006157B2" w:rsidP="00237C22">
            <w:pPr>
              <w:pStyle w:val="BulletText1"/>
            </w:pPr>
            <w:r>
              <w:t>The term regional office (RO) also includes pension management center (PMC), where appropriate.</w:t>
            </w:r>
          </w:p>
          <w:p w:rsidR="006157B2" w:rsidRDefault="006157B2" w:rsidP="00237C22">
            <w:pPr>
              <w:pStyle w:val="BulletText1"/>
            </w:pPr>
            <w:r>
              <w:t>The term Veterans Service Center Manager (VSCM) also includes Pension Management Center Manager (PMCM), where appropriate.</w:t>
            </w:r>
          </w:p>
          <w:p w:rsidR="006157B2" w:rsidRDefault="006157B2" w:rsidP="00237C22">
            <w:pPr>
              <w:pStyle w:val="BulletText1"/>
              <w:numPr>
                <w:ilvl w:val="0"/>
                <w:numId w:val="1"/>
              </w:numPr>
              <w:ind w:left="187" w:hanging="187"/>
            </w:pPr>
            <w:r>
              <w:t xml:space="preserve">Minor editorial changes have also been made to </w:t>
            </w:r>
          </w:p>
          <w:p w:rsidR="006157B2" w:rsidRDefault="006157B2" w:rsidP="00237C22">
            <w:pPr>
              <w:pStyle w:val="BulletText2"/>
              <w:tabs>
                <w:tab w:val="num" w:pos="547"/>
              </w:tabs>
            </w:pPr>
            <w:r>
              <w:t>remove references to rescinded portions of M21-1</w:t>
            </w:r>
          </w:p>
          <w:p w:rsidR="006157B2" w:rsidRDefault="006157B2" w:rsidP="00237C22">
            <w:pPr>
              <w:pStyle w:val="BulletText2"/>
              <w:tabs>
                <w:tab w:val="num" w:pos="547"/>
              </w:tabs>
            </w:pPr>
            <w:r>
              <w:t>update incorrect or obsolete hyperlink references</w:t>
            </w:r>
          </w:p>
          <w:p w:rsidR="006157B2" w:rsidRDefault="006157B2" w:rsidP="00237C22">
            <w:pPr>
              <w:pStyle w:val="BulletText2"/>
              <w:tabs>
                <w:tab w:val="num" w:pos="547"/>
              </w:tabs>
            </w:pPr>
            <w:r>
              <w:t>update the term “VCAA notice” to “section 5103 notice”</w:t>
            </w:r>
          </w:p>
          <w:p w:rsidR="006157B2" w:rsidRDefault="006157B2" w:rsidP="00237C22">
            <w:pPr>
              <w:pStyle w:val="BulletText2"/>
              <w:tabs>
                <w:tab w:val="num" w:pos="547"/>
              </w:tabs>
            </w:pPr>
            <w:r>
              <w:t>update obsolete terminology</w:t>
            </w:r>
          </w:p>
          <w:p w:rsidR="006157B2" w:rsidRDefault="006157B2" w:rsidP="00237C22">
            <w:pPr>
              <w:pStyle w:val="BulletText2"/>
              <w:tabs>
                <w:tab w:val="num" w:pos="547"/>
              </w:tabs>
            </w:pPr>
            <w:r>
              <w:t>to reflect the use of  VETSNET Awards to process most award transactions</w:t>
            </w:r>
          </w:p>
          <w:p w:rsidR="006157B2" w:rsidRDefault="006157B2" w:rsidP="00237C22">
            <w:pPr>
              <w:pStyle w:val="BulletText2"/>
              <w:tabs>
                <w:tab w:val="num" w:pos="547"/>
              </w:tabs>
            </w:pPr>
            <w:r>
              <w:t xml:space="preserve">clarify block labels and/or block text, and </w:t>
            </w:r>
          </w:p>
          <w:p w:rsidR="006157B2" w:rsidRPr="00EA3A57" w:rsidRDefault="006157B2" w:rsidP="00FD4D77">
            <w:pPr>
              <w:pStyle w:val="BulletText2"/>
            </w:pPr>
            <w:r>
              <w:t>bring the documents into conformance with M21-1MR standards.</w:t>
            </w:r>
          </w:p>
        </w:tc>
      </w:tr>
    </w:tbl>
    <w:p w:rsidR="006157B2" w:rsidRPr="00714A83" w:rsidRDefault="006157B2" w:rsidP="00504F80">
      <w:pPr>
        <w:pStyle w:val="MapTitleContinued"/>
        <w:rPr>
          <w:b w:val="0"/>
          <w:sz w:val="24"/>
        </w:rPr>
      </w:pPr>
    </w:p>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4"/>
        <w:gridCol w:w="2700"/>
        <w:gridCol w:w="1080"/>
      </w:tblGrid>
      <w:tr w:rsidR="006157B2" w:rsidTr="00237C22">
        <w:tc>
          <w:tcPr>
            <w:tcW w:w="5724" w:type="dxa"/>
          </w:tcPr>
          <w:p w:rsidR="006157B2" w:rsidRPr="00002A1E" w:rsidRDefault="006157B2" w:rsidP="00237C22">
            <w:pPr>
              <w:pStyle w:val="TableHeaderText"/>
            </w:pPr>
            <w:r w:rsidRPr="00002A1E">
              <w:t>Reason(s) for the Change</w:t>
            </w:r>
          </w:p>
        </w:tc>
        <w:tc>
          <w:tcPr>
            <w:tcW w:w="2700" w:type="dxa"/>
          </w:tcPr>
          <w:p w:rsidR="006157B2" w:rsidRPr="00002A1E" w:rsidRDefault="006157B2" w:rsidP="00237C22">
            <w:pPr>
              <w:pStyle w:val="TableHeaderText"/>
            </w:pPr>
            <w:r w:rsidRPr="00002A1E">
              <w:t>Citation</w:t>
            </w:r>
          </w:p>
        </w:tc>
        <w:tc>
          <w:tcPr>
            <w:tcW w:w="1080" w:type="dxa"/>
          </w:tcPr>
          <w:p w:rsidR="006157B2" w:rsidRDefault="006157B2" w:rsidP="00237C22">
            <w:pPr>
              <w:pStyle w:val="TableHeaderText"/>
            </w:pPr>
            <w:r>
              <w:t>Page(s)</w:t>
            </w:r>
          </w:p>
        </w:tc>
      </w:tr>
      <w:tr w:rsidR="006157B2" w:rsidTr="00237C22">
        <w:tc>
          <w:tcPr>
            <w:tcW w:w="5724" w:type="dxa"/>
          </w:tcPr>
          <w:p w:rsidR="006157B2" w:rsidRPr="00002A1E" w:rsidRDefault="006157B2" w:rsidP="001B3F68">
            <w:pPr>
              <w:pStyle w:val="TableText"/>
            </w:pPr>
            <w:r>
              <w:t>To remove information pertaining to BDN-generated verification letters.</w:t>
            </w:r>
          </w:p>
        </w:tc>
        <w:tc>
          <w:tcPr>
            <w:tcW w:w="2700" w:type="dxa"/>
          </w:tcPr>
          <w:p w:rsidR="006157B2" w:rsidRPr="00002A1E" w:rsidRDefault="006157B2" w:rsidP="001B3F68">
            <w:pPr>
              <w:pStyle w:val="TableText"/>
            </w:pPr>
            <w:r>
              <w:t>Part X, Chapter 10, Topic 5, Block a (X.10.5.a)</w:t>
            </w:r>
          </w:p>
        </w:tc>
        <w:tc>
          <w:tcPr>
            <w:tcW w:w="1080" w:type="dxa"/>
          </w:tcPr>
          <w:p w:rsidR="006157B2" w:rsidRDefault="006157B2" w:rsidP="001B3F68">
            <w:pPr>
              <w:pStyle w:val="TableText"/>
            </w:pPr>
            <w:r>
              <w:t>10-11</w:t>
            </w:r>
          </w:p>
        </w:tc>
      </w:tr>
      <w:tr w:rsidR="006157B2" w:rsidTr="00237C22">
        <w:tc>
          <w:tcPr>
            <w:tcW w:w="5724" w:type="dxa"/>
          </w:tcPr>
          <w:p w:rsidR="006157B2" w:rsidRDefault="006157B2" w:rsidP="001B3F68">
            <w:pPr>
              <w:pStyle w:val="TableText"/>
            </w:pPr>
            <w:r>
              <w:t xml:space="preserve">To remove information pertaining to BDN award processing and reflect the use of the IVM Adjustment field and Potential Fraud field in VETSNET Awards.  </w:t>
            </w:r>
          </w:p>
        </w:tc>
        <w:tc>
          <w:tcPr>
            <w:tcW w:w="2700" w:type="dxa"/>
          </w:tcPr>
          <w:p w:rsidR="006157B2" w:rsidRDefault="006157B2" w:rsidP="001B3F68">
            <w:pPr>
              <w:pStyle w:val="BulletText1"/>
            </w:pPr>
            <w:r>
              <w:t>X.10.6.a</w:t>
            </w:r>
          </w:p>
          <w:p w:rsidR="006157B2" w:rsidRDefault="006157B2" w:rsidP="001B3F68">
            <w:pPr>
              <w:pStyle w:val="BulletText1"/>
            </w:pPr>
            <w:r>
              <w:t>V.10.6.b</w:t>
            </w:r>
          </w:p>
        </w:tc>
        <w:tc>
          <w:tcPr>
            <w:tcW w:w="1080" w:type="dxa"/>
          </w:tcPr>
          <w:p w:rsidR="006157B2" w:rsidRDefault="006157B2" w:rsidP="001B3F68">
            <w:pPr>
              <w:pStyle w:val="TableText"/>
            </w:pPr>
            <w:r>
              <w:t>10-12</w:t>
            </w:r>
          </w:p>
        </w:tc>
      </w:tr>
      <w:tr w:rsidR="006157B2" w:rsidTr="00237C22">
        <w:tc>
          <w:tcPr>
            <w:tcW w:w="5724" w:type="dxa"/>
          </w:tcPr>
          <w:p w:rsidR="006157B2" w:rsidRDefault="006157B2" w:rsidP="002C1EA9">
            <w:pPr>
              <w:pStyle w:val="TableText"/>
            </w:pPr>
            <w:r>
              <w:t>To indicate that the information in Blocks c and d applies only to awards processed in BDN.</w:t>
            </w:r>
          </w:p>
        </w:tc>
        <w:tc>
          <w:tcPr>
            <w:tcW w:w="2700" w:type="dxa"/>
          </w:tcPr>
          <w:p w:rsidR="006157B2" w:rsidRDefault="006157B2" w:rsidP="001B3F68">
            <w:pPr>
              <w:pStyle w:val="BulletText1"/>
            </w:pPr>
            <w:r>
              <w:t>X.10.6.c</w:t>
            </w:r>
          </w:p>
          <w:p w:rsidR="006157B2" w:rsidRDefault="006157B2" w:rsidP="001B3F68">
            <w:pPr>
              <w:pStyle w:val="BulletText1"/>
            </w:pPr>
            <w:r>
              <w:t>X.10.6.d</w:t>
            </w:r>
          </w:p>
        </w:tc>
        <w:tc>
          <w:tcPr>
            <w:tcW w:w="1080" w:type="dxa"/>
          </w:tcPr>
          <w:p w:rsidR="006157B2" w:rsidRDefault="006157B2" w:rsidP="001B3F68">
            <w:pPr>
              <w:pStyle w:val="TableText"/>
            </w:pPr>
            <w:r>
              <w:t>10-13</w:t>
            </w:r>
          </w:p>
        </w:tc>
      </w:tr>
      <w:tr w:rsidR="006157B2" w:rsidTr="00237C22">
        <w:tc>
          <w:tcPr>
            <w:tcW w:w="5724" w:type="dxa"/>
          </w:tcPr>
          <w:p w:rsidR="006157B2" w:rsidRPr="00002A1E" w:rsidRDefault="006157B2" w:rsidP="001B3F68">
            <w:pPr>
              <w:pStyle w:val="TableText"/>
            </w:pPr>
            <w:r>
              <w:t>To note that income verification match (IVM) worksheets requiring benefit adjustment may be destroyed 30 days after the decision has become final.</w:t>
            </w:r>
          </w:p>
        </w:tc>
        <w:tc>
          <w:tcPr>
            <w:tcW w:w="2700" w:type="dxa"/>
          </w:tcPr>
          <w:p w:rsidR="006157B2" w:rsidRPr="00002A1E" w:rsidRDefault="006157B2" w:rsidP="001B3F68">
            <w:pPr>
              <w:pStyle w:val="TableText"/>
            </w:pPr>
            <w:r>
              <w:t>X.10.9.d</w:t>
            </w:r>
          </w:p>
        </w:tc>
        <w:tc>
          <w:tcPr>
            <w:tcW w:w="1080" w:type="dxa"/>
          </w:tcPr>
          <w:p w:rsidR="006157B2" w:rsidRDefault="006157B2" w:rsidP="001B3F68">
            <w:pPr>
              <w:pStyle w:val="TableText"/>
            </w:pPr>
            <w:r>
              <w:t>10-22</w:t>
            </w:r>
          </w:p>
        </w:tc>
      </w:tr>
      <w:tr w:rsidR="006157B2" w:rsidTr="00237C22">
        <w:tc>
          <w:tcPr>
            <w:tcW w:w="5724" w:type="dxa"/>
          </w:tcPr>
          <w:p w:rsidR="006157B2" w:rsidRDefault="006157B2" w:rsidP="00237C22">
            <w:pPr>
              <w:pStyle w:val="TableText"/>
            </w:pPr>
            <w:r>
              <w:t>To clarify when IVM-related materials may be destroyed.</w:t>
            </w:r>
          </w:p>
        </w:tc>
        <w:tc>
          <w:tcPr>
            <w:tcW w:w="2700" w:type="dxa"/>
          </w:tcPr>
          <w:p w:rsidR="006157B2" w:rsidRDefault="006157B2" w:rsidP="00237C22">
            <w:pPr>
              <w:pStyle w:val="TableText"/>
            </w:pPr>
            <w:r>
              <w:t>X.10.9.g</w:t>
            </w:r>
          </w:p>
        </w:tc>
        <w:tc>
          <w:tcPr>
            <w:tcW w:w="1080" w:type="dxa"/>
          </w:tcPr>
          <w:p w:rsidR="006157B2" w:rsidRDefault="006157B2" w:rsidP="00237C22">
            <w:pPr>
              <w:pStyle w:val="TableText"/>
            </w:pPr>
            <w:r>
              <w:t>10-23</w:t>
            </w:r>
          </w:p>
        </w:tc>
      </w:tr>
      <w:tr w:rsidR="006157B2" w:rsidTr="00237C22">
        <w:tc>
          <w:tcPr>
            <w:tcW w:w="5724" w:type="dxa"/>
          </w:tcPr>
          <w:p w:rsidR="006157B2" w:rsidRDefault="006157B2" w:rsidP="00237C22">
            <w:pPr>
              <w:pStyle w:val="TableText"/>
            </w:pPr>
            <w:r>
              <w:t>To note that if the warrant was cleared within 30 days of issuance, it is not necessary to terminate VA benefits.</w:t>
            </w:r>
          </w:p>
        </w:tc>
        <w:tc>
          <w:tcPr>
            <w:tcW w:w="2700" w:type="dxa"/>
          </w:tcPr>
          <w:p w:rsidR="006157B2" w:rsidRDefault="006157B2" w:rsidP="00FD3781">
            <w:pPr>
              <w:pStyle w:val="TableText"/>
            </w:pPr>
            <w:r>
              <w:t>X.16.1.d</w:t>
            </w:r>
          </w:p>
        </w:tc>
        <w:tc>
          <w:tcPr>
            <w:tcW w:w="1080" w:type="dxa"/>
          </w:tcPr>
          <w:p w:rsidR="006157B2" w:rsidRDefault="006157B2" w:rsidP="00237C22">
            <w:pPr>
              <w:pStyle w:val="TableText"/>
            </w:pPr>
            <w:r>
              <w:t>16-2</w:t>
            </w:r>
          </w:p>
        </w:tc>
      </w:tr>
    </w:tbl>
    <w:p w:rsidR="006157B2" w:rsidRDefault="006157B2" w:rsidP="002C1EA9">
      <w:pPr>
        <w:pStyle w:val="ContinuedOnNextPa"/>
      </w:pPr>
      <w:r>
        <w:t>Continued on next page</w:t>
      </w:r>
    </w:p>
    <w:p w:rsidR="006157B2" w:rsidRDefault="006157B2" w:rsidP="002C1EA9">
      <w:pPr>
        <w:pStyle w:val="MapTitleContinued"/>
        <w:rPr>
          <w:b w:val="0"/>
          <w:sz w:val="24"/>
        </w:rPr>
      </w:pPr>
      <w:r w:rsidRPr="002C1EA9">
        <w:br w:type="page"/>
      </w:r>
      <w:fldSimple w:instr=" STYLEREF &quot;Map Title&quot; ">
        <w:r w:rsidRPr="002C1EA9">
          <w:rPr>
            <w:noProof/>
          </w:rPr>
          <w:t>Transmittal Sheet</w:t>
        </w:r>
      </w:fldSimple>
      <w:r w:rsidRPr="002C1EA9">
        <w:t xml:space="preserve">, </w:t>
      </w:r>
      <w:r w:rsidRPr="002C1EA9">
        <w:rPr>
          <w:b w:val="0"/>
          <w:sz w:val="24"/>
        </w:rPr>
        <w:t>Continued</w:t>
      </w:r>
    </w:p>
    <w:p w:rsidR="006157B2" w:rsidRDefault="006157B2" w:rsidP="002C1EA9">
      <w:pPr>
        <w:pStyle w:val="BlockLine"/>
      </w:pPr>
      <w:r>
        <w:t xml:space="preserve"> </w:t>
      </w:r>
    </w:p>
    <w:tbl>
      <w:tblPr>
        <w:tblW w:w="9320" w:type="dxa"/>
        <w:tblInd w:w="144" w:type="dxa"/>
        <w:tblLayout w:type="fixed"/>
        <w:tblLook w:val="0000"/>
      </w:tblPr>
      <w:tblGrid>
        <w:gridCol w:w="9320"/>
      </w:tblGrid>
      <w:tr w:rsidR="006157B2" w:rsidTr="002C1EA9">
        <w:tc>
          <w:tcPr>
            <w:tcW w:w="5000" w:type="pct"/>
          </w:tcPr>
          <w:p w:rsidR="006157B2" w:rsidRDefault="006157B2" w:rsidP="002C1EA9">
            <w:pPr>
              <w:pStyle w:val="ContinuedTableLabe"/>
            </w:pPr>
            <w:fldSimple w:instr=" STYLEREF &quot;Block Label&quot; ">
              <w:r>
                <w:rPr>
                  <w:noProof/>
                </w:rPr>
                <w:t>Changes Included in this Revision</w:t>
              </w:r>
            </w:fldSimple>
            <w:r>
              <w:t xml:space="preserve"> </w:t>
            </w:r>
            <w:r w:rsidRPr="002C1EA9">
              <w:rPr>
                <w:b w:val="0"/>
              </w:rPr>
              <w:t>(continued)</w:t>
            </w:r>
          </w:p>
        </w:tc>
      </w:tr>
    </w:tbl>
    <w:p w:rsidR="006157B2" w:rsidRPr="002C1EA9" w:rsidRDefault="006157B2" w:rsidP="002C1EA9"/>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4"/>
        <w:gridCol w:w="2700"/>
        <w:gridCol w:w="1080"/>
      </w:tblGrid>
      <w:tr w:rsidR="006157B2" w:rsidTr="00A24B55">
        <w:tc>
          <w:tcPr>
            <w:tcW w:w="5724" w:type="dxa"/>
          </w:tcPr>
          <w:p w:rsidR="006157B2" w:rsidRPr="00002A1E" w:rsidRDefault="006157B2" w:rsidP="003E163B">
            <w:pPr>
              <w:pStyle w:val="TableHeaderText"/>
            </w:pPr>
            <w:r w:rsidRPr="00002A1E">
              <w:t>Reason(s) for the Change</w:t>
            </w:r>
          </w:p>
        </w:tc>
        <w:tc>
          <w:tcPr>
            <w:tcW w:w="2700" w:type="dxa"/>
          </w:tcPr>
          <w:p w:rsidR="006157B2" w:rsidRPr="00002A1E" w:rsidRDefault="006157B2" w:rsidP="003E163B">
            <w:pPr>
              <w:pStyle w:val="TableHeaderText"/>
            </w:pPr>
            <w:r w:rsidRPr="00002A1E">
              <w:t>Citation</w:t>
            </w:r>
          </w:p>
        </w:tc>
        <w:tc>
          <w:tcPr>
            <w:tcW w:w="1080" w:type="dxa"/>
          </w:tcPr>
          <w:p w:rsidR="006157B2" w:rsidRDefault="006157B2" w:rsidP="003E163B">
            <w:pPr>
              <w:pStyle w:val="TableHeaderText"/>
            </w:pPr>
            <w:r>
              <w:t>Page(s)</w:t>
            </w:r>
          </w:p>
        </w:tc>
      </w:tr>
      <w:tr w:rsidR="006157B2" w:rsidTr="00A24B55">
        <w:tc>
          <w:tcPr>
            <w:tcW w:w="5724" w:type="dxa"/>
          </w:tcPr>
          <w:p w:rsidR="006157B2" w:rsidRDefault="006157B2" w:rsidP="00237C22">
            <w:pPr>
              <w:pStyle w:val="TableText"/>
            </w:pPr>
            <w:r>
              <w:t xml:space="preserve">To describe the warrant information on the </w:t>
            </w:r>
            <w:r>
              <w:rPr>
                <w:i/>
                <w:iCs/>
              </w:rPr>
              <w:t xml:space="preserve">FFP-3 </w:t>
            </w:r>
            <w:r>
              <w:t>form from the Office of Inspector General (OIG).</w:t>
            </w:r>
          </w:p>
        </w:tc>
        <w:tc>
          <w:tcPr>
            <w:tcW w:w="2700" w:type="dxa"/>
          </w:tcPr>
          <w:p w:rsidR="006157B2" w:rsidRDefault="006157B2" w:rsidP="00FD3781">
            <w:pPr>
              <w:pStyle w:val="TableText"/>
            </w:pPr>
            <w:r>
              <w:t>X.16.2.b</w:t>
            </w:r>
          </w:p>
        </w:tc>
        <w:tc>
          <w:tcPr>
            <w:tcW w:w="1080" w:type="dxa"/>
          </w:tcPr>
          <w:p w:rsidR="006157B2" w:rsidRDefault="006157B2" w:rsidP="00237C22">
            <w:pPr>
              <w:pStyle w:val="TableText"/>
            </w:pPr>
            <w:r>
              <w:t>16-5</w:t>
            </w:r>
          </w:p>
        </w:tc>
      </w:tr>
      <w:tr w:rsidR="006157B2" w:rsidTr="00A24B55">
        <w:tc>
          <w:tcPr>
            <w:tcW w:w="5724" w:type="dxa"/>
          </w:tcPr>
          <w:p w:rsidR="006157B2" w:rsidRDefault="006157B2" w:rsidP="00255C5F">
            <w:pPr>
              <w:pStyle w:val="BulletText1"/>
            </w:pPr>
            <w:r>
              <w:t xml:space="preserve">To describe the requirements of the notice of proposed adverse action based on whether the </w:t>
            </w:r>
            <w:r>
              <w:rPr>
                <w:i/>
                <w:iCs/>
              </w:rPr>
              <w:t xml:space="preserve">FFP-3 </w:t>
            </w:r>
            <w:r>
              <w:t>form contained an arrest date or warrant invalid date.</w:t>
            </w:r>
          </w:p>
          <w:p w:rsidR="006157B2" w:rsidRDefault="006157B2" w:rsidP="00255C5F">
            <w:pPr>
              <w:pStyle w:val="BulletText1"/>
            </w:pPr>
            <w:r>
              <w:t>To add additional M21-1MR reference citations.</w:t>
            </w:r>
          </w:p>
        </w:tc>
        <w:tc>
          <w:tcPr>
            <w:tcW w:w="2700" w:type="dxa"/>
          </w:tcPr>
          <w:p w:rsidR="006157B2" w:rsidRDefault="006157B2" w:rsidP="00FD3781">
            <w:pPr>
              <w:pStyle w:val="TableText"/>
            </w:pPr>
            <w:r>
              <w:t>X.16.2.c</w:t>
            </w:r>
          </w:p>
          <w:p w:rsidR="006157B2" w:rsidRDefault="006157B2" w:rsidP="00237C22">
            <w:pPr>
              <w:pStyle w:val="TableText"/>
            </w:pPr>
          </w:p>
        </w:tc>
        <w:tc>
          <w:tcPr>
            <w:tcW w:w="1080" w:type="dxa"/>
          </w:tcPr>
          <w:p w:rsidR="006157B2" w:rsidRDefault="006157B2" w:rsidP="00237C22">
            <w:pPr>
              <w:pStyle w:val="TableText"/>
            </w:pPr>
            <w:r>
              <w:t>16-6</w:t>
            </w:r>
          </w:p>
        </w:tc>
      </w:tr>
      <w:tr w:rsidR="006157B2" w:rsidTr="00A24B55">
        <w:tc>
          <w:tcPr>
            <w:tcW w:w="5724" w:type="dxa"/>
          </w:tcPr>
          <w:p w:rsidR="006157B2" w:rsidRDefault="006157B2" w:rsidP="00237C22">
            <w:pPr>
              <w:pStyle w:val="TableText"/>
            </w:pPr>
            <w:r>
              <w:t>To note that the award should not be adjusted if the warrant was cleared within 30 days of issuance.</w:t>
            </w:r>
          </w:p>
        </w:tc>
        <w:tc>
          <w:tcPr>
            <w:tcW w:w="2700" w:type="dxa"/>
          </w:tcPr>
          <w:p w:rsidR="006157B2" w:rsidRDefault="006157B2" w:rsidP="00237C22">
            <w:pPr>
              <w:pStyle w:val="TableText"/>
            </w:pPr>
            <w:r>
              <w:t>X.16.2.f</w:t>
            </w:r>
          </w:p>
        </w:tc>
        <w:tc>
          <w:tcPr>
            <w:tcW w:w="1080" w:type="dxa"/>
          </w:tcPr>
          <w:p w:rsidR="006157B2" w:rsidRDefault="006157B2" w:rsidP="00237C22">
            <w:pPr>
              <w:pStyle w:val="TableText"/>
            </w:pPr>
            <w:r>
              <w:t>16-7</w:t>
            </w:r>
          </w:p>
        </w:tc>
      </w:tr>
      <w:tr w:rsidR="006157B2" w:rsidTr="00237C22">
        <w:tc>
          <w:tcPr>
            <w:tcW w:w="5724" w:type="dxa"/>
          </w:tcPr>
          <w:p w:rsidR="006157B2" w:rsidRDefault="006157B2" w:rsidP="00FD3781">
            <w:pPr>
              <w:pStyle w:val="TableText"/>
            </w:pPr>
            <w:r>
              <w:t>To add an M21-1MR reference citation.</w:t>
            </w:r>
          </w:p>
        </w:tc>
        <w:tc>
          <w:tcPr>
            <w:tcW w:w="2700" w:type="dxa"/>
          </w:tcPr>
          <w:p w:rsidR="006157B2" w:rsidRDefault="006157B2" w:rsidP="00FD3781">
            <w:pPr>
              <w:pStyle w:val="TableText"/>
            </w:pPr>
            <w:r>
              <w:t>X.16.3.a</w:t>
            </w:r>
          </w:p>
        </w:tc>
        <w:tc>
          <w:tcPr>
            <w:tcW w:w="1080" w:type="dxa"/>
          </w:tcPr>
          <w:p w:rsidR="006157B2" w:rsidRDefault="006157B2" w:rsidP="00237C22">
            <w:pPr>
              <w:pStyle w:val="BulletText1"/>
              <w:numPr>
                <w:ilvl w:val="0"/>
                <w:numId w:val="0"/>
              </w:numPr>
            </w:pPr>
            <w:r>
              <w:t>16-10</w:t>
            </w:r>
          </w:p>
        </w:tc>
      </w:tr>
      <w:tr w:rsidR="006157B2" w:rsidTr="00237C22">
        <w:tc>
          <w:tcPr>
            <w:tcW w:w="5724" w:type="dxa"/>
          </w:tcPr>
          <w:p w:rsidR="006157B2" w:rsidRDefault="006157B2" w:rsidP="001B3F68">
            <w:pPr>
              <w:pStyle w:val="TableText"/>
            </w:pPr>
            <w:r>
              <w:t>To add a block to provide information on contacting a warrant agency to confirm a warrant has been cleared.</w:t>
            </w:r>
          </w:p>
          <w:p w:rsidR="006157B2" w:rsidRDefault="006157B2" w:rsidP="001B3F68">
            <w:pPr>
              <w:pStyle w:val="TableText"/>
            </w:pPr>
          </w:p>
          <w:p w:rsidR="006157B2" w:rsidRDefault="006157B2" w:rsidP="001B3F68">
            <w:pPr>
              <w:pStyle w:val="TableText"/>
            </w:pPr>
            <w:r>
              <w:t>The subsequent blocks in this topic are re-lettered.</w:t>
            </w:r>
          </w:p>
        </w:tc>
        <w:tc>
          <w:tcPr>
            <w:tcW w:w="2700" w:type="dxa"/>
          </w:tcPr>
          <w:p w:rsidR="006157B2" w:rsidRDefault="006157B2" w:rsidP="001B3F68">
            <w:pPr>
              <w:pStyle w:val="TableText"/>
            </w:pPr>
            <w:r>
              <w:t>X.16.3.b</w:t>
            </w:r>
          </w:p>
        </w:tc>
        <w:tc>
          <w:tcPr>
            <w:tcW w:w="1080" w:type="dxa"/>
          </w:tcPr>
          <w:p w:rsidR="006157B2" w:rsidRDefault="006157B2" w:rsidP="001B3F68">
            <w:pPr>
              <w:pStyle w:val="BulletText1"/>
              <w:numPr>
                <w:ilvl w:val="0"/>
                <w:numId w:val="0"/>
              </w:numPr>
            </w:pPr>
            <w:r>
              <w:t>16-11</w:t>
            </w:r>
          </w:p>
        </w:tc>
      </w:tr>
      <w:tr w:rsidR="006157B2" w:rsidTr="00237C22">
        <w:tc>
          <w:tcPr>
            <w:tcW w:w="5724" w:type="dxa"/>
          </w:tcPr>
          <w:p w:rsidR="006157B2" w:rsidRDefault="006157B2" w:rsidP="00FD3781">
            <w:pPr>
              <w:pStyle w:val="TableText"/>
            </w:pPr>
            <w:r>
              <w:t>To clarify the procedures for contacting the OIG fugitive felon coordinator.</w:t>
            </w:r>
          </w:p>
        </w:tc>
        <w:tc>
          <w:tcPr>
            <w:tcW w:w="2700" w:type="dxa"/>
          </w:tcPr>
          <w:p w:rsidR="006157B2" w:rsidRDefault="006157B2" w:rsidP="00FD3781">
            <w:pPr>
              <w:pStyle w:val="TableText"/>
            </w:pPr>
            <w:r>
              <w:t>X.16.3.e</w:t>
            </w:r>
          </w:p>
        </w:tc>
        <w:tc>
          <w:tcPr>
            <w:tcW w:w="1080" w:type="dxa"/>
          </w:tcPr>
          <w:p w:rsidR="006157B2" w:rsidRDefault="006157B2" w:rsidP="00237C22">
            <w:pPr>
              <w:pStyle w:val="BulletText1"/>
              <w:numPr>
                <w:ilvl w:val="0"/>
                <w:numId w:val="0"/>
              </w:numPr>
            </w:pPr>
            <w:r>
              <w:t>16-13</w:t>
            </w:r>
          </w:p>
        </w:tc>
      </w:tr>
      <w:tr w:rsidR="006157B2" w:rsidTr="00237C22">
        <w:tc>
          <w:tcPr>
            <w:tcW w:w="5724" w:type="dxa"/>
          </w:tcPr>
          <w:p w:rsidR="006157B2" w:rsidRDefault="006157B2" w:rsidP="00FD3781">
            <w:pPr>
              <w:pStyle w:val="TableText"/>
            </w:pPr>
            <w:r>
              <w:t>To state that if the beneficiary is in receipt of disability compensation, the regional office (RO) with jurisdiction of the claims folder in BIRLS is responsible for working the fugitive felon case.</w:t>
            </w:r>
          </w:p>
        </w:tc>
        <w:tc>
          <w:tcPr>
            <w:tcW w:w="2700" w:type="dxa"/>
          </w:tcPr>
          <w:p w:rsidR="006157B2" w:rsidRDefault="006157B2" w:rsidP="00FD3781">
            <w:pPr>
              <w:pStyle w:val="TableText"/>
            </w:pPr>
            <w:r>
              <w:t>X.16.4.a</w:t>
            </w:r>
          </w:p>
        </w:tc>
        <w:tc>
          <w:tcPr>
            <w:tcW w:w="1080" w:type="dxa"/>
          </w:tcPr>
          <w:p w:rsidR="006157B2" w:rsidRDefault="006157B2" w:rsidP="00237C22">
            <w:pPr>
              <w:pStyle w:val="BulletText1"/>
              <w:numPr>
                <w:ilvl w:val="0"/>
                <w:numId w:val="0"/>
              </w:numPr>
            </w:pPr>
            <w:r>
              <w:t>16-18</w:t>
            </w:r>
          </w:p>
        </w:tc>
      </w:tr>
      <w:tr w:rsidR="006157B2" w:rsidTr="00237C22">
        <w:tc>
          <w:tcPr>
            <w:tcW w:w="5724" w:type="dxa"/>
          </w:tcPr>
          <w:p w:rsidR="006157B2" w:rsidRDefault="006157B2" w:rsidP="00FD3781">
            <w:pPr>
              <w:pStyle w:val="TableText"/>
            </w:pPr>
            <w:r>
              <w:t>To clarify the PMC’s jurisdiction of fugitive felon cases.</w:t>
            </w:r>
          </w:p>
          <w:p w:rsidR="006157B2" w:rsidRDefault="006157B2" w:rsidP="00FD3781">
            <w:pPr>
              <w:pStyle w:val="TableText"/>
            </w:pPr>
          </w:p>
          <w:p w:rsidR="006157B2" w:rsidRDefault="006157B2" w:rsidP="00FD3781">
            <w:pPr>
              <w:pStyle w:val="TableText"/>
            </w:pPr>
            <w:r>
              <w:t>To reflect that an RO need not designate alternate fugitive felon coordinators.</w:t>
            </w:r>
          </w:p>
        </w:tc>
        <w:tc>
          <w:tcPr>
            <w:tcW w:w="2700" w:type="dxa"/>
          </w:tcPr>
          <w:p w:rsidR="006157B2" w:rsidRDefault="006157B2" w:rsidP="00FD3781">
            <w:pPr>
              <w:pStyle w:val="TableText"/>
            </w:pPr>
            <w:r>
              <w:t>X.16.4.b</w:t>
            </w:r>
          </w:p>
          <w:p w:rsidR="006157B2" w:rsidRDefault="006157B2" w:rsidP="00FD3781">
            <w:pPr>
              <w:pStyle w:val="TableText"/>
            </w:pPr>
          </w:p>
          <w:p w:rsidR="006157B2" w:rsidRDefault="006157B2" w:rsidP="00FD3781">
            <w:pPr>
              <w:pStyle w:val="TableText"/>
            </w:pPr>
            <w:r>
              <w:t>X.16.4.c</w:t>
            </w:r>
          </w:p>
        </w:tc>
        <w:tc>
          <w:tcPr>
            <w:tcW w:w="1080" w:type="dxa"/>
          </w:tcPr>
          <w:p w:rsidR="006157B2" w:rsidRDefault="006157B2" w:rsidP="00237C22">
            <w:pPr>
              <w:pStyle w:val="BulletText1"/>
              <w:numPr>
                <w:ilvl w:val="0"/>
                <w:numId w:val="0"/>
              </w:numPr>
            </w:pPr>
            <w:r>
              <w:t>16-19</w:t>
            </w:r>
          </w:p>
        </w:tc>
      </w:tr>
      <w:tr w:rsidR="006157B2" w:rsidTr="00237C22">
        <w:tc>
          <w:tcPr>
            <w:tcW w:w="5724" w:type="dxa"/>
          </w:tcPr>
          <w:p w:rsidR="006157B2" w:rsidRDefault="006157B2" w:rsidP="00FD3781">
            <w:pPr>
              <w:pStyle w:val="TableText"/>
            </w:pPr>
            <w:r>
              <w:t>The delete Block f, as this information is no longer valid.</w:t>
            </w:r>
          </w:p>
          <w:p w:rsidR="006157B2" w:rsidRDefault="006157B2" w:rsidP="00FD3781">
            <w:pPr>
              <w:pStyle w:val="TableText"/>
            </w:pPr>
          </w:p>
          <w:p w:rsidR="006157B2" w:rsidRDefault="006157B2" w:rsidP="00FD3781">
            <w:pPr>
              <w:pStyle w:val="TableText"/>
            </w:pPr>
            <w:r>
              <w:t>The subsequent blocks in this topic are re-lettered.</w:t>
            </w:r>
          </w:p>
        </w:tc>
        <w:tc>
          <w:tcPr>
            <w:tcW w:w="2700" w:type="dxa"/>
          </w:tcPr>
          <w:p w:rsidR="006157B2" w:rsidRDefault="006157B2" w:rsidP="00FD3781">
            <w:pPr>
              <w:pStyle w:val="TableText"/>
            </w:pPr>
            <w:r>
              <w:t>X.16.4.f</w:t>
            </w:r>
          </w:p>
        </w:tc>
        <w:tc>
          <w:tcPr>
            <w:tcW w:w="1080" w:type="dxa"/>
          </w:tcPr>
          <w:p w:rsidR="006157B2" w:rsidRDefault="006157B2" w:rsidP="00237C22">
            <w:pPr>
              <w:pStyle w:val="BulletText1"/>
              <w:numPr>
                <w:ilvl w:val="0"/>
                <w:numId w:val="0"/>
              </w:numPr>
            </w:pPr>
            <w:r>
              <w:t>16-20</w:t>
            </w:r>
          </w:p>
        </w:tc>
      </w:tr>
      <w:tr w:rsidR="006157B2" w:rsidTr="00237C22">
        <w:tc>
          <w:tcPr>
            <w:tcW w:w="5724" w:type="dxa"/>
          </w:tcPr>
          <w:p w:rsidR="006157B2" w:rsidRDefault="006157B2" w:rsidP="00FD3781">
            <w:pPr>
              <w:pStyle w:val="TableText"/>
            </w:pPr>
            <w:r>
              <w:t>To clarify where to send questions on fugitive felon issues.</w:t>
            </w:r>
          </w:p>
        </w:tc>
        <w:tc>
          <w:tcPr>
            <w:tcW w:w="2700" w:type="dxa"/>
          </w:tcPr>
          <w:p w:rsidR="006157B2" w:rsidRDefault="006157B2" w:rsidP="00FD3781">
            <w:pPr>
              <w:pStyle w:val="TableText"/>
            </w:pPr>
            <w:r>
              <w:t>X.16.4.h</w:t>
            </w:r>
          </w:p>
        </w:tc>
        <w:tc>
          <w:tcPr>
            <w:tcW w:w="1080" w:type="dxa"/>
          </w:tcPr>
          <w:p w:rsidR="006157B2" w:rsidRDefault="006157B2" w:rsidP="00237C22">
            <w:pPr>
              <w:pStyle w:val="BulletText1"/>
              <w:numPr>
                <w:ilvl w:val="0"/>
                <w:numId w:val="0"/>
              </w:numPr>
            </w:pPr>
            <w:r>
              <w:t>16-22</w:t>
            </w:r>
          </w:p>
        </w:tc>
      </w:tr>
    </w:tbl>
    <w:p w:rsidR="006157B2" w:rsidRDefault="006157B2" w:rsidP="00A24B55">
      <w:pPr>
        <w:pStyle w:val="ContinuedOnNextPa"/>
      </w:pPr>
      <w:r>
        <w:t>Continued on next page</w:t>
      </w:r>
    </w:p>
    <w:p w:rsidR="006157B2" w:rsidRPr="00A24B55" w:rsidRDefault="006157B2" w:rsidP="00A24B55">
      <w:pPr>
        <w:pStyle w:val="MapTitleContinued"/>
        <w:rPr>
          <w:b w:val="0"/>
          <w:sz w:val="24"/>
        </w:rPr>
      </w:pPr>
      <w:r w:rsidRPr="00A24B55">
        <w:br w:type="page"/>
      </w:r>
      <w:fldSimple w:instr=" STYLEREF &quot;Map Title&quot; ">
        <w:r w:rsidRPr="00A24B55">
          <w:rPr>
            <w:noProof/>
          </w:rPr>
          <w:t>Transmittal Sheet</w:t>
        </w:r>
      </w:fldSimple>
      <w:r w:rsidRPr="00A24B55">
        <w:t xml:space="preserve">, </w:t>
      </w:r>
      <w:r w:rsidRPr="00A24B55">
        <w:rPr>
          <w:b w:val="0"/>
          <w:sz w:val="24"/>
        </w:rPr>
        <w:t>Continued</w:t>
      </w:r>
    </w:p>
    <w:p w:rsidR="006157B2" w:rsidRDefault="006157B2" w:rsidP="00504F80">
      <w:pPr>
        <w:pStyle w:val="BlockLine"/>
      </w:pPr>
    </w:p>
    <w:tbl>
      <w:tblPr>
        <w:tblW w:w="0" w:type="auto"/>
        <w:tblLayout w:type="fixed"/>
        <w:tblLook w:val="0000"/>
      </w:tblPr>
      <w:tblGrid>
        <w:gridCol w:w="1728"/>
        <w:gridCol w:w="7740"/>
      </w:tblGrid>
      <w:tr w:rsidR="006157B2" w:rsidRPr="00B4163A" w:rsidTr="00237C22">
        <w:tc>
          <w:tcPr>
            <w:tcW w:w="1728" w:type="dxa"/>
          </w:tcPr>
          <w:p w:rsidR="006157B2" w:rsidRPr="00B4163A" w:rsidRDefault="006157B2" w:rsidP="00237C22">
            <w:pPr>
              <w:pStyle w:val="Heading5"/>
              <w:rPr>
                <w:sz w:val="24"/>
              </w:rPr>
            </w:pPr>
            <w:r w:rsidRPr="00B4163A">
              <w:rPr>
                <w:sz w:val="24"/>
              </w:rPr>
              <w:t>Rescissions</w:t>
            </w:r>
          </w:p>
        </w:tc>
        <w:tc>
          <w:tcPr>
            <w:tcW w:w="7740" w:type="dxa"/>
          </w:tcPr>
          <w:p w:rsidR="006157B2" w:rsidRPr="00B4163A" w:rsidRDefault="006157B2" w:rsidP="00237C22">
            <w:pPr>
              <w:pStyle w:val="BlockText"/>
            </w:pPr>
            <w:r w:rsidRPr="00B4163A">
              <w:t>None</w:t>
            </w:r>
          </w:p>
        </w:tc>
      </w:tr>
    </w:tbl>
    <w:p w:rsidR="006157B2" w:rsidRPr="00B4163A" w:rsidRDefault="006157B2" w:rsidP="00504F80">
      <w:pPr>
        <w:pStyle w:val="BlockLine"/>
      </w:pPr>
      <w:r w:rsidRPr="00B4163A">
        <w:t xml:space="preserve"> </w:t>
      </w:r>
    </w:p>
    <w:tbl>
      <w:tblPr>
        <w:tblW w:w="0" w:type="auto"/>
        <w:tblLayout w:type="fixed"/>
        <w:tblLook w:val="0000"/>
      </w:tblPr>
      <w:tblGrid>
        <w:gridCol w:w="1728"/>
        <w:gridCol w:w="7740"/>
      </w:tblGrid>
      <w:tr w:rsidR="006157B2" w:rsidRPr="00B4163A" w:rsidTr="00237C22">
        <w:tc>
          <w:tcPr>
            <w:tcW w:w="1728" w:type="dxa"/>
          </w:tcPr>
          <w:p w:rsidR="006157B2" w:rsidRPr="00B4163A" w:rsidRDefault="006157B2" w:rsidP="00237C22">
            <w:pPr>
              <w:pStyle w:val="Heading5"/>
              <w:rPr>
                <w:sz w:val="24"/>
              </w:rPr>
            </w:pPr>
            <w:r w:rsidRPr="00B4163A">
              <w:rPr>
                <w:sz w:val="24"/>
              </w:rPr>
              <w:t>Authority</w:t>
            </w:r>
          </w:p>
        </w:tc>
        <w:tc>
          <w:tcPr>
            <w:tcW w:w="7740" w:type="dxa"/>
          </w:tcPr>
          <w:p w:rsidR="006157B2" w:rsidRPr="00B4163A" w:rsidRDefault="006157B2" w:rsidP="00237C22">
            <w:pPr>
              <w:pStyle w:val="BlockText"/>
            </w:pPr>
            <w:r w:rsidRPr="00B4163A">
              <w:t>By Direction of the Under Secretary for Benefits</w:t>
            </w:r>
          </w:p>
        </w:tc>
      </w:tr>
    </w:tbl>
    <w:p w:rsidR="006157B2" w:rsidRPr="00B4163A" w:rsidRDefault="006157B2" w:rsidP="00504F80">
      <w:pPr>
        <w:pStyle w:val="ContinuedOnNextPa"/>
      </w:pPr>
      <w:r w:rsidRPr="00B4163A">
        <w:t xml:space="preserve"> </w:t>
      </w:r>
    </w:p>
    <w:tbl>
      <w:tblPr>
        <w:tblW w:w="0" w:type="auto"/>
        <w:tblLayout w:type="fixed"/>
        <w:tblLook w:val="0000"/>
      </w:tblPr>
      <w:tblGrid>
        <w:gridCol w:w="1728"/>
        <w:gridCol w:w="7740"/>
      </w:tblGrid>
      <w:tr w:rsidR="006157B2" w:rsidRPr="00B4163A" w:rsidTr="00237C22">
        <w:tc>
          <w:tcPr>
            <w:tcW w:w="1728" w:type="dxa"/>
          </w:tcPr>
          <w:p w:rsidR="006157B2" w:rsidRPr="00B4163A" w:rsidRDefault="006157B2" w:rsidP="00237C22">
            <w:pPr>
              <w:pStyle w:val="Heading5"/>
              <w:rPr>
                <w:sz w:val="24"/>
              </w:rPr>
            </w:pPr>
            <w:r w:rsidRPr="00B4163A">
              <w:rPr>
                <w:sz w:val="24"/>
              </w:rPr>
              <w:t>Signature</w:t>
            </w:r>
          </w:p>
        </w:tc>
        <w:tc>
          <w:tcPr>
            <w:tcW w:w="7740" w:type="dxa"/>
          </w:tcPr>
          <w:p w:rsidR="006157B2" w:rsidRPr="00B4163A" w:rsidRDefault="006157B2" w:rsidP="00237C22">
            <w:pPr>
              <w:pStyle w:val="BlockText"/>
            </w:pPr>
          </w:p>
          <w:p w:rsidR="006157B2" w:rsidRPr="00B4163A" w:rsidRDefault="006157B2" w:rsidP="00237C22">
            <w:pPr>
              <w:pStyle w:val="MemoLine"/>
              <w:ind w:left="-18" w:right="612"/>
            </w:pPr>
          </w:p>
          <w:p w:rsidR="006157B2" w:rsidRPr="00B4163A" w:rsidRDefault="006157B2" w:rsidP="00237C22">
            <w:pPr>
              <w:rPr>
                <w:szCs w:val="20"/>
              </w:rPr>
            </w:pPr>
            <w:r w:rsidRPr="00B4163A">
              <w:t>Thomas J. Murphy, Director</w:t>
            </w:r>
          </w:p>
          <w:p w:rsidR="006157B2" w:rsidRPr="00B4163A" w:rsidRDefault="006157B2" w:rsidP="00237C22">
            <w:pPr>
              <w:pStyle w:val="BlockText"/>
            </w:pPr>
            <w:r w:rsidRPr="00B4163A">
              <w:t>Compensation Service</w:t>
            </w:r>
          </w:p>
        </w:tc>
      </w:tr>
    </w:tbl>
    <w:p w:rsidR="006157B2" w:rsidRPr="00B4163A" w:rsidRDefault="006157B2" w:rsidP="00504F80">
      <w:pPr>
        <w:pStyle w:val="BlockLine"/>
      </w:pPr>
      <w:r w:rsidRPr="00B4163A">
        <w:t xml:space="preserve"> </w:t>
      </w:r>
    </w:p>
    <w:tbl>
      <w:tblPr>
        <w:tblW w:w="0" w:type="auto"/>
        <w:tblLayout w:type="fixed"/>
        <w:tblLook w:val="0000"/>
      </w:tblPr>
      <w:tblGrid>
        <w:gridCol w:w="1728"/>
        <w:gridCol w:w="7740"/>
      </w:tblGrid>
      <w:tr w:rsidR="006157B2" w:rsidTr="00237C22">
        <w:tc>
          <w:tcPr>
            <w:tcW w:w="1728" w:type="dxa"/>
          </w:tcPr>
          <w:p w:rsidR="006157B2" w:rsidRPr="00B4163A" w:rsidRDefault="006157B2" w:rsidP="00237C22">
            <w:pPr>
              <w:pStyle w:val="Heading5"/>
              <w:rPr>
                <w:sz w:val="24"/>
              </w:rPr>
            </w:pPr>
            <w:r w:rsidRPr="00B4163A">
              <w:rPr>
                <w:sz w:val="24"/>
              </w:rPr>
              <w:t>Distribution</w:t>
            </w:r>
          </w:p>
        </w:tc>
        <w:tc>
          <w:tcPr>
            <w:tcW w:w="7740" w:type="dxa"/>
          </w:tcPr>
          <w:p w:rsidR="006157B2" w:rsidRPr="00B4163A" w:rsidRDefault="006157B2" w:rsidP="00237C22">
            <w:pPr>
              <w:pStyle w:val="BlockText"/>
            </w:pPr>
            <w:r w:rsidRPr="00B4163A">
              <w:t>RPC:  2068</w:t>
            </w:r>
          </w:p>
          <w:p w:rsidR="006157B2" w:rsidRPr="00B4163A" w:rsidRDefault="006157B2" w:rsidP="00237C22">
            <w:pPr>
              <w:pStyle w:val="BlockText"/>
            </w:pPr>
            <w:r w:rsidRPr="00B4163A">
              <w:t>FD:  EX:  ASO and AR (included in RPC 2068)</w:t>
            </w:r>
          </w:p>
          <w:p w:rsidR="006157B2" w:rsidRPr="00B4163A" w:rsidRDefault="006157B2" w:rsidP="00237C22">
            <w:pPr>
              <w:pStyle w:val="BlockText"/>
            </w:pPr>
          </w:p>
          <w:p w:rsidR="006157B2" w:rsidRDefault="006157B2" w:rsidP="00237C22">
            <w:pPr>
              <w:pStyle w:val="BlockText"/>
              <w:jc w:val="center"/>
            </w:pPr>
            <w:r w:rsidRPr="00B4163A">
              <w:t>LOCAL REPRODUCTION AUTHORIZED</w:t>
            </w:r>
          </w:p>
        </w:tc>
      </w:tr>
    </w:tbl>
    <w:p w:rsidR="006157B2" w:rsidRDefault="006157B2" w:rsidP="00504F80">
      <w:pPr>
        <w:pStyle w:val="BlockLine"/>
      </w:pPr>
      <w:r>
        <w:fldChar w:fldCharType="begin">
          <w:fldData xml:space="preserve">RABvAGMAVABlAG0AcAAxAFYAYQByAFQAcgBhAGQAaQB0AGkAbwBuAGEAbAD/aQ==
</w:fldData>
        </w:fldChar>
      </w:r>
      <w:r>
        <w:instrText xml:space="preserve"> ADDIN  \* MERGEFORMAT </w:instrText>
      </w:r>
      <w:r>
        <w:fldChar w:fldCharType="end"/>
      </w:r>
      <w:r>
        <w:fldChar w:fldCharType="begin">
          <w:fldData xml:space="preserve">RgBvAG4AdABTAGUAdABGAG8AbgB0AFMAZQB0AGkAbQBpAHMAdAB5AGwAZQBzAC4AeABtAGwA/zE=
</w:fldData>
        </w:fldChar>
      </w:r>
      <w:r>
        <w:instrText xml:space="preserve"> ADDIN  \* MERGEFORMAT </w:instrText>
      </w:r>
      <w:r>
        <w:fldChar w:fldCharType="end"/>
      </w:r>
      <w:r>
        <w:fldChar w:fldCharType="begin">
          <w:fldData xml:space="preserve">RABvAGMAVABlAG0AcAAxAFYAYQByAFQAcgBhAGQAaQB0AGkAbwBuAGEAbAD/aQ==
</w:fldData>
        </w:fldChar>
      </w:r>
      <w:r>
        <w:instrText xml:space="preserve"> ADDIN  \* MERGEFORMAT </w:instrText>
      </w:r>
      <w:r>
        <w:fldChar w:fldCharType="end"/>
      </w:r>
      <w:r>
        <w:fldChar w:fldCharType="begin">
          <w:fldData xml:space="preserve">RgBvAG4AdABTAGUAdABGAG8AbgB0AFMAZQB0AEYAbwBuAHQAUwBlAHQAaQBtAGkAcwB0AHkAbABl
AHMALgB4AG0AbAD/dw==
</w:fldData>
        </w:fldChar>
      </w:r>
      <w:r>
        <w:instrText xml:space="preserve"> ADDIN  \* MERGEFORMAT </w:instrText>
      </w:r>
      <w:r>
        <w:fldChar w:fldCharType="end"/>
      </w:r>
      <w:r>
        <w:fldChar w:fldCharType="begin">
          <w:fldData xml:space="preserve">RABvAGMAVABlAG0AcAAxAFYAYQByAFQAcgBhAGQAaQB0AGkAbwBuAGEAbAD/dw==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AG0AaQBzAHQAeQBsAGUAcwAuAHgAbQBsAP8y
</w:fldData>
        </w:fldChar>
      </w:r>
      <w:r>
        <w:instrText xml:space="preserve"> ADDIN  \* MERGEFORMAT </w:instrText>
      </w:r>
      <w:r>
        <w:fldChar w:fldCharType="end"/>
      </w:r>
      <w:r>
        <w:fldChar w:fldCharType="begin">
          <w:fldData xml:space="preserve">RABvAGMAVABlAG0AcAAxAFYAYQByAFQAcgBhAGQAaQB0AGkAbwBuAGEAbAD/bA==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AG8AbgB0AFMAZQB0AGkAbQBpAHMAdAB5AGwAZQBzAC4AeABtAGwA/wo=
</w:fldData>
        </w:fldChar>
      </w:r>
      <w:r>
        <w:instrText xml:space="preserve"> ADDIN  \* MERGEFORMAT </w:instrText>
      </w:r>
      <w:r>
        <w:fldChar w:fldCharType="end"/>
      </w:r>
      <w:r>
        <w:fldChar w:fldCharType="begin">
          <w:fldData xml:space="preserve">RABvAGMAVABlAG0AcAAxAFYAYQByAFQAcgBhAGQAaQB0AGkAbwBuAGEAbAD/XA==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AG8AbgB0AFMAZQB0AEYAbwBuAHQAUwBlAHQAaQBtAGkAcwB0AHkAbABlAHMALgB4AG0AbAD/cA==
</w:fldData>
        </w:fldChar>
      </w:r>
      <w:r>
        <w:instrText xml:space="preserve"> ADDIN  \* MERGEFORMAT </w:instrText>
      </w:r>
      <w:r>
        <w:fldChar w:fldCharType="end"/>
      </w:r>
      <w:r>
        <w:fldChar w:fldCharType="begin">
          <w:fldData xml:space="preserve">RABvAGMAVABlAG0AcAAxAFYAYQByAFQAcgBhAGQAaQB0AGkAbwBuAGEAbAD/Yg==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cwAuAHgAbQBsAP9y
</w:fldData>
        </w:fldChar>
      </w:r>
      <w:r>
        <w:instrText xml:space="preserve"> ADDIN  \* MERGEFORMAT </w:instrText>
      </w:r>
      <w:r>
        <w:fldChar w:fldCharType="end"/>
      </w:r>
      <w:r>
        <w:fldChar w:fldCharType="begin">
          <w:fldData xml:space="preserve">RABvAGMAVABlAG0AcAAxAFYAYQByAFQAcgBhAGQAaQB0AGkAbwBuAGEAbAD/OQ==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bQBpAHMAdAB5AGwAZQBzAC4AeABtAGwA/1w=
</w:fldData>
        </w:fldChar>
      </w:r>
      <w:r>
        <w:instrText xml:space="preserve"> ADDIN  \* MERGEFORMAT </w:instrText>
      </w:r>
      <w:r>
        <w:fldChar w:fldCharType="end"/>
      </w:r>
      <w:r>
        <w:fldChar w:fldCharType="begin">
          <w:fldData xml:space="preserve">RABvAGMAVABlAG0AcAAxAFYAYQByAFQAcgBhAGQAaQB0AGkAbwBuAGEAbAD/YQ==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bwBuAHQAUwBlAHQAaQBtAGkAcwB0AHkAbABlAHMALgB4AG0AbAD/XA==
</w:fldData>
        </w:fldChar>
      </w:r>
      <w:r>
        <w:instrText xml:space="preserve"> ADDIN  \* MERGEFORMAT </w:instrText>
      </w:r>
      <w:r>
        <w:fldChar w:fldCharType="end"/>
      </w:r>
      <w:r>
        <w:fldChar w:fldCharType="begin">
          <w:fldData xml:space="preserve">RABvAGMAVABlAG0AcAAxAFYAYQByAFQAcgBhAGQAaQB0AGkAbwBuAGEAbAD/YQ==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bwBuAHQAUwBlAHQARgBvAG4AdABTAGUAdABpAG0AaQBzAHQAeQBsAGUAcwAuAHgAbQBsAP9c
</w:fldData>
        </w:fldChar>
      </w:r>
      <w:r>
        <w:instrText xml:space="preserve"> ADDIN  \* MERGEFORMAT </w:instrText>
      </w:r>
      <w:r>
        <w:fldChar w:fldCharType="end"/>
      </w:r>
      <w:r>
        <w:fldChar w:fldCharType="begin">
          <w:fldData xml:space="preserve">RABvAGMAVABlAG0AcAAxAFYAYQByAFQAcgBhAGQAaQB0AGkAbwBuAGEAbAD/XA==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AC4AeABtAGwA/2E=
</w:fldData>
        </w:fldChar>
      </w:r>
      <w:r>
        <w:instrText xml:space="preserve"> ADDIN  \* MERGEFORMAT </w:instrText>
      </w:r>
      <w:r>
        <w:fldChar w:fldCharType="end"/>
      </w:r>
      <w:r>
        <w:fldChar w:fldCharType="begin">
          <w:fldData xml:space="preserve">RABvAGMAVABlAG0AcAAxAFYAYQByAFQAcgBhAGQAaQB0AGkAbwBuAGEAbAD/bA==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AGkAcwB0AHkAbABlAHMALgB4AG0AbAD/ZA==
</w:fldData>
        </w:fldChar>
      </w:r>
      <w:r>
        <w:instrText xml:space="preserve"> ADDIN  \* MERGEFORMAT </w:instrText>
      </w:r>
      <w:r>
        <w:fldChar w:fldCharType="end"/>
      </w:r>
      <w:r>
        <w:fldChar w:fldCharType="begin">
          <w:fldData xml:space="preserve">RABvAGMAVABlAG0AcAAxAFYAYQByAFQAcgBhAGQAaQB0AGkAbwBuAGEAbAD/cg==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AG0AaQBzAHQAeQBsAGUAcwAuAHgAbQBsAP9y
</w:fldData>
        </w:fldChar>
      </w:r>
      <w:r>
        <w:instrText xml:space="preserve"> ADDIN  \* MERGEFORMAT </w:instrText>
      </w:r>
      <w:r>
        <w:fldChar w:fldCharType="end"/>
      </w:r>
      <w:r>
        <w:fldChar w:fldCharType="begin">
          <w:fldData xml:space="preserve">RABvAGMAVABlAG0AcAAxAFYAYQByAFQAcgBhAGQAaQB0AGkAbwBuAGEAbAD/ZA==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AG8AbgB0AFMAZQB0AGkAbQBpAHMAdAB5AGwAZQBzAC4AeABtAGwA/3E=
</w:fldData>
        </w:fldChar>
      </w:r>
      <w:r>
        <w:instrText xml:space="preserve"> ADDIN  \* MERGEFORMAT </w:instrText>
      </w:r>
      <w:r>
        <w:fldChar w:fldCharType="end"/>
      </w:r>
    </w:p>
    <w:sectPr w:rsidR="006157B2" w:rsidSect="00407A1C">
      <w:footerReference w:type="even" r:id="rId8"/>
      <w:footerReference w:type="default" r:id="rId9"/>
      <w:pgSz w:w="12240" w:h="15840"/>
      <w:pgMar w:top="1008" w:right="1440" w:bottom="1008"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B2" w:rsidRDefault="006157B2" w:rsidP="00C765C7">
      <w:r>
        <w:separator/>
      </w:r>
    </w:p>
  </w:endnote>
  <w:endnote w:type="continuationSeparator" w:id="0">
    <w:p w:rsidR="006157B2" w:rsidRDefault="006157B2" w:rsidP="00C76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B2" w:rsidRDefault="00615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7B2" w:rsidRDefault="00615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B2" w:rsidRDefault="006157B2">
    <w:pPr>
      <w:pStyle w:val="Footer"/>
      <w:jc w:val="center"/>
    </w:pPr>
    <w:fldSimple w:instr=" PAGE   \* MERGEFORMAT ">
      <w:r>
        <w:rPr>
          <w:noProof/>
        </w:rPr>
        <w:t>i</w:t>
      </w:r>
    </w:fldSimple>
  </w:p>
  <w:p w:rsidR="006157B2" w:rsidRDefault="00615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B2" w:rsidRDefault="006157B2" w:rsidP="00C765C7">
      <w:r>
        <w:separator/>
      </w:r>
    </w:p>
  </w:footnote>
  <w:footnote w:type="continuationSeparator" w:id="0">
    <w:p w:rsidR="006157B2" w:rsidRDefault="006157B2" w:rsidP="00C7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12pt;height:12pt" o:bullet="t">
        <v:imagedata r:id="rId2" o:title=""/>
      </v:shape>
    </w:pict>
  </w:numPicBullet>
  <w:numPicBullet w:numPicBulletId="2">
    <w:pict>
      <v:shape id="_x0000_i1027" type="#_x0000_t75" style="width:12pt;height:12pt" o:bullet="t">
        <v:imagedata r:id="rId3" o:title=""/>
      </v:shape>
    </w:pict>
  </w:numPicBullet>
  <w:numPicBullet w:numPicBulletId="3">
    <w:pict>
      <v:shape id="_x0000_i1028" type="#_x0000_t75" style="width:12pt;height:12pt" o:bullet="t">
        <v:imagedata r:id="rId4"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B02AF"/>
    <w:multiLevelType w:val="singleLevel"/>
    <w:tmpl w:val="1AD83A02"/>
    <w:lvl w:ilvl="0">
      <w:start w:val="1"/>
      <w:numFmt w:val="bullet"/>
      <w:lvlText w:val=""/>
      <w:lvlJc w:val="left"/>
      <w:pPr>
        <w:tabs>
          <w:tab w:val="num" w:pos="547"/>
        </w:tabs>
        <w:ind w:left="547"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1"/>
  </w:num>
  <w:num w:numId="4">
    <w:abstractNumId w:val="8"/>
  </w:num>
  <w:num w:numId="5">
    <w:abstractNumId w:val="5"/>
  </w:num>
  <w:num w:numId="6">
    <w:abstractNumId w:val="4"/>
  </w:num>
  <w:num w:numId="7">
    <w:abstractNumId w:val="9"/>
  </w:num>
  <w:num w:numId="8">
    <w:abstractNumId w:val="3"/>
  </w:num>
  <w:num w:numId="9">
    <w:abstractNumId w:val="2"/>
  </w:num>
  <w:num w:numId="10">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FontSetFontSetFontSetFontSetimistyles.xml"/>
  </w:docVars>
  <w:rsids>
    <w:rsidRoot w:val="00504F80"/>
    <w:rsid w:val="00002A1E"/>
    <w:rsid w:val="00014A89"/>
    <w:rsid w:val="00020D4F"/>
    <w:rsid w:val="000252C6"/>
    <w:rsid w:val="000256FB"/>
    <w:rsid w:val="00065F00"/>
    <w:rsid w:val="00072B1A"/>
    <w:rsid w:val="00093228"/>
    <w:rsid w:val="00094F7C"/>
    <w:rsid w:val="00100433"/>
    <w:rsid w:val="0010215F"/>
    <w:rsid w:val="00106EEF"/>
    <w:rsid w:val="00177CE4"/>
    <w:rsid w:val="00186D46"/>
    <w:rsid w:val="001A594B"/>
    <w:rsid w:val="001B3F68"/>
    <w:rsid w:val="001C3AE3"/>
    <w:rsid w:val="001C3EB5"/>
    <w:rsid w:val="001D525E"/>
    <w:rsid w:val="00237C22"/>
    <w:rsid w:val="00240624"/>
    <w:rsid w:val="00253169"/>
    <w:rsid w:val="00255C5F"/>
    <w:rsid w:val="002A4B50"/>
    <w:rsid w:val="002B7A7E"/>
    <w:rsid w:val="002C1EA9"/>
    <w:rsid w:val="002F5B21"/>
    <w:rsid w:val="00332B80"/>
    <w:rsid w:val="00341981"/>
    <w:rsid w:val="00342118"/>
    <w:rsid w:val="00366D36"/>
    <w:rsid w:val="00386999"/>
    <w:rsid w:val="003B2927"/>
    <w:rsid w:val="003E163B"/>
    <w:rsid w:val="003F3E64"/>
    <w:rsid w:val="003F6048"/>
    <w:rsid w:val="003F672A"/>
    <w:rsid w:val="0040351B"/>
    <w:rsid w:val="00407A1C"/>
    <w:rsid w:val="00435BA5"/>
    <w:rsid w:val="00455EF7"/>
    <w:rsid w:val="004562CC"/>
    <w:rsid w:val="00471ECA"/>
    <w:rsid w:val="00482FA3"/>
    <w:rsid w:val="0048559D"/>
    <w:rsid w:val="00494175"/>
    <w:rsid w:val="004B2535"/>
    <w:rsid w:val="004F375E"/>
    <w:rsid w:val="00504F80"/>
    <w:rsid w:val="00506485"/>
    <w:rsid w:val="00513DA7"/>
    <w:rsid w:val="00516C82"/>
    <w:rsid w:val="00594258"/>
    <w:rsid w:val="005E4363"/>
    <w:rsid w:val="006157B2"/>
    <w:rsid w:val="0062068D"/>
    <w:rsid w:val="006317AA"/>
    <w:rsid w:val="006473C3"/>
    <w:rsid w:val="006708D7"/>
    <w:rsid w:val="006837E0"/>
    <w:rsid w:val="006B7262"/>
    <w:rsid w:val="006C48FF"/>
    <w:rsid w:val="006F6D37"/>
    <w:rsid w:val="00714A83"/>
    <w:rsid w:val="00732186"/>
    <w:rsid w:val="00737049"/>
    <w:rsid w:val="007A0C5F"/>
    <w:rsid w:val="007D5B97"/>
    <w:rsid w:val="007E5515"/>
    <w:rsid w:val="0080590C"/>
    <w:rsid w:val="0086475B"/>
    <w:rsid w:val="00875AFA"/>
    <w:rsid w:val="0088609E"/>
    <w:rsid w:val="008A65B8"/>
    <w:rsid w:val="008B4CB5"/>
    <w:rsid w:val="008D1052"/>
    <w:rsid w:val="008D12C3"/>
    <w:rsid w:val="008D458B"/>
    <w:rsid w:val="008E22CF"/>
    <w:rsid w:val="008E5824"/>
    <w:rsid w:val="008E589A"/>
    <w:rsid w:val="00916AE6"/>
    <w:rsid w:val="009769CD"/>
    <w:rsid w:val="009E6E1A"/>
    <w:rsid w:val="00A24B55"/>
    <w:rsid w:val="00A315CB"/>
    <w:rsid w:val="00A3579D"/>
    <w:rsid w:val="00A55356"/>
    <w:rsid w:val="00A8520D"/>
    <w:rsid w:val="00AC2993"/>
    <w:rsid w:val="00AF2CD6"/>
    <w:rsid w:val="00B30D2F"/>
    <w:rsid w:val="00B4163A"/>
    <w:rsid w:val="00B93A3C"/>
    <w:rsid w:val="00BF7FE3"/>
    <w:rsid w:val="00C765C7"/>
    <w:rsid w:val="00CD2D08"/>
    <w:rsid w:val="00D02FD5"/>
    <w:rsid w:val="00D36508"/>
    <w:rsid w:val="00D57B91"/>
    <w:rsid w:val="00D77146"/>
    <w:rsid w:val="00D823AF"/>
    <w:rsid w:val="00DA11C2"/>
    <w:rsid w:val="00DB051E"/>
    <w:rsid w:val="00DB074F"/>
    <w:rsid w:val="00DB2902"/>
    <w:rsid w:val="00DB743E"/>
    <w:rsid w:val="00DD062D"/>
    <w:rsid w:val="00DE0E35"/>
    <w:rsid w:val="00DF44AC"/>
    <w:rsid w:val="00E2529E"/>
    <w:rsid w:val="00E36906"/>
    <w:rsid w:val="00E84398"/>
    <w:rsid w:val="00E964FD"/>
    <w:rsid w:val="00EA3A57"/>
    <w:rsid w:val="00ED4D5E"/>
    <w:rsid w:val="00EF7413"/>
    <w:rsid w:val="00F006B2"/>
    <w:rsid w:val="00F03606"/>
    <w:rsid w:val="00F43DFA"/>
    <w:rsid w:val="00F87670"/>
    <w:rsid w:val="00F90609"/>
    <w:rsid w:val="00FD3781"/>
    <w:rsid w:val="00FD4D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81"/>
    <w:rPr>
      <w:rFonts w:eastAsia="Times New Roman"/>
      <w:color w:val="000000"/>
      <w:sz w:val="24"/>
      <w:szCs w:val="24"/>
    </w:rPr>
  </w:style>
  <w:style w:type="paragraph" w:styleId="Heading1">
    <w:name w:val="heading 1"/>
    <w:aliases w:val="Part Title"/>
    <w:basedOn w:val="Normal"/>
    <w:next w:val="Heading4"/>
    <w:link w:val="Heading1Char"/>
    <w:uiPriority w:val="99"/>
    <w:qFormat/>
    <w:rsid w:val="00FD3781"/>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FD3781"/>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FD378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FD3781"/>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FD3781"/>
    <w:pPr>
      <w:outlineLvl w:val="4"/>
    </w:pPr>
    <w:rPr>
      <w:b/>
      <w:sz w:val="22"/>
      <w:szCs w:val="20"/>
    </w:rPr>
  </w:style>
  <w:style w:type="paragraph" w:styleId="Heading6">
    <w:name w:val="heading 6"/>
    <w:aliases w:val="Sub Label"/>
    <w:basedOn w:val="Heading5"/>
    <w:next w:val="BlockText"/>
    <w:link w:val="Heading6Char"/>
    <w:uiPriority w:val="99"/>
    <w:qFormat/>
    <w:rsid w:val="00FD3781"/>
    <w:pPr>
      <w:spacing w:before="240" w:after="60"/>
      <w:outlineLvl w:val="5"/>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FD3781"/>
    <w:rPr>
      <w:rFonts w:ascii="Arial" w:hAnsi="Arial" w:cs="Arial"/>
      <w:b/>
      <w:color w:val="000000"/>
      <w:sz w:val="32"/>
    </w:rPr>
  </w:style>
  <w:style w:type="character" w:customStyle="1" w:styleId="Heading2Char">
    <w:name w:val="Heading 2 Char"/>
    <w:aliases w:val="Chapter Title Char"/>
    <w:basedOn w:val="DefaultParagraphFont"/>
    <w:link w:val="Heading2"/>
    <w:uiPriority w:val="99"/>
    <w:locked/>
    <w:rsid w:val="00FD3781"/>
    <w:rPr>
      <w:rFonts w:ascii="Arial" w:hAnsi="Arial" w:cs="Arial"/>
      <w:b/>
      <w:color w:val="000000"/>
      <w:sz w:val="32"/>
    </w:rPr>
  </w:style>
  <w:style w:type="character" w:customStyle="1" w:styleId="Heading3Char">
    <w:name w:val="Heading 3 Char"/>
    <w:aliases w:val="Section Title Char"/>
    <w:basedOn w:val="DefaultParagraphFont"/>
    <w:link w:val="Heading3"/>
    <w:uiPriority w:val="99"/>
    <w:locked/>
    <w:rsid w:val="00FD3781"/>
    <w:rPr>
      <w:rFonts w:ascii="Arial" w:hAnsi="Arial" w:cs="Arial"/>
      <w:b/>
      <w:color w:val="000000"/>
      <w:sz w:val="32"/>
    </w:rPr>
  </w:style>
  <w:style w:type="character" w:customStyle="1" w:styleId="Heading4Char">
    <w:name w:val="Heading 4 Char"/>
    <w:aliases w:val="Map Title Char"/>
    <w:basedOn w:val="DefaultParagraphFont"/>
    <w:link w:val="Heading4"/>
    <w:uiPriority w:val="99"/>
    <w:locked/>
    <w:rsid w:val="00504F80"/>
    <w:rPr>
      <w:rFonts w:ascii="Arial" w:hAnsi="Arial" w:cs="Arial"/>
      <w:b/>
      <w:color w:val="000000"/>
      <w:sz w:val="32"/>
    </w:rPr>
  </w:style>
  <w:style w:type="character" w:customStyle="1" w:styleId="Heading5Char">
    <w:name w:val="Heading 5 Char"/>
    <w:aliases w:val="Block Label Char"/>
    <w:basedOn w:val="DefaultParagraphFont"/>
    <w:link w:val="Heading5"/>
    <w:uiPriority w:val="99"/>
    <w:locked/>
    <w:rsid w:val="00504F80"/>
    <w:rPr>
      <w:rFonts w:eastAsia="Times New Roman" w:cs="Times New Roman"/>
      <w:b/>
      <w:color w:val="000000"/>
      <w:sz w:val="22"/>
    </w:rPr>
  </w:style>
  <w:style w:type="character" w:customStyle="1" w:styleId="Heading6Char">
    <w:name w:val="Heading 6 Char"/>
    <w:aliases w:val="Sub Label Char"/>
    <w:basedOn w:val="DefaultParagraphFont"/>
    <w:link w:val="Heading6"/>
    <w:uiPriority w:val="99"/>
    <w:locked/>
    <w:rsid w:val="00FD3781"/>
    <w:rPr>
      <w:rFonts w:eastAsia="Times New Roman" w:cs="Times New Roman"/>
      <w:b/>
      <w:i/>
      <w:color w:val="000000"/>
      <w:sz w:val="22"/>
    </w:rPr>
  </w:style>
  <w:style w:type="paragraph" w:customStyle="1" w:styleId="BlockLine">
    <w:name w:val="Block Line"/>
    <w:basedOn w:val="Normal"/>
    <w:next w:val="Normal"/>
    <w:uiPriority w:val="99"/>
    <w:rsid w:val="00FD3781"/>
    <w:pPr>
      <w:pBdr>
        <w:top w:val="single" w:sz="6" w:space="1" w:color="000000"/>
        <w:between w:val="single" w:sz="6" w:space="1" w:color="auto"/>
      </w:pBdr>
      <w:spacing w:before="240"/>
      <w:ind w:left="1720"/>
    </w:pPr>
    <w:rPr>
      <w:szCs w:val="20"/>
    </w:rPr>
  </w:style>
  <w:style w:type="paragraph" w:styleId="BlockText">
    <w:name w:val="Block Text"/>
    <w:basedOn w:val="Normal"/>
    <w:uiPriority w:val="99"/>
    <w:rsid w:val="00FD3781"/>
  </w:style>
  <w:style w:type="paragraph" w:customStyle="1" w:styleId="BulletText1">
    <w:name w:val="Bullet Text 1"/>
    <w:basedOn w:val="Normal"/>
    <w:uiPriority w:val="99"/>
    <w:rsid w:val="00FD3781"/>
    <w:pPr>
      <w:numPr>
        <w:numId w:val="2"/>
      </w:numPr>
    </w:pPr>
    <w:rPr>
      <w:szCs w:val="20"/>
    </w:rPr>
  </w:style>
  <w:style w:type="paragraph" w:customStyle="1" w:styleId="ContinuedOnNextPa">
    <w:name w:val="Continued On Next Pa"/>
    <w:basedOn w:val="Normal"/>
    <w:next w:val="Normal"/>
    <w:uiPriority w:val="99"/>
    <w:rsid w:val="00FD3781"/>
    <w:pPr>
      <w:pBdr>
        <w:top w:val="single" w:sz="6" w:space="1" w:color="000000"/>
        <w:between w:val="single" w:sz="6" w:space="1" w:color="auto"/>
      </w:pBdr>
      <w:spacing w:before="240"/>
      <w:ind w:left="1720"/>
      <w:jc w:val="right"/>
    </w:pPr>
    <w:rPr>
      <w:i/>
      <w:sz w:val="20"/>
      <w:szCs w:val="20"/>
    </w:rPr>
  </w:style>
  <w:style w:type="paragraph" w:customStyle="1" w:styleId="TableText">
    <w:name w:val="Table Text"/>
    <w:basedOn w:val="Normal"/>
    <w:uiPriority w:val="99"/>
    <w:rsid w:val="00FD3781"/>
    <w:rPr>
      <w:szCs w:val="20"/>
    </w:rPr>
  </w:style>
  <w:style w:type="paragraph" w:customStyle="1" w:styleId="TableHeaderText">
    <w:name w:val="Table Header Text"/>
    <w:basedOn w:val="Normal"/>
    <w:uiPriority w:val="99"/>
    <w:rsid w:val="00FD3781"/>
    <w:pPr>
      <w:jc w:val="center"/>
    </w:pPr>
    <w:rPr>
      <w:b/>
      <w:szCs w:val="20"/>
    </w:rPr>
  </w:style>
  <w:style w:type="paragraph" w:customStyle="1" w:styleId="MapTitleContinued">
    <w:name w:val="Map Title. Continued"/>
    <w:basedOn w:val="Normal"/>
    <w:next w:val="Normal"/>
    <w:uiPriority w:val="99"/>
    <w:rsid w:val="00FD3781"/>
    <w:pPr>
      <w:spacing w:after="240"/>
    </w:pPr>
    <w:rPr>
      <w:rFonts w:ascii="Arial" w:hAnsi="Arial" w:cs="Arial"/>
      <w:b/>
      <w:sz w:val="32"/>
      <w:szCs w:val="20"/>
    </w:rPr>
  </w:style>
  <w:style w:type="paragraph" w:customStyle="1" w:styleId="BulletText2">
    <w:name w:val="Bullet Text 2"/>
    <w:basedOn w:val="Normal"/>
    <w:uiPriority w:val="99"/>
    <w:rsid w:val="00FD3781"/>
    <w:pPr>
      <w:numPr>
        <w:numId w:val="3"/>
      </w:numPr>
    </w:pPr>
    <w:rPr>
      <w:szCs w:val="20"/>
    </w:rPr>
  </w:style>
  <w:style w:type="character" w:styleId="Hyperlink">
    <w:name w:val="Hyperlink"/>
    <w:basedOn w:val="DefaultParagraphFont"/>
    <w:uiPriority w:val="99"/>
    <w:rsid w:val="00FD3781"/>
    <w:rPr>
      <w:rFonts w:cs="Times New Roman"/>
      <w:color w:val="0000FF"/>
      <w:u w:val="single"/>
    </w:rPr>
  </w:style>
  <w:style w:type="paragraph" w:customStyle="1" w:styleId="ContinuedTableLabe">
    <w:name w:val="Continued Table Labe"/>
    <w:basedOn w:val="Normal"/>
    <w:next w:val="Normal"/>
    <w:uiPriority w:val="99"/>
    <w:rsid w:val="00FD3781"/>
    <w:pPr>
      <w:spacing w:after="240"/>
    </w:pPr>
    <w:rPr>
      <w:b/>
      <w:sz w:val="22"/>
      <w:szCs w:val="20"/>
    </w:rPr>
  </w:style>
  <w:style w:type="paragraph" w:customStyle="1" w:styleId="MemoLine">
    <w:name w:val="Memo Line"/>
    <w:basedOn w:val="BlockLine"/>
    <w:next w:val="Normal"/>
    <w:uiPriority w:val="99"/>
    <w:rsid w:val="00FD3781"/>
  </w:style>
  <w:style w:type="paragraph" w:styleId="Footer">
    <w:name w:val="footer"/>
    <w:basedOn w:val="Normal"/>
    <w:link w:val="FooterChar"/>
    <w:uiPriority w:val="99"/>
    <w:rsid w:val="00FD3781"/>
    <w:pPr>
      <w:tabs>
        <w:tab w:val="center" w:pos="4680"/>
        <w:tab w:val="right" w:pos="9360"/>
      </w:tabs>
    </w:pPr>
    <w:rPr>
      <w:color w:val="auto"/>
    </w:rPr>
  </w:style>
  <w:style w:type="character" w:customStyle="1" w:styleId="FooterChar">
    <w:name w:val="Footer Char"/>
    <w:basedOn w:val="DefaultParagraphFont"/>
    <w:link w:val="Footer"/>
    <w:uiPriority w:val="99"/>
    <w:locked/>
    <w:rsid w:val="00FD3781"/>
    <w:rPr>
      <w:rFonts w:eastAsia="Times New Roman"/>
      <w:sz w:val="24"/>
    </w:rPr>
  </w:style>
  <w:style w:type="character" w:styleId="PageNumber">
    <w:name w:val="page number"/>
    <w:basedOn w:val="DefaultParagraphFont"/>
    <w:uiPriority w:val="99"/>
    <w:rsid w:val="00504F80"/>
    <w:rPr>
      <w:rFonts w:cs="Times New Roman"/>
    </w:rPr>
  </w:style>
  <w:style w:type="paragraph" w:styleId="BalloonText">
    <w:name w:val="Balloon Text"/>
    <w:basedOn w:val="Normal"/>
    <w:link w:val="BalloonTextChar"/>
    <w:uiPriority w:val="99"/>
    <w:semiHidden/>
    <w:rsid w:val="00FD37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781"/>
    <w:rPr>
      <w:rFonts w:ascii="Tahoma" w:hAnsi="Tahoma" w:cs="Tahoma"/>
      <w:color w:val="000000"/>
      <w:sz w:val="16"/>
      <w:szCs w:val="16"/>
    </w:rPr>
  </w:style>
  <w:style w:type="paragraph" w:customStyle="1" w:styleId="BulletText3">
    <w:name w:val="Bullet Text 3"/>
    <w:basedOn w:val="Normal"/>
    <w:uiPriority w:val="99"/>
    <w:rsid w:val="00FD3781"/>
    <w:pPr>
      <w:numPr>
        <w:numId w:val="4"/>
      </w:numPr>
      <w:tabs>
        <w:tab w:val="clear" w:pos="173"/>
      </w:tabs>
      <w:ind w:left="533" w:hanging="173"/>
    </w:pPr>
    <w:rPr>
      <w:szCs w:val="20"/>
    </w:rPr>
  </w:style>
  <w:style w:type="paragraph" w:customStyle="1" w:styleId="ContinuedBlockLabel">
    <w:name w:val="Continued Block Label"/>
    <w:basedOn w:val="Normal"/>
    <w:next w:val="Normal"/>
    <w:uiPriority w:val="99"/>
    <w:rsid w:val="00FD3781"/>
    <w:pPr>
      <w:spacing w:after="240"/>
    </w:pPr>
    <w:rPr>
      <w:b/>
      <w:sz w:val="22"/>
      <w:szCs w:val="20"/>
    </w:rPr>
  </w:style>
  <w:style w:type="paragraph" w:customStyle="1" w:styleId="EmbeddedText">
    <w:name w:val="Embedded Text"/>
    <w:basedOn w:val="Normal"/>
    <w:uiPriority w:val="99"/>
    <w:rsid w:val="00FD3781"/>
    <w:rPr>
      <w:szCs w:val="20"/>
    </w:rPr>
  </w:style>
  <w:style w:type="character" w:styleId="HTMLAcronym">
    <w:name w:val="HTML Acronym"/>
    <w:basedOn w:val="DefaultParagraphFont"/>
    <w:uiPriority w:val="99"/>
    <w:rsid w:val="00FD3781"/>
    <w:rPr>
      <w:rFonts w:cs="Times New Roman"/>
    </w:rPr>
  </w:style>
  <w:style w:type="paragraph" w:customStyle="1" w:styleId="IMTOC">
    <w:name w:val="IMTOC"/>
    <w:uiPriority w:val="99"/>
    <w:rsid w:val="00FD3781"/>
    <w:rPr>
      <w:rFonts w:eastAsia="Times New Roman"/>
      <w:sz w:val="24"/>
      <w:szCs w:val="20"/>
    </w:rPr>
  </w:style>
  <w:style w:type="paragraph" w:customStyle="1" w:styleId="NoteText">
    <w:name w:val="Note Text"/>
    <w:basedOn w:val="Normal"/>
    <w:uiPriority w:val="99"/>
    <w:rsid w:val="00FD3781"/>
    <w:rPr>
      <w:szCs w:val="20"/>
    </w:rPr>
  </w:style>
  <w:style w:type="paragraph" w:customStyle="1" w:styleId="PublicationTitle">
    <w:name w:val="Publication Title"/>
    <w:basedOn w:val="Normal"/>
    <w:next w:val="Heading4"/>
    <w:uiPriority w:val="99"/>
    <w:rsid w:val="00FD3781"/>
    <w:pPr>
      <w:spacing w:after="240"/>
      <w:jc w:val="center"/>
    </w:pPr>
    <w:rPr>
      <w:rFonts w:ascii="Arial" w:hAnsi="Arial" w:cs="Arial"/>
      <w:b/>
      <w:sz w:val="32"/>
      <w:szCs w:val="20"/>
    </w:rPr>
  </w:style>
  <w:style w:type="table" w:styleId="TableGrid">
    <w:name w:val="Table Grid"/>
    <w:basedOn w:val="TableNormal"/>
    <w:uiPriority w:val="99"/>
    <w:rsid w:val="00FD378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uiPriority w:val="99"/>
    <w:rsid w:val="00FD3781"/>
    <w:pPr>
      <w:widowControl w:val="0"/>
    </w:pPr>
    <w:rPr>
      <w:rFonts w:ascii="Arial" w:hAnsi="Arial" w:cs="Arial"/>
      <w:b/>
      <w:sz w:val="32"/>
      <w:szCs w:val="20"/>
    </w:rPr>
  </w:style>
  <w:style w:type="paragraph" w:customStyle="1" w:styleId="TOCItem">
    <w:name w:val="TOCItem"/>
    <w:basedOn w:val="Normal"/>
    <w:uiPriority w:val="99"/>
    <w:rsid w:val="00FD3781"/>
    <w:pPr>
      <w:tabs>
        <w:tab w:val="left" w:leader="dot" w:pos="7061"/>
        <w:tab w:val="right" w:pos="7524"/>
      </w:tabs>
      <w:spacing w:before="60" w:after="60"/>
      <w:ind w:right="465"/>
    </w:pPr>
    <w:rPr>
      <w:szCs w:val="20"/>
    </w:rPr>
  </w:style>
  <w:style w:type="paragraph" w:customStyle="1" w:styleId="TOCStem">
    <w:name w:val="TOCStem"/>
    <w:basedOn w:val="Normal"/>
    <w:uiPriority w:val="99"/>
    <w:rsid w:val="00FD3781"/>
    <w:rPr>
      <w:szCs w:val="20"/>
    </w:rPr>
  </w:style>
  <w:style w:type="paragraph" w:styleId="Header">
    <w:name w:val="header"/>
    <w:basedOn w:val="Normal"/>
    <w:link w:val="HeaderChar"/>
    <w:uiPriority w:val="99"/>
    <w:rsid w:val="00FD3781"/>
    <w:pPr>
      <w:tabs>
        <w:tab w:val="center" w:pos="4680"/>
        <w:tab w:val="right" w:pos="9360"/>
      </w:tabs>
    </w:pPr>
    <w:rPr>
      <w:color w:val="auto"/>
    </w:rPr>
  </w:style>
  <w:style w:type="character" w:customStyle="1" w:styleId="HeaderChar">
    <w:name w:val="Header Char"/>
    <w:basedOn w:val="DefaultParagraphFont"/>
    <w:link w:val="Header"/>
    <w:uiPriority w:val="99"/>
    <w:locked/>
    <w:rsid w:val="00FD3781"/>
    <w:rPr>
      <w:rFonts w:eastAsia="Times New Roman"/>
      <w:sz w:val="24"/>
    </w:rPr>
  </w:style>
  <w:style w:type="character" w:styleId="FollowedHyperlink">
    <w:name w:val="FollowedHyperlink"/>
    <w:basedOn w:val="DefaultParagraphFont"/>
    <w:uiPriority w:val="99"/>
    <w:rsid w:val="00FD3781"/>
    <w:rPr>
      <w:rFonts w:cs="Times New Roman"/>
      <w:color w:val="800080"/>
      <w:u w:val="single"/>
    </w:rPr>
  </w:style>
  <w:style w:type="paragraph" w:styleId="TOC3">
    <w:name w:val="toc 3"/>
    <w:basedOn w:val="Normal"/>
    <w:next w:val="Normal"/>
    <w:autoRedefine/>
    <w:uiPriority w:val="99"/>
    <w:rsid w:val="00FD3781"/>
    <w:pPr>
      <w:ind w:left="480"/>
    </w:pPr>
  </w:style>
  <w:style w:type="paragraph" w:styleId="TOC4">
    <w:name w:val="toc 4"/>
    <w:basedOn w:val="Normal"/>
    <w:next w:val="Normal"/>
    <w:autoRedefine/>
    <w:uiPriority w:val="99"/>
    <w:rsid w:val="00FD378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vbaw.vba.va.gov/bl/21/Systems/awards.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C3A49C1CDA34C8A8DBFD75C1DD13C" ma:contentTypeVersion="0" ma:contentTypeDescription="Create a new document." ma:contentTypeScope="" ma:versionID="1bee4ecabd05a40697f011d3a31da575">
  <xsd:schema xmlns:xsd="http://www.w3.org/2001/XMLSchema" xmlns:p="http://schemas.microsoft.com/office/2006/metadata/properties" targetNamespace="http://schemas.microsoft.com/office/2006/metadata/properties" ma:root="true" ma:fieldsID="46a794065921c4818d40ff1823962b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7B20714-6DFC-46DF-9BC0-00971BFD5DAE}"/>
</file>

<file path=customXml/itemProps2.xml><?xml version="1.0" encoding="utf-8"?>
<ds:datastoreItem xmlns:ds="http://schemas.openxmlformats.org/officeDocument/2006/customXml" ds:itemID="{3D4BD3C1-E3E0-46AC-9209-1F3059962FE2}"/>
</file>

<file path=customXml/itemProps3.xml><?xml version="1.0" encoding="utf-8"?>
<ds:datastoreItem xmlns:ds="http://schemas.openxmlformats.org/officeDocument/2006/customXml" ds:itemID="{4EC1F2A3-E28B-4A2A-9D69-5AC556BB4430}"/>
</file>

<file path=docProps/app.xml><?xml version="1.0" encoding="utf-8"?>
<Properties xmlns="http://schemas.openxmlformats.org/officeDocument/2006/extended-properties" xmlns:vt="http://schemas.openxmlformats.org/officeDocument/2006/docPropsVTypes">
  <Template>FSPro.dotm</Template>
  <TotalTime>48</TotalTime>
  <Pages>3</Pages>
  <Words>711</Words>
  <Characters>4057</Characters>
  <Application>Microsoft Office Outlook</Application>
  <DocSecurity>0</DocSecurity>
  <Lines>0</Lines>
  <Paragraphs>0</Paragraphs>
  <ScaleCrop>false</ScaleCrop>
  <Company>Department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capjpier</dc:creator>
  <cp:keywords/>
  <dc:description/>
  <cp:lastModifiedBy>CAPLMAZA</cp:lastModifiedBy>
  <cp:revision>11</cp:revision>
  <dcterms:created xsi:type="dcterms:W3CDTF">2011-05-23T19:07:00Z</dcterms:created>
  <dcterms:modified xsi:type="dcterms:W3CDTF">2011-11-28T17:39:00Z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0x01010087CC3A49C1CDA34C8A8DBFD75C1DD13C</vt:lpwstr>
  </property>
</Properties>
</file>