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FA3FE" w14:textId="77777777" w:rsidR="00161E51" w:rsidRPr="0064357E" w:rsidRDefault="00161E51" w:rsidP="00161E51">
      <w:pPr>
        <w:pStyle w:val="Heading4"/>
        <w:ind w:firstLine="720"/>
      </w:pPr>
      <w:r w:rsidRPr="0064357E">
        <w:t>Section C.  Income Verification Match (IVM)</w:t>
      </w:r>
    </w:p>
    <w:p w14:paraId="329FA3FF" w14:textId="77777777" w:rsidR="00161E51" w:rsidRPr="0064357E" w:rsidRDefault="00161E51" w:rsidP="00161E51">
      <w:pPr>
        <w:pStyle w:val="Heading4"/>
      </w:pPr>
      <w:r w:rsidRPr="0064357E">
        <w:t>Overview</w:t>
      </w:r>
    </w:p>
    <w:p w14:paraId="6589D102" w14:textId="77777777" w:rsidR="0064357E" w:rsidRPr="00757A01" w:rsidRDefault="0064357E" w:rsidP="0064357E"/>
    <w:p w14:paraId="73242E9D" w14:textId="77777777" w:rsidR="0064357E" w:rsidRPr="00757A01" w:rsidRDefault="0064357E" w:rsidP="0064357E">
      <w:pPr>
        <w:pStyle w:val="BlockLine"/>
      </w:pPr>
      <w:r w:rsidRPr="00757A01">
        <w:fldChar w:fldCharType="begin"/>
      </w:r>
      <w:r w:rsidRPr="00757A01">
        <w:instrText xml:space="preserve"> PRIVATE INFOTYPE="OTHER" </w:instrText>
      </w:r>
      <w:r w:rsidRPr="00757A01">
        <w:fldChar w:fldCharType="end"/>
      </w:r>
    </w:p>
    <w:tbl>
      <w:tblPr>
        <w:tblW w:w="0" w:type="auto"/>
        <w:tblLayout w:type="fixed"/>
        <w:tblLook w:val="0000" w:firstRow="0" w:lastRow="0" w:firstColumn="0" w:lastColumn="0" w:noHBand="0" w:noVBand="0"/>
      </w:tblPr>
      <w:tblGrid>
        <w:gridCol w:w="1744"/>
        <w:gridCol w:w="7814"/>
      </w:tblGrid>
      <w:tr w:rsidR="0064357E" w:rsidRPr="00757A01" w14:paraId="78F647EF" w14:textId="77777777" w:rsidTr="0064357E">
        <w:trPr>
          <w:cantSplit/>
          <w:trHeight w:val="3105"/>
        </w:trPr>
        <w:tc>
          <w:tcPr>
            <w:tcW w:w="1744" w:type="dxa"/>
          </w:tcPr>
          <w:p w14:paraId="4E1D24A9" w14:textId="77777777" w:rsidR="0064357E" w:rsidRPr="00757A01" w:rsidRDefault="0064357E" w:rsidP="00912B2A">
            <w:pPr>
              <w:pStyle w:val="Heading5"/>
            </w:pPr>
            <w:r w:rsidRPr="00757A01">
              <w:t>In This Section</w:t>
            </w:r>
          </w:p>
          <w:p w14:paraId="4F144953" w14:textId="77777777" w:rsidR="0064357E" w:rsidRPr="00757A01" w:rsidRDefault="0064357E" w:rsidP="00912B2A">
            <w:pPr>
              <w:pStyle w:val="Heading5"/>
            </w:pPr>
          </w:p>
          <w:p w14:paraId="584DDE80" w14:textId="77777777" w:rsidR="0064357E" w:rsidRPr="00757A01" w:rsidRDefault="0064357E" w:rsidP="00912B2A">
            <w:pPr>
              <w:pStyle w:val="Heading5"/>
            </w:pPr>
          </w:p>
          <w:p w14:paraId="3E5DBD2D" w14:textId="77777777" w:rsidR="0064357E" w:rsidRPr="00757A01" w:rsidRDefault="0064357E" w:rsidP="00912B2A">
            <w:pPr>
              <w:pStyle w:val="Heading5"/>
            </w:pPr>
          </w:p>
          <w:p w14:paraId="2D2F37AC" w14:textId="77777777" w:rsidR="0064357E" w:rsidRPr="00757A01" w:rsidRDefault="0064357E" w:rsidP="00912B2A">
            <w:pPr>
              <w:pStyle w:val="Heading5"/>
            </w:pPr>
          </w:p>
          <w:p w14:paraId="0777908A" w14:textId="77777777" w:rsidR="0064357E" w:rsidRPr="00757A01" w:rsidRDefault="0064357E" w:rsidP="00912B2A">
            <w:pPr>
              <w:pStyle w:val="Heading5"/>
            </w:pPr>
          </w:p>
          <w:p w14:paraId="10F0A373" w14:textId="77777777" w:rsidR="0064357E" w:rsidRPr="00757A01" w:rsidRDefault="0064357E" w:rsidP="00912B2A">
            <w:pPr>
              <w:pStyle w:val="Heading5"/>
            </w:pPr>
          </w:p>
          <w:p w14:paraId="7ABB37C8" w14:textId="77777777" w:rsidR="0064357E" w:rsidRPr="00757A01" w:rsidRDefault="0064357E" w:rsidP="00912B2A">
            <w:pPr>
              <w:pStyle w:val="Heading5"/>
            </w:pPr>
          </w:p>
          <w:p w14:paraId="7B57FF05" w14:textId="77777777" w:rsidR="0064357E" w:rsidRPr="00757A01" w:rsidRDefault="0064357E" w:rsidP="00912B2A">
            <w:pPr>
              <w:pStyle w:val="Heading5"/>
            </w:pPr>
          </w:p>
          <w:p w14:paraId="79DF5D52" w14:textId="77777777" w:rsidR="0064357E" w:rsidRPr="00757A01" w:rsidRDefault="0064357E" w:rsidP="00912B2A">
            <w:pPr>
              <w:pStyle w:val="Heading5"/>
            </w:pPr>
          </w:p>
          <w:p w14:paraId="090C1265" w14:textId="77777777" w:rsidR="0064357E" w:rsidRPr="00757A01" w:rsidRDefault="0064357E" w:rsidP="00912B2A">
            <w:pPr>
              <w:pStyle w:val="Heading5"/>
            </w:pPr>
          </w:p>
          <w:p w14:paraId="2F2A6D0E" w14:textId="77777777" w:rsidR="0064357E" w:rsidRPr="00757A01" w:rsidRDefault="0064357E" w:rsidP="00912B2A">
            <w:pPr>
              <w:pStyle w:val="Heading5"/>
            </w:pPr>
          </w:p>
        </w:tc>
        <w:tc>
          <w:tcPr>
            <w:tcW w:w="7814" w:type="dxa"/>
          </w:tcPr>
          <w:tbl>
            <w:tblPr>
              <w:tblStyle w:val="TableGrid"/>
              <w:tblpPr w:leftFromText="180" w:rightFromText="180" w:vertAnchor="text" w:horzAnchor="margin" w:tblpY="557"/>
              <w:tblW w:w="7560" w:type="dxa"/>
              <w:tblLayout w:type="fixed"/>
              <w:tblLook w:val="04A0" w:firstRow="1" w:lastRow="0" w:firstColumn="1" w:lastColumn="0" w:noHBand="0" w:noVBand="1"/>
            </w:tblPr>
            <w:tblGrid>
              <w:gridCol w:w="1080"/>
              <w:gridCol w:w="6480"/>
            </w:tblGrid>
            <w:tr w:rsidR="0064357E" w:rsidRPr="0064357E" w14:paraId="76E6ACB2" w14:textId="77777777" w:rsidTr="0064357E">
              <w:tc>
                <w:tcPr>
                  <w:tcW w:w="1080" w:type="dxa"/>
                </w:tcPr>
                <w:p w14:paraId="560DC8B9" w14:textId="77777777" w:rsidR="0064357E" w:rsidRPr="0064357E" w:rsidRDefault="0064357E" w:rsidP="00DF3FDD">
                  <w:pPr>
                    <w:jc w:val="center"/>
                    <w:rPr>
                      <w:b/>
                    </w:rPr>
                  </w:pPr>
                  <w:r w:rsidRPr="0064357E">
                    <w:rPr>
                      <w:b/>
                    </w:rPr>
                    <w:t>Topic</w:t>
                  </w:r>
                </w:p>
              </w:tc>
              <w:tc>
                <w:tcPr>
                  <w:tcW w:w="6480" w:type="dxa"/>
                </w:tcPr>
                <w:p w14:paraId="69DA4DC7" w14:textId="77777777" w:rsidR="0064357E" w:rsidRPr="0064357E" w:rsidRDefault="0064357E" w:rsidP="00DF3FDD">
                  <w:pPr>
                    <w:jc w:val="center"/>
                    <w:rPr>
                      <w:b/>
                    </w:rPr>
                  </w:pPr>
                  <w:r w:rsidRPr="0064357E">
                    <w:rPr>
                      <w:b/>
                    </w:rPr>
                    <w:t>Topic Name</w:t>
                  </w:r>
                </w:p>
              </w:tc>
            </w:tr>
            <w:tr w:rsidR="0064357E" w:rsidRPr="0064357E" w14:paraId="59D5899D" w14:textId="77777777" w:rsidTr="0064357E">
              <w:tc>
                <w:tcPr>
                  <w:tcW w:w="1080" w:type="dxa"/>
                </w:tcPr>
                <w:p w14:paraId="0A7C2DF7" w14:textId="77777777" w:rsidR="0064357E" w:rsidRPr="0064357E" w:rsidRDefault="0064357E" w:rsidP="00DF3FDD">
                  <w:pPr>
                    <w:jc w:val="center"/>
                  </w:pPr>
                  <w:r w:rsidRPr="0064357E">
                    <w:t>1</w:t>
                  </w:r>
                </w:p>
              </w:tc>
              <w:tc>
                <w:tcPr>
                  <w:tcW w:w="6480" w:type="dxa"/>
                </w:tcPr>
                <w:p w14:paraId="58FC159A" w14:textId="77777777" w:rsidR="0064357E" w:rsidRPr="0064357E" w:rsidRDefault="0064357E" w:rsidP="00DF3FDD">
                  <w:r w:rsidRPr="0064357E">
                    <w:t>IVM Procedures</w:t>
                  </w:r>
                </w:p>
              </w:tc>
            </w:tr>
            <w:tr w:rsidR="0064357E" w:rsidRPr="0064357E" w14:paraId="26FF6F89" w14:textId="77777777" w:rsidTr="0064357E">
              <w:tc>
                <w:tcPr>
                  <w:tcW w:w="1080" w:type="dxa"/>
                </w:tcPr>
                <w:p w14:paraId="700D2F9D" w14:textId="77777777" w:rsidR="0064357E" w:rsidRPr="0064357E" w:rsidRDefault="0064357E" w:rsidP="00DF3FDD">
                  <w:pPr>
                    <w:jc w:val="center"/>
                  </w:pPr>
                  <w:r w:rsidRPr="0064357E">
                    <w:t>2</w:t>
                  </w:r>
                </w:p>
              </w:tc>
              <w:tc>
                <w:tcPr>
                  <w:tcW w:w="6480" w:type="dxa"/>
                </w:tcPr>
                <w:p w14:paraId="44E8833C" w14:textId="77777777" w:rsidR="0064357E" w:rsidRPr="0064357E" w:rsidRDefault="0064357E" w:rsidP="00DF3FDD">
                  <w:r w:rsidRPr="0064357E">
                    <w:t>Income Verification</w:t>
                  </w:r>
                </w:p>
              </w:tc>
            </w:tr>
            <w:tr w:rsidR="0064357E" w:rsidRPr="0064357E" w14:paraId="23867F38" w14:textId="77777777" w:rsidTr="0064357E">
              <w:tc>
                <w:tcPr>
                  <w:tcW w:w="1080" w:type="dxa"/>
                </w:tcPr>
                <w:p w14:paraId="3066B356" w14:textId="77777777" w:rsidR="0064357E" w:rsidRPr="0064357E" w:rsidRDefault="0064357E" w:rsidP="00DF3FDD">
                  <w:pPr>
                    <w:jc w:val="center"/>
                  </w:pPr>
                  <w:r w:rsidRPr="0064357E">
                    <w:t>3</w:t>
                  </w:r>
                </w:p>
              </w:tc>
              <w:tc>
                <w:tcPr>
                  <w:tcW w:w="6480" w:type="dxa"/>
                </w:tcPr>
                <w:p w14:paraId="6EFAB88A" w14:textId="77777777" w:rsidR="0064357E" w:rsidRPr="0064357E" w:rsidRDefault="0064357E" w:rsidP="00DF3FDD">
                  <w:r w:rsidRPr="0064357E">
                    <w:t>Initial Verification Requests</w:t>
                  </w:r>
                </w:p>
              </w:tc>
            </w:tr>
            <w:tr w:rsidR="0064357E" w:rsidRPr="0064357E" w14:paraId="2851482B" w14:textId="77777777" w:rsidTr="0064357E">
              <w:tc>
                <w:tcPr>
                  <w:tcW w:w="1080" w:type="dxa"/>
                </w:tcPr>
                <w:p w14:paraId="79CB4F32" w14:textId="77777777" w:rsidR="0064357E" w:rsidRPr="0064357E" w:rsidRDefault="0064357E" w:rsidP="00DF3FDD">
                  <w:pPr>
                    <w:jc w:val="center"/>
                  </w:pPr>
                  <w:r w:rsidRPr="0064357E">
                    <w:t>4</w:t>
                  </w:r>
                </w:p>
              </w:tc>
              <w:tc>
                <w:tcPr>
                  <w:tcW w:w="6480" w:type="dxa"/>
                </w:tcPr>
                <w:p w14:paraId="07AA38CA" w14:textId="77777777" w:rsidR="0064357E" w:rsidRPr="0064357E" w:rsidRDefault="0064357E" w:rsidP="00DF3FDD">
                  <w:r w:rsidRPr="0064357E">
                    <w:t>Operational Performance and Establishing Controls</w:t>
                  </w:r>
                </w:p>
              </w:tc>
            </w:tr>
            <w:tr w:rsidR="0064357E" w:rsidRPr="0064357E" w14:paraId="1DAF5861" w14:textId="77777777" w:rsidTr="0064357E">
              <w:tc>
                <w:tcPr>
                  <w:tcW w:w="1080" w:type="dxa"/>
                </w:tcPr>
                <w:p w14:paraId="514A6898" w14:textId="77777777" w:rsidR="0064357E" w:rsidRPr="0064357E" w:rsidRDefault="0064357E" w:rsidP="00DF3FDD">
                  <w:pPr>
                    <w:jc w:val="center"/>
                  </w:pPr>
                  <w:r w:rsidRPr="0064357E">
                    <w:t>5</w:t>
                  </w:r>
                </w:p>
              </w:tc>
              <w:tc>
                <w:tcPr>
                  <w:tcW w:w="6480" w:type="dxa"/>
                </w:tcPr>
                <w:p w14:paraId="2E9B7A4B" w14:textId="77777777" w:rsidR="0064357E" w:rsidRPr="0064357E" w:rsidRDefault="0064357E" w:rsidP="00DF3FDD">
                  <w:r w:rsidRPr="0064357E">
                    <w:t>Initial Screening</w:t>
                  </w:r>
                </w:p>
              </w:tc>
            </w:tr>
            <w:tr w:rsidR="0064357E" w:rsidRPr="0064357E" w14:paraId="3A5B9BF7" w14:textId="77777777" w:rsidTr="0064357E">
              <w:tc>
                <w:tcPr>
                  <w:tcW w:w="1080" w:type="dxa"/>
                </w:tcPr>
                <w:p w14:paraId="6ADE3F80" w14:textId="77777777" w:rsidR="0064357E" w:rsidRPr="0064357E" w:rsidRDefault="0064357E" w:rsidP="00DF3FDD">
                  <w:pPr>
                    <w:jc w:val="center"/>
                  </w:pPr>
                  <w:r w:rsidRPr="0064357E">
                    <w:t>6</w:t>
                  </w:r>
                </w:p>
              </w:tc>
              <w:tc>
                <w:tcPr>
                  <w:tcW w:w="6480" w:type="dxa"/>
                </w:tcPr>
                <w:p w14:paraId="6B370F87" w14:textId="77777777" w:rsidR="0064357E" w:rsidRPr="0064357E" w:rsidRDefault="0064357E" w:rsidP="00DF3FDD">
                  <w:r w:rsidRPr="0064357E">
                    <w:t>Effective Dates and Adjustment for Parents’ Dependency and Indemnity Compensation (DIC) Due to IVM</w:t>
                  </w:r>
                </w:p>
              </w:tc>
            </w:tr>
            <w:tr w:rsidR="0064357E" w:rsidRPr="0064357E" w14:paraId="758FD33E" w14:textId="77777777" w:rsidTr="0064357E">
              <w:tc>
                <w:tcPr>
                  <w:tcW w:w="1080" w:type="dxa"/>
                </w:tcPr>
                <w:p w14:paraId="677B1830" w14:textId="77777777" w:rsidR="0064357E" w:rsidRPr="0064357E" w:rsidRDefault="0064357E" w:rsidP="00DF3FDD">
                  <w:pPr>
                    <w:jc w:val="center"/>
                  </w:pPr>
                  <w:r w:rsidRPr="0064357E">
                    <w:t>7</w:t>
                  </w:r>
                </w:p>
              </w:tc>
              <w:tc>
                <w:tcPr>
                  <w:tcW w:w="6480" w:type="dxa"/>
                </w:tcPr>
                <w:p w14:paraId="785BD1E2" w14:textId="77777777" w:rsidR="0064357E" w:rsidRPr="0064357E" w:rsidRDefault="0064357E" w:rsidP="00DF3FDD">
                  <w:r w:rsidRPr="0064357E">
                    <w:t>Differing Responses From Payer and Recipient</w:t>
                  </w:r>
                </w:p>
              </w:tc>
            </w:tr>
            <w:tr w:rsidR="0064357E" w:rsidRPr="0064357E" w14:paraId="7DFDA360" w14:textId="77777777" w:rsidTr="0064357E">
              <w:tc>
                <w:tcPr>
                  <w:tcW w:w="1080" w:type="dxa"/>
                </w:tcPr>
                <w:p w14:paraId="29A7F360" w14:textId="77777777" w:rsidR="0064357E" w:rsidRPr="0064357E" w:rsidRDefault="0064357E" w:rsidP="00DF3FDD">
                  <w:pPr>
                    <w:jc w:val="center"/>
                  </w:pPr>
                  <w:r w:rsidRPr="0064357E">
                    <w:t>8</w:t>
                  </w:r>
                </w:p>
              </w:tc>
              <w:tc>
                <w:tcPr>
                  <w:tcW w:w="6480" w:type="dxa"/>
                </w:tcPr>
                <w:p w14:paraId="2B307B79" w14:textId="77777777" w:rsidR="0064357E" w:rsidRPr="0064357E" w:rsidRDefault="0064357E" w:rsidP="00DF3FDD">
                  <w:r w:rsidRPr="0064357E">
                    <w:t>Income Payer Response Only</w:t>
                  </w:r>
                </w:p>
              </w:tc>
            </w:tr>
            <w:tr w:rsidR="0064357E" w:rsidRPr="0064357E" w14:paraId="0934CD63" w14:textId="77777777" w:rsidTr="0064357E">
              <w:tc>
                <w:tcPr>
                  <w:tcW w:w="1080" w:type="dxa"/>
                </w:tcPr>
                <w:p w14:paraId="06719297" w14:textId="77777777" w:rsidR="0064357E" w:rsidRPr="0064357E" w:rsidRDefault="0064357E" w:rsidP="00DF3FDD">
                  <w:pPr>
                    <w:jc w:val="center"/>
                  </w:pPr>
                  <w:r w:rsidRPr="0064357E">
                    <w:t>9</w:t>
                  </w:r>
                </w:p>
              </w:tc>
              <w:tc>
                <w:tcPr>
                  <w:tcW w:w="6480" w:type="dxa"/>
                </w:tcPr>
                <w:p w14:paraId="4E114FF2" w14:textId="77777777" w:rsidR="0064357E" w:rsidRPr="0064357E" w:rsidRDefault="0064357E" w:rsidP="00DF3FDD">
                  <w:r w:rsidRPr="0064357E">
                    <w:t>Income Recipient Response Only</w:t>
                  </w:r>
                </w:p>
              </w:tc>
            </w:tr>
            <w:tr w:rsidR="0064357E" w:rsidRPr="0064357E" w14:paraId="4DF4FE3F" w14:textId="77777777" w:rsidTr="0064357E">
              <w:tc>
                <w:tcPr>
                  <w:tcW w:w="1080" w:type="dxa"/>
                </w:tcPr>
                <w:p w14:paraId="49B7F39B" w14:textId="77777777" w:rsidR="0064357E" w:rsidRPr="0064357E" w:rsidRDefault="0064357E" w:rsidP="00DF3FDD">
                  <w:pPr>
                    <w:jc w:val="center"/>
                  </w:pPr>
                  <w:r w:rsidRPr="0064357E">
                    <w:t>10</w:t>
                  </w:r>
                </w:p>
              </w:tc>
              <w:tc>
                <w:tcPr>
                  <w:tcW w:w="6480" w:type="dxa"/>
                </w:tcPr>
                <w:p w14:paraId="31095455" w14:textId="77777777" w:rsidR="0064357E" w:rsidRPr="0064357E" w:rsidRDefault="0064357E" w:rsidP="00DF3FDD">
                  <w:r w:rsidRPr="0064357E">
                    <w:t>No Response From Payer or Recipient Within 60-Day Period</w:t>
                  </w:r>
                </w:p>
              </w:tc>
            </w:tr>
            <w:tr w:rsidR="0064357E" w:rsidRPr="0064357E" w14:paraId="19377425" w14:textId="77777777" w:rsidTr="0064357E">
              <w:tc>
                <w:tcPr>
                  <w:tcW w:w="1080" w:type="dxa"/>
                </w:tcPr>
                <w:p w14:paraId="4ACA87A9" w14:textId="77777777" w:rsidR="0064357E" w:rsidRPr="0064357E" w:rsidRDefault="0064357E" w:rsidP="00DF3FDD">
                  <w:pPr>
                    <w:jc w:val="center"/>
                  </w:pPr>
                  <w:r w:rsidRPr="0064357E">
                    <w:t>11</w:t>
                  </w:r>
                </w:p>
              </w:tc>
              <w:tc>
                <w:tcPr>
                  <w:tcW w:w="6480" w:type="dxa"/>
                </w:tcPr>
                <w:p w14:paraId="56C330E4" w14:textId="77777777" w:rsidR="0064357E" w:rsidRPr="0064357E" w:rsidRDefault="0064357E" w:rsidP="00DF3FDD">
                  <w:r w:rsidRPr="0064357E">
                    <w:t>Recipient Claims Income Belongs to Someone Else</w:t>
                  </w:r>
                </w:p>
              </w:tc>
            </w:tr>
            <w:tr w:rsidR="0064357E" w:rsidRPr="0064357E" w14:paraId="3D42E9AC" w14:textId="77777777" w:rsidTr="0064357E">
              <w:tc>
                <w:tcPr>
                  <w:tcW w:w="1080" w:type="dxa"/>
                </w:tcPr>
                <w:p w14:paraId="7F6F76B2" w14:textId="77777777" w:rsidR="0064357E" w:rsidRPr="0064357E" w:rsidRDefault="0064357E" w:rsidP="00DF3FDD">
                  <w:pPr>
                    <w:jc w:val="center"/>
                  </w:pPr>
                  <w:r w:rsidRPr="0064357E">
                    <w:t>12</w:t>
                  </w:r>
                </w:p>
              </w:tc>
              <w:tc>
                <w:tcPr>
                  <w:tcW w:w="6480" w:type="dxa"/>
                </w:tcPr>
                <w:p w14:paraId="722980E6" w14:textId="77777777" w:rsidR="0064357E" w:rsidRPr="0064357E" w:rsidRDefault="0064357E" w:rsidP="00DF3FDD">
                  <w:r w:rsidRPr="0064357E">
                    <w:t>Efforts to Clarify Disputed Amounts</w:t>
                  </w:r>
                </w:p>
              </w:tc>
            </w:tr>
            <w:tr w:rsidR="0064357E" w:rsidRPr="0064357E" w14:paraId="292D2629" w14:textId="77777777" w:rsidTr="0064357E">
              <w:tc>
                <w:tcPr>
                  <w:tcW w:w="1080" w:type="dxa"/>
                </w:tcPr>
                <w:p w14:paraId="4B0B3789" w14:textId="77777777" w:rsidR="0064357E" w:rsidRPr="0064357E" w:rsidRDefault="0064357E" w:rsidP="00DF3FDD">
                  <w:pPr>
                    <w:jc w:val="center"/>
                  </w:pPr>
                  <w:r w:rsidRPr="0064357E">
                    <w:t>13</w:t>
                  </w:r>
                </w:p>
              </w:tc>
              <w:tc>
                <w:tcPr>
                  <w:tcW w:w="6480" w:type="dxa"/>
                </w:tcPr>
                <w:p w14:paraId="085E6AA0" w14:textId="77777777" w:rsidR="0064357E" w:rsidRPr="0064357E" w:rsidRDefault="0064357E" w:rsidP="00DF3FDD">
                  <w:r w:rsidRPr="0064357E">
                    <w:t>Due Process</w:t>
                  </w:r>
                </w:p>
              </w:tc>
            </w:tr>
            <w:tr w:rsidR="0064357E" w:rsidRPr="0064357E" w14:paraId="459E000F" w14:textId="77777777" w:rsidTr="0064357E">
              <w:tc>
                <w:tcPr>
                  <w:tcW w:w="1080" w:type="dxa"/>
                </w:tcPr>
                <w:p w14:paraId="441DC8EA" w14:textId="77777777" w:rsidR="0064357E" w:rsidRPr="0064357E" w:rsidRDefault="0064357E" w:rsidP="00DF3FDD">
                  <w:pPr>
                    <w:jc w:val="center"/>
                  </w:pPr>
                  <w:r w:rsidRPr="0064357E">
                    <w:t>14</w:t>
                  </w:r>
                </w:p>
              </w:tc>
              <w:tc>
                <w:tcPr>
                  <w:tcW w:w="6480" w:type="dxa"/>
                </w:tcPr>
                <w:p w14:paraId="45B18090" w14:textId="77777777" w:rsidR="0064357E" w:rsidRPr="0064357E" w:rsidRDefault="0064357E" w:rsidP="00DF3FDD">
                  <w:r w:rsidRPr="0064357E">
                    <w:t>Identification of Overpayments for Reporting Requirements</w:t>
                  </w:r>
                </w:p>
              </w:tc>
            </w:tr>
            <w:tr w:rsidR="0064357E" w:rsidRPr="0064357E" w14:paraId="46B53AD3" w14:textId="77777777" w:rsidTr="0064357E">
              <w:tc>
                <w:tcPr>
                  <w:tcW w:w="1080" w:type="dxa"/>
                </w:tcPr>
                <w:p w14:paraId="597520EE" w14:textId="77777777" w:rsidR="0064357E" w:rsidRPr="0064357E" w:rsidRDefault="0064357E" w:rsidP="00DF3FDD">
                  <w:pPr>
                    <w:jc w:val="center"/>
                  </w:pPr>
                  <w:r w:rsidRPr="0064357E">
                    <w:t>15</w:t>
                  </w:r>
                </w:p>
              </w:tc>
              <w:tc>
                <w:tcPr>
                  <w:tcW w:w="6480" w:type="dxa"/>
                </w:tcPr>
                <w:p w14:paraId="7D7D305C" w14:textId="77777777" w:rsidR="0064357E" w:rsidRPr="0064357E" w:rsidRDefault="0064357E" w:rsidP="00DF3FDD">
                  <w:r w:rsidRPr="0064357E">
                    <w:t>Considering Earnings in Individual Unemployability (IU) and Pension Claims</w:t>
                  </w:r>
                </w:p>
              </w:tc>
            </w:tr>
            <w:tr w:rsidR="0064357E" w:rsidRPr="0064357E" w14:paraId="6EA7C8DC" w14:textId="77777777" w:rsidTr="0064357E">
              <w:tc>
                <w:tcPr>
                  <w:tcW w:w="1080" w:type="dxa"/>
                </w:tcPr>
                <w:p w14:paraId="319E7ECE" w14:textId="77777777" w:rsidR="0064357E" w:rsidRPr="0064357E" w:rsidRDefault="0064357E" w:rsidP="00DF3FDD">
                  <w:pPr>
                    <w:jc w:val="center"/>
                  </w:pPr>
                  <w:r w:rsidRPr="0064357E">
                    <w:t>16</w:t>
                  </w:r>
                </w:p>
              </w:tc>
              <w:tc>
                <w:tcPr>
                  <w:tcW w:w="6480" w:type="dxa"/>
                </w:tcPr>
                <w:p w14:paraId="2873699F" w14:textId="77777777" w:rsidR="0064357E" w:rsidRPr="0064357E" w:rsidRDefault="0064357E" w:rsidP="00DF3FDD">
                  <w:r w:rsidRPr="0064357E">
                    <w:t>Sample IVM Worksheet</w:t>
                  </w:r>
                </w:p>
              </w:tc>
            </w:tr>
          </w:tbl>
          <w:p w14:paraId="16669888" w14:textId="1B329450" w:rsidR="0064357E" w:rsidRPr="00757A01" w:rsidRDefault="0064357E" w:rsidP="0064357E">
            <w:pPr>
              <w:pStyle w:val="BlockText"/>
            </w:pPr>
            <w:r w:rsidRPr="00757A01">
              <w:t>This section contains the following topic:</w:t>
            </w:r>
          </w:p>
        </w:tc>
      </w:tr>
    </w:tbl>
    <w:p w14:paraId="2EA676B0" w14:textId="34242E0B" w:rsidR="00B37BB9" w:rsidRPr="0064357E" w:rsidRDefault="00D45EDE" w:rsidP="00DA4DD0">
      <w:pPr>
        <w:ind w:left="1710"/>
      </w:pPr>
      <w:r w:rsidRPr="0064357E">
        <w:t>_______________________________________________________________</w:t>
      </w:r>
      <w:r w:rsidRPr="0064357E">
        <w:tab/>
      </w:r>
    </w:p>
    <w:p w14:paraId="52E3B29E" w14:textId="77777777" w:rsidR="00B37BB9" w:rsidRPr="0064357E" w:rsidRDefault="00B37BB9" w:rsidP="008A5C15"/>
    <w:p w14:paraId="04483B6F" w14:textId="77777777" w:rsidR="00B37BB9" w:rsidRPr="0064357E" w:rsidRDefault="00B37BB9" w:rsidP="008A5C15"/>
    <w:p w14:paraId="621CB13E" w14:textId="77777777" w:rsidR="00B37BB9" w:rsidRPr="0064357E" w:rsidRDefault="00B37BB9" w:rsidP="008A5C15"/>
    <w:p w14:paraId="01C87FE7" w14:textId="77777777" w:rsidR="00B37BB9" w:rsidRPr="0064357E" w:rsidRDefault="00B37BB9" w:rsidP="008A5C15"/>
    <w:p w14:paraId="329FA450" w14:textId="77777777" w:rsidR="00827000" w:rsidRPr="0064357E" w:rsidRDefault="00827000"/>
    <w:p w14:paraId="329FA451" w14:textId="77777777" w:rsidR="00155BED" w:rsidRPr="0064357E" w:rsidRDefault="00155BED"/>
    <w:p w14:paraId="329FA452" w14:textId="77777777" w:rsidR="00155BED" w:rsidRPr="0064357E" w:rsidRDefault="00155BED"/>
    <w:p w14:paraId="329FA453" w14:textId="77777777" w:rsidR="00155BED" w:rsidRPr="0064357E" w:rsidRDefault="00155BED"/>
    <w:p w14:paraId="329FA454" w14:textId="77777777" w:rsidR="00155BED" w:rsidRPr="0064357E" w:rsidRDefault="00155BED"/>
    <w:p w14:paraId="329FA455" w14:textId="77777777" w:rsidR="00155BED" w:rsidRPr="0064357E" w:rsidRDefault="00155BED"/>
    <w:p w14:paraId="329FA456" w14:textId="77777777" w:rsidR="00155BED" w:rsidRPr="0064357E" w:rsidRDefault="00155BED"/>
    <w:p w14:paraId="329FA457" w14:textId="77777777" w:rsidR="00155BED" w:rsidRPr="0064357E" w:rsidRDefault="00155BED"/>
    <w:p w14:paraId="329FA458" w14:textId="77777777" w:rsidR="00155BED" w:rsidRPr="0064357E" w:rsidRDefault="00155BED"/>
    <w:p w14:paraId="329FA459" w14:textId="77777777" w:rsidR="00155BED" w:rsidRPr="0064357E" w:rsidRDefault="00155BED"/>
    <w:p w14:paraId="329FA45A" w14:textId="77777777" w:rsidR="00155BED" w:rsidRPr="0064357E" w:rsidRDefault="00155BED"/>
    <w:p w14:paraId="2FA5D675" w14:textId="77777777" w:rsidR="0064357E" w:rsidRDefault="0064357E" w:rsidP="00155BED">
      <w:pPr>
        <w:pStyle w:val="Heading4"/>
        <w:rPr>
          <w:rFonts w:ascii="Times New Roman" w:hAnsi="Times New Roman"/>
          <w:b w:val="0"/>
          <w:sz w:val="24"/>
          <w:szCs w:val="24"/>
        </w:rPr>
      </w:pPr>
      <w:bookmarkStart w:id="0" w:name="_Toc478814457"/>
    </w:p>
    <w:p w14:paraId="329FA45C" w14:textId="3E955872" w:rsidR="00155BED" w:rsidRPr="0064357E" w:rsidRDefault="00887589" w:rsidP="00155BED">
      <w:pPr>
        <w:pStyle w:val="Heading4"/>
      </w:pPr>
      <w:r w:rsidRPr="0064357E">
        <w:t>1</w:t>
      </w:r>
      <w:r w:rsidR="00155BED" w:rsidRPr="0064357E">
        <w:t>.  IVM Procedures</w:t>
      </w:r>
    </w:p>
    <w:p w14:paraId="329FA45D" w14:textId="77777777" w:rsidR="00155BED" w:rsidRPr="0064357E" w:rsidRDefault="00155BED" w:rsidP="00155BED">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155BED" w:rsidRPr="0064357E" w14:paraId="329FA464" w14:textId="77777777" w:rsidTr="00827000">
        <w:trPr>
          <w:cantSplit/>
        </w:trPr>
        <w:tc>
          <w:tcPr>
            <w:tcW w:w="1728" w:type="dxa"/>
          </w:tcPr>
          <w:p w14:paraId="329FA45E" w14:textId="77777777" w:rsidR="00155BED" w:rsidRPr="0064357E" w:rsidRDefault="00155BED" w:rsidP="00827000">
            <w:pPr>
              <w:pStyle w:val="Heading5"/>
            </w:pPr>
            <w:r w:rsidRPr="0064357E">
              <w:t>Introduction</w:t>
            </w:r>
          </w:p>
        </w:tc>
        <w:tc>
          <w:tcPr>
            <w:tcW w:w="7740" w:type="dxa"/>
          </w:tcPr>
          <w:p w14:paraId="329FA45F" w14:textId="77777777" w:rsidR="00155BED" w:rsidRPr="0064357E" w:rsidRDefault="00155BED" w:rsidP="00827000">
            <w:pPr>
              <w:pStyle w:val="BlockText"/>
            </w:pPr>
            <w:r w:rsidRPr="0064357E">
              <w:t>This topic contains information on income verification, including</w:t>
            </w:r>
          </w:p>
          <w:p w14:paraId="329FA460" w14:textId="77777777" w:rsidR="00155BED" w:rsidRPr="0064357E" w:rsidRDefault="00155BED" w:rsidP="00827000">
            <w:pPr>
              <w:pStyle w:val="BlockText"/>
            </w:pPr>
          </w:p>
          <w:p w14:paraId="215FBDCF" w14:textId="7331BFB7" w:rsidR="001C6256" w:rsidRPr="0064357E" w:rsidRDefault="001C6256" w:rsidP="00D45EDE">
            <w:pPr>
              <w:pStyle w:val="ListParagraph"/>
              <w:numPr>
                <w:ilvl w:val="0"/>
                <w:numId w:val="3"/>
              </w:numPr>
              <w:ind w:left="158" w:hanging="187"/>
            </w:pPr>
            <w:r w:rsidRPr="0064357E">
              <w:t>processing IVM Reports</w:t>
            </w:r>
            <w:r w:rsidR="00140E8F" w:rsidRPr="0064357E">
              <w:t>, and</w:t>
            </w:r>
          </w:p>
          <w:p w14:paraId="329FA463" w14:textId="5694BC81" w:rsidR="00155BED" w:rsidRPr="0064357E" w:rsidRDefault="00C70CCA" w:rsidP="00D45EDE">
            <w:pPr>
              <w:pStyle w:val="ListParagraph"/>
              <w:numPr>
                <w:ilvl w:val="0"/>
                <w:numId w:val="3"/>
              </w:numPr>
              <w:ind w:left="158" w:hanging="187"/>
            </w:pPr>
            <w:r w:rsidRPr="0064357E">
              <w:t>i</w:t>
            </w:r>
            <w:r w:rsidR="00713BAC" w:rsidRPr="0064357E">
              <w:t>ndependent verification and due process</w:t>
            </w:r>
          </w:p>
        </w:tc>
      </w:tr>
    </w:tbl>
    <w:p w14:paraId="329FA465" w14:textId="274BCBBC" w:rsidR="00155BED" w:rsidRPr="0064357E" w:rsidRDefault="00155BED" w:rsidP="00155BED">
      <w:pPr>
        <w:pStyle w:val="BlockLine"/>
      </w:pPr>
    </w:p>
    <w:tbl>
      <w:tblPr>
        <w:tblW w:w="0" w:type="auto"/>
        <w:tblLayout w:type="fixed"/>
        <w:tblLook w:val="0000" w:firstRow="0" w:lastRow="0" w:firstColumn="0" w:lastColumn="0" w:noHBand="0" w:noVBand="0"/>
      </w:tblPr>
      <w:tblGrid>
        <w:gridCol w:w="1728"/>
        <w:gridCol w:w="7740"/>
      </w:tblGrid>
      <w:tr w:rsidR="00155BED" w:rsidRPr="0064357E" w14:paraId="329FA468" w14:textId="77777777" w:rsidTr="00827000">
        <w:trPr>
          <w:cantSplit/>
        </w:trPr>
        <w:tc>
          <w:tcPr>
            <w:tcW w:w="1728" w:type="dxa"/>
          </w:tcPr>
          <w:p w14:paraId="68B23FC6" w14:textId="77777777" w:rsidR="00D45EDE" w:rsidRPr="0064357E" w:rsidRDefault="00D45EDE" w:rsidP="00827000">
            <w:pPr>
              <w:pStyle w:val="Heading5"/>
            </w:pPr>
            <w:r w:rsidRPr="0064357E">
              <w:t>Change Date</w:t>
            </w:r>
          </w:p>
          <w:p w14:paraId="329FA466" w14:textId="79A9724E" w:rsidR="00155BED" w:rsidRPr="0064357E" w:rsidRDefault="00155BED" w:rsidP="00827000">
            <w:pPr>
              <w:pStyle w:val="Heading5"/>
            </w:pPr>
          </w:p>
        </w:tc>
        <w:tc>
          <w:tcPr>
            <w:tcW w:w="7740" w:type="dxa"/>
          </w:tcPr>
          <w:p w14:paraId="18E7C730" w14:textId="10BC2A0A" w:rsidR="00D45EDE" w:rsidRPr="0064357E" w:rsidRDefault="0064357E" w:rsidP="00DA4DD0">
            <w:pPr>
              <w:tabs>
                <w:tab w:val="left" w:pos="9360"/>
              </w:tabs>
              <w:ind w:left="-18"/>
            </w:pPr>
            <w:r>
              <w:t>March 30, 2015</w:t>
            </w:r>
          </w:p>
          <w:p w14:paraId="19862EBD" w14:textId="77777777" w:rsidR="00D45EDE" w:rsidRPr="0064357E" w:rsidRDefault="00D45EDE" w:rsidP="00DA4DD0">
            <w:pPr>
              <w:tabs>
                <w:tab w:val="left" w:pos="9360"/>
              </w:tabs>
              <w:ind w:left="-18"/>
            </w:pPr>
            <w:r w:rsidRPr="0064357E">
              <w:rPr>
                <w:u w:val="single"/>
              </w:rPr>
              <w:tab/>
            </w:r>
          </w:p>
          <w:p w14:paraId="329FA467" w14:textId="4BBBCD72" w:rsidR="00D45EDE" w:rsidRPr="0064357E" w:rsidRDefault="00D45EDE" w:rsidP="00DA4DD0"/>
        </w:tc>
      </w:tr>
      <w:tr w:rsidR="001C6256" w:rsidRPr="0064357E" w14:paraId="1EA70B6D" w14:textId="77777777" w:rsidTr="00630F04">
        <w:trPr>
          <w:cantSplit/>
          <w:trHeight w:val="10800"/>
        </w:trPr>
        <w:tc>
          <w:tcPr>
            <w:tcW w:w="1728" w:type="dxa"/>
          </w:tcPr>
          <w:p w14:paraId="70F10D4A" w14:textId="77777777" w:rsidR="00F776C9" w:rsidRPr="0064357E" w:rsidRDefault="00F776C9" w:rsidP="00630F04">
            <w:pPr>
              <w:pStyle w:val="BlockLine"/>
              <w:spacing w:before="0"/>
            </w:pPr>
          </w:p>
          <w:tbl>
            <w:tblPr>
              <w:tblW w:w="0" w:type="auto"/>
              <w:tblLayout w:type="fixed"/>
              <w:tblLook w:val="0000" w:firstRow="0" w:lastRow="0" w:firstColumn="0" w:lastColumn="0" w:noHBand="0" w:noVBand="0"/>
            </w:tblPr>
            <w:tblGrid>
              <w:gridCol w:w="1728"/>
              <w:gridCol w:w="7740"/>
            </w:tblGrid>
            <w:tr w:rsidR="00F776C9" w:rsidRPr="0064357E" w14:paraId="486B622B" w14:textId="77777777" w:rsidTr="009A1F45">
              <w:trPr>
                <w:cantSplit/>
              </w:trPr>
              <w:tc>
                <w:tcPr>
                  <w:tcW w:w="1728" w:type="dxa"/>
                </w:tcPr>
                <w:p w14:paraId="6A97C3A5" w14:textId="6D10C961" w:rsidR="00F776C9" w:rsidRPr="0064357E" w:rsidRDefault="0064357E" w:rsidP="009845DF">
                  <w:pPr>
                    <w:pStyle w:val="Heading5"/>
                  </w:pPr>
                  <w:proofErr w:type="gramStart"/>
                  <w:r>
                    <w:t>a</w:t>
                  </w:r>
                  <w:r w:rsidR="00F776C9" w:rsidRPr="0064357E">
                    <w:t>.  Processing</w:t>
                  </w:r>
                  <w:proofErr w:type="gramEnd"/>
                  <w:r w:rsidR="00F776C9" w:rsidRPr="0064357E">
                    <w:t xml:space="preserve"> IVM Reports </w:t>
                  </w:r>
                </w:p>
              </w:tc>
              <w:tc>
                <w:tcPr>
                  <w:tcW w:w="7740" w:type="dxa"/>
                </w:tcPr>
                <w:p w14:paraId="5B398335" w14:textId="77777777" w:rsidR="00F776C9" w:rsidRPr="0064357E" w:rsidRDefault="00F776C9" w:rsidP="00140E8F">
                  <w:pPr>
                    <w:pStyle w:val="BlockText"/>
                  </w:pPr>
                </w:p>
              </w:tc>
            </w:tr>
          </w:tbl>
          <w:p w14:paraId="5AA1E443" w14:textId="77777777" w:rsidR="00F776C9" w:rsidRPr="0064357E" w:rsidRDefault="00F776C9" w:rsidP="00630F04">
            <w:pPr>
              <w:pStyle w:val="BlockLine"/>
              <w:spacing w:before="0"/>
            </w:pPr>
          </w:p>
          <w:p w14:paraId="0FBEB39D" w14:textId="77777777" w:rsidR="00F776C9" w:rsidRPr="0064357E" w:rsidRDefault="00F776C9" w:rsidP="00140E8F">
            <w:r w:rsidRPr="0064357E">
              <w:rPr>
                <w:b/>
              </w:rPr>
              <w:br w:type="page"/>
            </w:r>
          </w:p>
          <w:p w14:paraId="746C408D" w14:textId="77777777" w:rsidR="00F776C9" w:rsidRPr="0064357E" w:rsidRDefault="00F776C9" w:rsidP="00140E8F">
            <w:pPr>
              <w:pStyle w:val="Heading5"/>
            </w:pPr>
          </w:p>
          <w:p w14:paraId="06CF74C8" w14:textId="77777777" w:rsidR="00F776C9" w:rsidRPr="0064357E" w:rsidRDefault="00F776C9" w:rsidP="00140E8F">
            <w:pPr>
              <w:pStyle w:val="Heading5"/>
            </w:pPr>
          </w:p>
          <w:p w14:paraId="40C8F6C4" w14:textId="4E0AA310" w:rsidR="001C6256" w:rsidRPr="0064357E" w:rsidRDefault="001C6256" w:rsidP="00140E8F">
            <w:pPr>
              <w:pStyle w:val="Heading5"/>
            </w:pPr>
          </w:p>
        </w:tc>
        <w:tc>
          <w:tcPr>
            <w:tcW w:w="7740" w:type="dxa"/>
          </w:tcPr>
          <w:p w14:paraId="67FC5BD6" w14:textId="77777777" w:rsidR="00F776C9" w:rsidRPr="0064357E" w:rsidRDefault="00F776C9" w:rsidP="00140E8F">
            <w:pPr>
              <w:pStyle w:val="BlockText"/>
            </w:pPr>
          </w:p>
          <w:p w14:paraId="24A5BAF8" w14:textId="58569355" w:rsidR="00406E3F" w:rsidRPr="0064357E" w:rsidRDefault="00140E8F" w:rsidP="00140E8F">
            <w:pPr>
              <w:pStyle w:val="BlockText"/>
            </w:pPr>
            <w:r w:rsidRPr="0064357E">
              <w:t>T</w:t>
            </w:r>
            <w:r w:rsidR="00406E3F" w:rsidRPr="0064357E">
              <w:t xml:space="preserve">he table below outlines the </w:t>
            </w:r>
            <w:r w:rsidR="002F5F7A" w:rsidRPr="0064357E">
              <w:t xml:space="preserve">steps the </w:t>
            </w:r>
            <w:r w:rsidR="0048797F" w:rsidRPr="0064357E">
              <w:t>Pension Management Centers (</w:t>
            </w:r>
            <w:r w:rsidR="00406E3F" w:rsidRPr="0064357E">
              <w:t>PMCs</w:t>
            </w:r>
            <w:r w:rsidR="0048797F" w:rsidRPr="0064357E">
              <w:t>)</w:t>
            </w:r>
            <w:r w:rsidR="00406E3F" w:rsidRPr="0064357E">
              <w:t xml:space="preserve"> </w:t>
            </w:r>
            <w:r w:rsidR="002F5F7A" w:rsidRPr="0064357E">
              <w:t xml:space="preserve">must </w:t>
            </w:r>
            <w:r w:rsidR="00406E3F" w:rsidRPr="0064357E">
              <w:t xml:space="preserve">follow when processing </w:t>
            </w:r>
            <w:r w:rsidR="0048797F" w:rsidRPr="0064357E">
              <w:t>Income Verification Match (</w:t>
            </w:r>
            <w:r w:rsidR="00406E3F" w:rsidRPr="0064357E">
              <w:t>IVM</w:t>
            </w:r>
            <w:r w:rsidR="0048797F" w:rsidRPr="0064357E">
              <w:t>)</w:t>
            </w:r>
            <w:r w:rsidR="00406E3F" w:rsidRPr="0064357E">
              <w:t xml:space="preserve"> reports.</w:t>
            </w:r>
          </w:p>
          <w:p w14:paraId="648D6039" w14:textId="1EB151F6" w:rsidR="00406E3F" w:rsidRPr="0064357E" w:rsidRDefault="00406E3F" w:rsidP="00140E8F"/>
          <w:tbl>
            <w:tblPr>
              <w:tblStyle w:val="TableGrid"/>
              <w:tblW w:w="7574" w:type="dxa"/>
              <w:tblLayout w:type="fixed"/>
              <w:tblLook w:val="04A0" w:firstRow="1" w:lastRow="0" w:firstColumn="1" w:lastColumn="0" w:noHBand="0" w:noVBand="1"/>
            </w:tblPr>
            <w:tblGrid>
              <w:gridCol w:w="787"/>
              <w:gridCol w:w="6787"/>
            </w:tblGrid>
            <w:tr w:rsidR="00406E3F" w:rsidRPr="0064357E" w14:paraId="6F12D590" w14:textId="77777777" w:rsidTr="00AA0409">
              <w:trPr>
                <w:trHeight w:val="291"/>
              </w:trPr>
              <w:tc>
                <w:tcPr>
                  <w:tcW w:w="787" w:type="dxa"/>
                </w:tcPr>
                <w:p w14:paraId="1B98300C" w14:textId="66496EEC" w:rsidR="00406E3F" w:rsidRPr="0064357E" w:rsidRDefault="00406E3F" w:rsidP="00140E8F">
                  <w:pPr>
                    <w:jc w:val="center"/>
                    <w:rPr>
                      <w:b/>
                    </w:rPr>
                  </w:pPr>
                  <w:r w:rsidRPr="0064357E">
                    <w:rPr>
                      <w:b/>
                    </w:rPr>
                    <w:t>Step</w:t>
                  </w:r>
                </w:p>
              </w:tc>
              <w:tc>
                <w:tcPr>
                  <w:tcW w:w="6787" w:type="dxa"/>
                </w:tcPr>
                <w:p w14:paraId="387802DE" w14:textId="18C23D99" w:rsidR="00406E3F" w:rsidRPr="0064357E" w:rsidRDefault="00406E3F" w:rsidP="00140E8F">
                  <w:pPr>
                    <w:jc w:val="center"/>
                    <w:rPr>
                      <w:b/>
                    </w:rPr>
                  </w:pPr>
                  <w:r w:rsidRPr="0064357E">
                    <w:rPr>
                      <w:b/>
                    </w:rPr>
                    <w:t>Action</w:t>
                  </w:r>
                </w:p>
              </w:tc>
            </w:tr>
            <w:tr w:rsidR="00406E3F" w:rsidRPr="0064357E" w14:paraId="2FF84DCD" w14:textId="77777777" w:rsidTr="00AA0409">
              <w:trPr>
                <w:trHeight w:val="291"/>
              </w:trPr>
              <w:tc>
                <w:tcPr>
                  <w:tcW w:w="787" w:type="dxa"/>
                </w:tcPr>
                <w:p w14:paraId="55B6F23F" w14:textId="1BF21E85" w:rsidR="00406E3F" w:rsidRPr="0064357E" w:rsidRDefault="00BA6AF5" w:rsidP="00140E8F">
                  <w:pPr>
                    <w:jc w:val="center"/>
                  </w:pPr>
                  <w:r w:rsidRPr="0064357E">
                    <w:t>1</w:t>
                  </w:r>
                </w:p>
              </w:tc>
              <w:tc>
                <w:tcPr>
                  <w:tcW w:w="6787" w:type="dxa"/>
                </w:tcPr>
                <w:p w14:paraId="51C87A1D" w14:textId="39E85AD0" w:rsidR="00406E3F" w:rsidRPr="0064357E" w:rsidRDefault="00406E3F" w:rsidP="00140E8F">
                  <w:pPr>
                    <w:pStyle w:val="TableText"/>
                    <w:rPr>
                      <w:szCs w:val="24"/>
                    </w:rPr>
                  </w:pPr>
                  <w:r w:rsidRPr="0064357E">
                    <w:rPr>
                      <w:szCs w:val="24"/>
                    </w:rPr>
                    <w:t>The PMC reviews the initial reports</w:t>
                  </w:r>
                  <w:r w:rsidR="002972F0" w:rsidRPr="0064357E">
                    <w:rPr>
                      <w:szCs w:val="24"/>
                    </w:rPr>
                    <w:t xml:space="preserve">, including individual unemployability recipients. </w:t>
                  </w:r>
                </w:p>
                <w:p w14:paraId="130181AE" w14:textId="77777777" w:rsidR="00406E3F" w:rsidRPr="0064357E" w:rsidRDefault="00406E3F" w:rsidP="00140E8F">
                  <w:pPr>
                    <w:pStyle w:val="TableText"/>
                    <w:rPr>
                      <w:szCs w:val="24"/>
                    </w:rPr>
                  </w:pPr>
                </w:p>
                <w:p w14:paraId="23529B14" w14:textId="77777777" w:rsidR="00406E3F" w:rsidRPr="0064357E" w:rsidRDefault="00406E3F" w:rsidP="00140E8F">
                  <w:r w:rsidRPr="0064357E">
                    <w:rPr>
                      <w:b/>
                      <w:bCs/>
                      <w:i/>
                      <w:iCs/>
                    </w:rPr>
                    <w:t>Reference</w:t>
                  </w:r>
                  <w:r w:rsidRPr="0064357E">
                    <w:t xml:space="preserve">:  For more information on initial screening of IVM reports, see </w:t>
                  </w:r>
                  <w:r w:rsidR="007A7D46" w:rsidRPr="0064357E">
                    <w:t xml:space="preserve">M21-1MR, Part X, </w:t>
                  </w:r>
                  <w:r w:rsidR="003F7D00" w:rsidRPr="0064357E">
                    <w:t xml:space="preserve">Chapter </w:t>
                  </w:r>
                  <w:r w:rsidR="007A7D46" w:rsidRPr="0064357E">
                    <w:t>9</w:t>
                  </w:r>
                  <w:r w:rsidR="003F7D00" w:rsidRPr="0064357E">
                    <w:t xml:space="preserve">, Section </w:t>
                  </w:r>
                  <w:r w:rsidR="007A7D46" w:rsidRPr="0064357E">
                    <w:t>C</w:t>
                  </w:r>
                  <w:r w:rsidR="003F7D00" w:rsidRPr="0064357E">
                    <w:t xml:space="preserve">, </w:t>
                  </w:r>
                  <w:proofErr w:type="gramStart"/>
                  <w:r w:rsidR="003F7D00" w:rsidRPr="0064357E">
                    <w:t>Topic</w:t>
                  </w:r>
                  <w:proofErr w:type="gramEnd"/>
                  <w:r w:rsidR="003F7D00" w:rsidRPr="0064357E">
                    <w:t xml:space="preserve"> 5</w:t>
                  </w:r>
                  <w:r w:rsidRPr="0064357E">
                    <w:t>.</w:t>
                  </w:r>
                </w:p>
                <w:p w14:paraId="66784B94" w14:textId="2DDCEB8B" w:rsidR="00D55F21" w:rsidRPr="0064357E" w:rsidRDefault="00D55F21" w:rsidP="00140E8F"/>
              </w:tc>
            </w:tr>
            <w:tr w:rsidR="00406E3F" w:rsidRPr="0064357E" w14:paraId="6F8EC817" w14:textId="77777777" w:rsidTr="00AA0409">
              <w:trPr>
                <w:trHeight w:val="307"/>
              </w:trPr>
              <w:tc>
                <w:tcPr>
                  <w:tcW w:w="787" w:type="dxa"/>
                </w:tcPr>
                <w:p w14:paraId="63CD6D90" w14:textId="21F0B6A8" w:rsidR="00406E3F" w:rsidRPr="0064357E" w:rsidRDefault="00BA6AF5" w:rsidP="00140E8F">
                  <w:pPr>
                    <w:jc w:val="center"/>
                  </w:pPr>
                  <w:r w:rsidRPr="0064357E">
                    <w:t>2</w:t>
                  </w:r>
                </w:p>
              </w:tc>
              <w:tc>
                <w:tcPr>
                  <w:tcW w:w="6787" w:type="dxa"/>
                </w:tcPr>
                <w:p w14:paraId="09048A2E" w14:textId="77777777" w:rsidR="00406E3F" w:rsidRPr="0064357E" w:rsidRDefault="00406E3F" w:rsidP="00140E8F">
                  <w:pPr>
                    <w:pStyle w:val="TableText"/>
                    <w:rPr>
                      <w:szCs w:val="24"/>
                    </w:rPr>
                  </w:pPr>
                  <w:r w:rsidRPr="0064357E">
                    <w:rPr>
                      <w:szCs w:val="24"/>
                    </w:rPr>
                    <w:t>Are verification of income and further development needed?</w:t>
                  </w:r>
                </w:p>
                <w:p w14:paraId="6DAD8385" w14:textId="77777777" w:rsidR="007A7D46" w:rsidRPr="0064357E" w:rsidRDefault="007A7D46" w:rsidP="00140E8F">
                  <w:pPr>
                    <w:pStyle w:val="TableText"/>
                    <w:rPr>
                      <w:szCs w:val="24"/>
                    </w:rPr>
                  </w:pPr>
                </w:p>
                <w:tbl>
                  <w:tblPr>
                    <w:tblStyle w:val="TableGrid"/>
                    <w:tblW w:w="0" w:type="auto"/>
                    <w:tblLayout w:type="fixed"/>
                    <w:tblLook w:val="04A0" w:firstRow="1" w:lastRow="0" w:firstColumn="1" w:lastColumn="0" w:noHBand="0" w:noVBand="1"/>
                  </w:tblPr>
                  <w:tblGrid>
                    <w:gridCol w:w="697"/>
                    <w:gridCol w:w="5859"/>
                  </w:tblGrid>
                  <w:tr w:rsidR="007A7D46" w:rsidRPr="0064357E" w14:paraId="7CC9AB91" w14:textId="77777777" w:rsidTr="00BA6AF5">
                    <w:tc>
                      <w:tcPr>
                        <w:tcW w:w="697" w:type="dxa"/>
                      </w:tcPr>
                      <w:p w14:paraId="6C5753E6" w14:textId="4635382B" w:rsidR="007A7D46" w:rsidRPr="0064357E" w:rsidRDefault="007A7D46" w:rsidP="00140E8F">
                        <w:pPr>
                          <w:pStyle w:val="TableText"/>
                          <w:rPr>
                            <w:b/>
                            <w:szCs w:val="24"/>
                          </w:rPr>
                        </w:pPr>
                        <w:r w:rsidRPr="0064357E">
                          <w:rPr>
                            <w:b/>
                            <w:szCs w:val="24"/>
                          </w:rPr>
                          <w:t>If…</w:t>
                        </w:r>
                      </w:p>
                    </w:tc>
                    <w:tc>
                      <w:tcPr>
                        <w:tcW w:w="5859" w:type="dxa"/>
                      </w:tcPr>
                      <w:p w14:paraId="6D3A9DEE" w14:textId="53647908" w:rsidR="007A7D46" w:rsidRPr="0064357E" w:rsidRDefault="007A7D46" w:rsidP="00140E8F">
                        <w:pPr>
                          <w:pStyle w:val="TableText"/>
                          <w:rPr>
                            <w:b/>
                            <w:szCs w:val="24"/>
                          </w:rPr>
                        </w:pPr>
                        <w:r w:rsidRPr="0064357E">
                          <w:rPr>
                            <w:b/>
                            <w:szCs w:val="24"/>
                          </w:rPr>
                          <w:t>Then…</w:t>
                        </w:r>
                      </w:p>
                    </w:tc>
                  </w:tr>
                  <w:tr w:rsidR="007A7D46" w:rsidRPr="0064357E" w14:paraId="71B001C8" w14:textId="77777777" w:rsidTr="00BA6AF5">
                    <w:tc>
                      <w:tcPr>
                        <w:tcW w:w="697" w:type="dxa"/>
                      </w:tcPr>
                      <w:p w14:paraId="5FC7E078" w14:textId="674BF228" w:rsidR="007A7D46" w:rsidRPr="0064357E" w:rsidRDefault="007A7D46" w:rsidP="00140E8F">
                        <w:pPr>
                          <w:pStyle w:val="TableText"/>
                          <w:rPr>
                            <w:szCs w:val="24"/>
                          </w:rPr>
                        </w:pPr>
                        <w:r w:rsidRPr="0064357E">
                          <w:rPr>
                            <w:szCs w:val="24"/>
                          </w:rPr>
                          <w:t>yes</w:t>
                        </w:r>
                      </w:p>
                    </w:tc>
                    <w:tc>
                      <w:tcPr>
                        <w:tcW w:w="5859" w:type="dxa"/>
                      </w:tcPr>
                      <w:p w14:paraId="11FB531C" w14:textId="21CD05AC" w:rsidR="007A7D46" w:rsidRPr="0064357E" w:rsidRDefault="007A7D46" w:rsidP="00140E8F">
                        <w:pPr>
                          <w:pStyle w:val="TableText"/>
                          <w:rPr>
                            <w:szCs w:val="24"/>
                          </w:rPr>
                        </w:pPr>
                        <w:proofErr w:type="gramStart"/>
                        <w:r w:rsidRPr="0064357E">
                          <w:rPr>
                            <w:szCs w:val="24"/>
                          </w:rPr>
                          <w:t>the</w:t>
                        </w:r>
                        <w:proofErr w:type="gramEnd"/>
                        <w:r w:rsidRPr="0064357E">
                          <w:rPr>
                            <w:szCs w:val="24"/>
                          </w:rPr>
                          <w:t xml:space="preserve"> </w:t>
                        </w:r>
                        <w:r w:rsidR="00140E8F" w:rsidRPr="0064357E">
                          <w:rPr>
                            <w:szCs w:val="24"/>
                          </w:rPr>
                          <w:t>PMC develops for information needed to verify the income information.</w:t>
                        </w:r>
                      </w:p>
                    </w:tc>
                  </w:tr>
                  <w:tr w:rsidR="007A7D46" w:rsidRPr="0064357E" w14:paraId="6F1A9D4F" w14:textId="77777777" w:rsidTr="00BA6AF5">
                    <w:tc>
                      <w:tcPr>
                        <w:tcW w:w="697" w:type="dxa"/>
                      </w:tcPr>
                      <w:p w14:paraId="084140BC" w14:textId="2E870B0A" w:rsidR="007A7D46" w:rsidRPr="0064357E" w:rsidRDefault="007A7D46" w:rsidP="00140E8F">
                        <w:pPr>
                          <w:pStyle w:val="TableText"/>
                          <w:rPr>
                            <w:szCs w:val="24"/>
                          </w:rPr>
                        </w:pPr>
                        <w:r w:rsidRPr="0064357E">
                          <w:rPr>
                            <w:szCs w:val="24"/>
                          </w:rPr>
                          <w:t>no</w:t>
                        </w:r>
                      </w:p>
                    </w:tc>
                    <w:tc>
                      <w:tcPr>
                        <w:tcW w:w="5859" w:type="dxa"/>
                      </w:tcPr>
                      <w:p w14:paraId="4A5D0F23" w14:textId="5F3BD15A" w:rsidR="007A7D46" w:rsidRPr="0064357E" w:rsidRDefault="007A7D46" w:rsidP="00140E8F">
                        <w:pPr>
                          <w:pStyle w:val="TableText"/>
                          <w:rPr>
                            <w:szCs w:val="24"/>
                          </w:rPr>
                        </w:pPr>
                        <w:proofErr w:type="gramStart"/>
                        <w:r w:rsidRPr="0064357E">
                          <w:rPr>
                            <w:szCs w:val="24"/>
                          </w:rPr>
                          <w:t>the</w:t>
                        </w:r>
                        <w:proofErr w:type="gramEnd"/>
                        <w:r w:rsidRPr="0064357E">
                          <w:rPr>
                            <w:szCs w:val="24"/>
                          </w:rPr>
                          <w:t xml:space="preserve"> PMC takes action as shown in M21-1, Part X, </w:t>
                        </w:r>
                        <w:r w:rsidR="003F7D00" w:rsidRPr="0064357E">
                          <w:rPr>
                            <w:szCs w:val="24"/>
                          </w:rPr>
                          <w:t xml:space="preserve">Chapter </w:t>
                        </w:r>
                        <w:r w:rsidRPr="0064357E">
                          <w:rPr>
                            <w:szCs w:val="24"/>
                          </w:rPr>
                          <w:t>9</w:t>
                        </w:r>
                        <w:r w:rsidR="003F7D00" w:rsidRPr="0064357E">
                          <w:rPr>
                            <w:szCs w:val="24"/>
                          </w:rPr>
                          <w:t>,Section C, Topic 5</w:t>
                        </w:r>
                        <w:r w:rsidRPr="0064357E">
                          <w:rPr>
                            <w:szCs w:val="24"/>
                          </w:rPr>
                          <w:t>.</w:t>
                        </w:r>
                      </w:p>
                    </w:tc>
                  </w:tr>
                </w:tbl>
                <w:p w14:paraId="5AF12113" w14:textId="6D1D97BA" w:rsidR="00406E3F" w:rsidRPr="0064357E" w:rsidRDefault="00D55F21" w:rsidP="00BA6AF5">
                  <w:pPr>
                    <w:pStyle w:val="BulletText1"/>
                    <w:numPr>
                      <w:ilvl w:val="0"/>
                      <w:numId w:val="0"/>
                    </w:numPr>
                    <w:ind w:left="187"/>
                    <w:rPr>
                      <w:szCs w:val="24"/>
                    </w:rPr>
                  </w:pPr>
                  <w:r w:rsidRPr="0064357E">
                    <w:rPr>
                      <w:szCs w:val="24"/>
                    </w:rPr>
                    <w:t xml:space="preserve"> </w:t>
                  </w:r>
                </w:p>
              </w:tc>
            </w:tr>
            <w:tr w:rsidR="00406E3F" w:rsidRPr="0064357E" w14:paraId="6EB0E046" w14:textId="77777777" w:rsidTr="00BA6AF5">
              <w:trPr>
                <w:trHeight w:val="4463"/>
              </w:trPr>
              <w:tc>
                <w:tcPr>
                  <w:tcW w:w="787" w:type="dxa"/>
                </w:tcPr>
                <w:p w14:paraId="7AFCCBDB" w14:textId="2CA75A6D" w:rsidR="00406E3F" w:rsidRPr="0064357E" w:rsidRDefault="00BA6AF5" w:rsidP="00140E8F">
                  <w:pPr>
                    <w:jc w:val="center"/>
                  </w:pPr>
                  <w:r w:rsidRPr="0064357E">
                    <w:t>3</w:t>
                  </w:r>
                </w:p>
              </w:tc>
              <w:tc>
                <w:tcPr>
                  <w:tcW w:w="6787" w:type="dxa"/>
                </w:tcPr>
                <w:p w14:paraId="42C0C07B" w14:textId="657156E4" w:rsidR="00406E3F" w:rsidRPr="0064357E" w:rsidRDefault="00406E3F" w:rsidP="00140E8F">
                  <w:pPr>
                    <w:pStyle w:val="TableText"/>
                    <w:rPr>
                      <w:szCs w:val="24"/>
                    </w:rPr>
                  </w:pPr>
                  <w:r w:rsidRPr="0064357E">
                    <w:rPr>
                      <w:szCs w:val="24"/>
                    </w:rPr>
                    <w:t>Will benefits be reduced or terminated based on the results of the development?</w:t>
                  </w:r>
                </w:p>
                <w:p w14:paraId="77A4FD0E" w14:textId="69FC5B3F" w:rsidR="00406E3F" w:rsidRPr="0064357E" w:rsidRDefault="00406E3F" w:rsidP="00140E8F"/>
                <w:tbl>
                  <w:tblPr>
                    <w:tblStyle w:val="TableGrid"/>
                    <w:tblW w:w="6547" w:type="dxa"/>
                    <w:tblLayout w:type="fixed"/>
                    <w:tblLook w:val="04A0" w:firstRow="1" w:lastRow="0" w:firstColumn="1" w:lastColumn="0" w:noHBand="0" w:noVBand="1"/>
                  </w:tblPr>
                  <w:tblGrid>
                    <w:gridCol w:w="697"/>
                    <w:gridCol w:w="5850"/>
                  </w:tblGrid>
                  <w:tr w:rsidR="00AA0409" w:rsidRPr="0064357E" w14:paraId="16CD351B" w14:textId="77777777" w:rsidTr="00BA6AF5">
                    <w:trPr>
                      <w:trHeight w:val="274"/>
                    </w:trPr>
                    <w:tc>
                      <w:tcPr>
                        <w:tcW w:w="697" w:type="dxa"/>
                      </w:tcPr>
                      <w:p w14:paraId="54AB289F" w14:textId="52BEF4A5" w:rsidR="00AA0409" w:rsidRPr="0064357E" w:rsidRDefault="00AA0409" w:rsidP="00140E8F">
                        <w:pPr>
                          <w:rPr>
                            <w:b/>
                          </w:rPr>
                        </w:pPr>
                        <w:r w:rsidRPr="0064357E">
                          <w:rPr>
                            <w:b/>
                          </w:rPr>
                          <w:t>If ...</w:t>
                        </w:r>
                      </w:p>
                    </w:tc>
                    <w:tc>
                      <w:tcPr>
                        <w:tcW w:w="5850" w:type="dxa"/>
                      </w:tcPr>
                      <w:p w14:paraId="45422D35" w14:textId="1842F5B5" w:rsidR="00AA0409" w:rsidRPr="0064357E" w:rsidRDefault="00AA0409" w:rsidP="00140E8F">
                        <w:pPr>
                          <w:rPr>
                            <w:b/>
                          </w:rPr>
                        </w:pPr>
                        <w:r w:rsidRPr="0064357E">
                          <w:rPr>
                            <w:b/>
                          </w:rPr>
                          <w:t>Then the PMC ...</w:t>
                        </w:r>
                      </w:p>
                    </w:tc>
                  </w:tr>
                  <w:tr w:rsidR="00AA0409" w:rsidRPr="0064357E" w14:paraId="58D4CE18" w14:textId="77777777" w:rsidTr="00BA6AF5">
                    <w:trPr>
                      <w:trHeight w:val="274"/>
                    </w:trPr>
                    <w:tc>
                      <w:tcPr>
                        <w:tcW w:w="697" w:type="dxa"/>
                      </w:tcPr>
                      <w:p w14:paraId="597B0108" w14:textId="0C276923" w:rsidR="00AA0409" w:rsidRPr="0064357E" w:rsidRDefault="00AA0409" w:rsidP="00140E8F">
                        <w:r w:rsidRPr="0064357E">
                          <w:t>yes</w:t>
                        </w:r>
                      </w:p>
                    </w:tc>
                    <w:tc>
                      <w:tcPr>
                        <w:tcW w:w="5850" w:type="dxa"/>
                      </w:tcPr>
                      <w:p w14:paraId="61420648" w14:textId="77777777" w:rsidR="00AA0409" w:rsidRPr="0064357E" w:rsidRDefault="00AA0409" w:rsidP="00DA4DD0">
                        <w:pPr>
                          <w:pStyle w:val="BulletText2"/>
                          <w:numPr>
                            <w:ilvl w:val="0"/>
                            <w:numId w:val="124"/>
                          </w:numPr>
                          <w:ind w:left="162" w:hanging="162"/>
                          <w:rPr>
                            <w:szCs w:val="24"/>
                          </w:rPr>
                        </w:pPr>
                        <w:r w:rsidRPr="0064357E">
                          <w:rPr>
                            <w:szCs w:val="24"/>
                          </w:rPr>
                          <w:t>initiates due process for pension-related issues under end product (EP) 154, or</w:t>
                        </w:r>
                      </w:p>
                      <w:p w14:paraId="5EE380E6" w14:textId="0CDD46C4" w:rsidR="00AA0409" w:rsidRPr="0064357E" w:rsidRDefault="00AA0409" w:rsidP="00DA4DD0">
                        <w:pPr>
                          <w:pStyle w:val="BulletText2"/>
                          <w:numPr>
                            <w:ilvl w:val="0"/>
                            <w:numId w:val="124"/>
                          </w:numPr>
                          <w:ind w:left="162" w:hanging="162"/>
                        </w:pPr>
                        <w:proofErr w:type="gramStart"/>
                        <w:r w:rsidRPr="0064357E">
                          <w:rPr>
                            <w:szCs w:val="24"/>
                          </w:rPr>
                          <w:t>refers</w:t>
                        </w:r>
                        <w:proofErr w:type="gramEnd"/>
                        <w:r w:rsidRPr="0064357E">
                          <w:rPr>
                            <w:szCs w:val="24"/>
                          </w:rPr>
                          <w:t xml:space="preserve"> cases involving individual unemployability to the </w:t>
                        </w:r>
                        <w:r w:rsidR="0048797F" w:rsidRPr="0064357E">
                          <w:rPr>
                            <w:szCs w:val="24"/>
                          </w:rPr>
                          <w:t>home Regional Office (</w:t>
                        </w:r>
                        <w:r w:rsidRPr="0064357E">
                          <w:rPr>
                            <w:szCs w:val="24"/>
                          </w:rPr>
                          <w:t>RO</w:t>
                        </w:r>
                        <w:r w:rsidR="0048797F" w:rsidRPr="0064357E">
                          <w:rPr>
                            <w:szCs w:val="24"/>
                          </w:rPr>
                          <w:t>)</w:t>
                        </w:r>
                        <w:r w:rsidRPr="0064357E">
                          <w:rPr>
                            <w:szCs w:val="24"/>
                          </w:rPr>
                          <w:t xml:space="preserve"> of jurisdiction for due process and any necessary rating action. </w:t>
                        </w:r>
                      </w:p>
                    </w:tc>
                  </w:tr>
                  <w:tr w:rsidR="00AA0409" w:rsidRPr="0064357E" w14:paraId="170D71BB" w14:textId="77777777" w:rsidTr="00BA6AF5">
                    <w:trPr>
                      <w:trHeight w:val="289"/>
                    </w:trPr>
                    <w:tc>
                      <w:tcPr>
                        <w:tcW w:w="697" w:type="dxa"/>
                      </w:tcPr>
                      <w:p w14:paraId="76F3670D" w14:textId="5EF92D12" w:rsidR="00AA0409" w:rsidRPr="0064357E" w:rsidRDefault="00AA0409" w:rsidP="00140E8F">
                        <w:r w:rsidRPr="0064357E">
                          <w:t>no</w:t>
                        </w:r>
                      </w:p>
                    </w:tc>
                    <w:tc>
                      <w:tcPr>
                        <w:tcW w:w="5850" w:type="dxa"/>
                      </w:tcPr>
                      <w:p w14:paraId="2507F432" w14:textId="77777777" w:rsidR="00AA0409" w:rsidRPr="0064357E" w:rsidRDefault="00AA0409" w:rsidP="00DA4DD0">
                        <w:pPr>
                          <w:pStyle w:val="BulletText2"/>
                          <w:numPr>
                            <w:ilvl w:val="0"/>
                            <w:numId w:val="125"/>
                          </w:numPr>
                          <w:ind w:left="162" w:hanging="180"/>
                          <w:rPr>
                            <w:szCs w:val="24"/>
                          </w:rPr>
                        </w:pPr>
                        <w:r w:rsidRPr="0064357E">
                          <w:rPr>
                            <w:szCs w:val="24"/>
                          </w:rPr>
                          <w:t>clears the appropriate EP154 or 314</w:t>
                        </w:r>
                      </w:p>
                      <w:p w14:paraId="3D2FFA94" w14:textId="538ECC4C" w:rsidR="00AA0409" w:rsidRPr="0064357E" w:rsidRDefault="00AA0409" w:rsidP="00DA4DD0">
                        <w:pPr>
                          <w:pStyle w:val="BulletText2"/>
                          <w:numPr>
                            <w:ilvl w:val="0"/>
                            <w:numId w:val="125"/>
                          </w:numPr>
                          <w:ind w:left="162" w:hanging="180"/>
                          <w:rPr>
                            <w:szCs w:val="24"/>
                          </w:rPr>
                        </w:pPr>
                        <w:r w:rsidRPr="0064357E">
                          <w:rPr>
                            <w:szCs w:val="24"/>
                          </w:rPr>
                          <w:t xml:space="preserve">removes the IVM file indicator </w:t>
                        </w:r>
                      </w:p>
                      <w:p w14:paraId="01E35CCA" w14:textId="5F3F8FC6" w:rsidR="00AA0409" w:rsidRPr="0064357E" w:rsidRDefault="00AA0409" w:rsidP="00DA4DD0">
                        <w:pPr>
                          <w:pStyle w:val="BulletText2"/>
                          <w:numPr>
                            <w:ilvl w:val="0"/>
                            <w:numId w:val="125"/>
                          </w:numPr>
                          <w:ind w:left="162" w:hanging="180"/>
                        </w:pPr>
                        <w:r w:rsidRPr="0064357E">
                          <w:rPr>
                            <w:szCs w:val="24"/>
                          </w:rPr>
                          <w:t>sends a letter to the beneficiary advising that his/her benefits will remain unchanged, and</w:t>
                        </w:r>
                      </w:p>
                      <w:p w14:paraId="72C552FC" w14:textId="7D346CD1" w:rsidR="00AA0409" w:rsidRPr="0064357E" w:rsidRDefault="00AA0409" w:rsidP="00DA4DD0">
                        <w:pPr>
                          <w:pStyle w:val="BulletText2"/>
                          <w:numPr>
                            <w:ilvl w:val="0"/>
                            <w:numId w:val="125"/>
                          </w:numPr>
                          <w:ind w:left="162" w:hanging="180"/>
                        </w:pPr>
                        <w:proofErr w:type="gramStart"/>
                        <w:r w:rsidRPr="0064357E">
                          <w:rPr>
                            <w:szCs w:val="24"/>
                          </w:rPr>
                          <w:t>annotates</w:t>
                        </w:r>
                        <w:proofErr w:type="gramEnd"/>
                        <w:r w:rsidRPr="0064357E">
                          <w:rPr>
                            <w:szCs w:val="24"/>
                          </w:rPr>
                          <w:t xml:space="preserve"> the copy of this notification letter that EP 154 or 314, as appropriate, was taken.</w:t>
                        </w:r>
                      </w:p>
                    </w:tc>
                  </w:tr>
                </w:tbl>
                <w:p w14:paraId="4F258D77" w14:textId="3314264F" w:rsidR="00406E3F" w:rsidRPr="0064357E" w:rsidRDefault="00D55F21" w:rsidP="00BA6AF5">
                  <w:pPr>
                    <w:pStyle w:val="BulletText1"/>
                    <w:numPr>
                      <w:ilvl w:val="0"/>
                      <w:numId w:val="0"/>
                    </w:numPr>
                    <w:ind w:left="187"/>
                    <w:rPr>
                      <w:szCs w:val="24"/>
                    </w:rPr>
                  </w:pPr>
                  <w:r w:rsidRPr="0064357E">
                    <w:rPr>
                      <w:szCs w:val="24"/>
                    </w:rPr>
                    <w:t xml:space="preserve"> </w:t>
                  </w:r>
                </w:p>
              </w:tc>
            </w:tr>
          </w:tbl>
          <w:p w14:paraId="5A197B96" w14:textId="028C5FA3" w:rsidR="00406E3F" w:rsidRPr="0064357E" w:rsidRDefault="00406E3F" w:rsidP="00140E8F">
            <w:pPr>
              <w:pStyle w:val="BlockText"/>
            </w:pPr>
          </w:p>
        </w:tc>
      </w:tr>
    </w:tbl>
    <w:p w14:paraId="0D9B1FCA" w14:textId="0CFEBF79" w:rsidR="00140E8F" w:rsidRPr="0064357E" w:rsidRDefault="00140E8F" w:rsidP="00BA6AF5">
      <w:pPr>
        <w:pStyle w:val="Heading4"/>
      </w:pPr>
      <w:bookmarkStart w:id="1" w:name="_Toc478814458"/>
    </w:p>
    <w:tbl>
      <w:tblPr>
        <w:tblW w:w="0" w:type="auto"/>
        <w:tblLayout w:type="fixed"/>
        <w:tblLook w:val="0000" w:firstRow="0" w:lastRow="0" w:firstColumn="0" w:lastColumn="0" w:noHBand="0" w:noVBand="0"/>
      </w:tblPr>
      <w:tblGrid>
        <w:gridCol w:w="1728"/>
        <w:gridCol w:w="7740"/>
      </w:tblGrid>
      <w:tr w:rsidR="00140E8F" w:rsidRPr="0064357E" w14:paraId="50B1E997" w14:textId="77777777" w:rsidTr="009A1F45">
        <w:trPr>
          <w:cantSplit/>
          <w:trHeight w:val="1710"/>
        </w:trPr>
        <w:tc>
          <w:tcPr>
            <w:tcW w:w="1728" w:type="dxa"/>
          </w:tcPr>
          <w:p w14:paraId="131F459A" w14:textId="77777777" w:rsidR="00140E8F" w:rsidRPr="0064357E" w:rsidRDefault="00140E8F" w:rsidP="009A1F45">
            <w:pPr>
              <w:pStyle w:val="Heading5"/>
            </w:pPr>
            <w:r w:rsidRPr="0064357E">
              <w:t xml:space="preserve">b.  Independent Verification and Due Process </w:t>
            </w:r>
          </w:p>
        </w:tc>
        <w:tc>
          <w:tcPr>
            <w:tcW w:w="7740" w:type="dxa"/>
          </w:tcPr>
          <w:p w14:paraId="31BDE7C8" w14:textId="3889DC2B" w:rsidR="00140E8F" w:rsidRPr="0064357E" w:rsidRDefault="00140E8F" w:rsidP="009A1F45">
            <w:pPr>
              <w:pStyle w:val="BlockText"/>
            </w:pPr>
            <w:r w:rsidRPr="0064357E">
              <w:t xml:space="preserve">VA </w:t>
            </w:r>
            <w:r w:rsidR="000E55EF" w:rsidRPr="0064357E">
              <w:t>handles</w:t>
            </w:r>
            <w:r w:rsidRPr="0064357E">
              <w:t xml:space="preserve"> this match </w:t>
            </w:r>
            <w:r w:rsidR="000E55EF" w:rsidRPr="0064357E">
              <w:t>differently</w:t>
            </w:r>
            <w:r w:rsidRPr="0064357E">
              <w:t xml:space="preserve"> from other matches</w:t>
            </w:r>
            <w:r w:rsidR="000E55EF" w:rsidRPr="0064357E">
              <w:t>:</w:t>
            </w:r>
          </w:p>
          <w:p w14:paraId="5D71BE65" w14:textId="77777777" w:rsidR="00140E8F" w:rsidRPr="0064357E" w:rsidRDefault="00140E8F" w:rsidP="009A1F45">
            <w:pPr>
              <w:pStyle w:val="BlockText"/>
            </w:pPr>
          </w:p>
          <w:p w14:paraId="6FA20141" w14:textId="1BD02841" w:rsidR="00140E8F" w:rsidRPr="0064357E" w:rsidRDefault="00140E8F" w:rsidP="00DA4DD0">
            <w:pPr>
              <w:pStyle w:val="BlockText"/>
              <w:numPr>
                <w:ilvl w:val="0"/>
                <w:numId w:val="123"/>
              </w:numPr>
              <w:ind w:left="162" w:hanging="162"/>
            </w:pPr>
            <w:r w:rsidRPr="0064357E">
              <w:t xml:space="preserve">In other matches, VA can combine the statutory independent verification and notice requirements into one step </w:t>
            </w:r>
            <w:r w:rsidR="000E55EF" w:rsidRPr="0064357E">
              <w:t xml:space="preserve">with </w:t>
            </w:r>
            <w:r w:rsidRPr="0064357E">
              <w:t>the notice of proposed adverse action</w:t>
            </w:r>
            <w:r w:rsidR="000E55EF" w:rsidRPr="0064357E">
              <w:t xml:space="preserve"> letter</w:t>
            </w:r>
            <w:r w:rsidRPr="0064357E">
              <w:t>.  With this match, VA must complete an income verification process before sending the notice of proposed adverse action</w:t>
            </w:r>
            <w:r w:rsidR="000E55EF" w:rsidRPr="0064357E">
              <w:t xml:space="preserve"> letter</w:t>
            </w:r>
            <w:r w:rsidRPr="0064357E">
              <w:t>.</w:t>
            </w:r>
          </w:p>
          <w:p w14:paraId="35170F47" w14:textId="1EDA255D" w:rsidR="00140E8F" w:rsidRPr="0064357E" w:rsidRDefault="00140E8F" w:rsidP="00B34456">
            <w:pPr>
              <w:pStyle w:val="BlockText"/>
              <w:numPr>
                <w:ilvl w:val="0"/>
                <w:numId w:val="123"/>
              </w:numPr>
              <w:ind w:left="162" w:hanging="162"/>
            </w:pPr>
            <w:r w:rsidRPr="0064357E">
              <w:t>Do not confuse the</w:t>
            </w:r>
            <w:r w:rsidR="002972F0" w:rsidRPr="0064357E">
              <w:t xml:space="preserve"> 30-day</w:t>
            </w:r>
            <w:r w:rsidRPr="0064357E">
              <w:t xml:space="preserve"> verification response period with the 60-day due process period.</w:t>
            </w:r>
          </w:p>
        </w:tc>
      </w:tr>
    </w:tbl>
    <w:p w14:paraId="545B14AE" w14:textId="77777777" w:rsidR="00140E8F" w:rsidRPr="0064357E" w:rsidRDefault="00140E8F" w:rsidP="00140E8F">
      <w:pPr>
        <w:pStyle w:val="BlockLine"/>
      </w:pPr>
    </w:p>
    <w:p w14:paraId="2A42A6F4" w14:textId="3864C9B6" w:rsidR="00140E8F" w:rsidRPr="0064357E" w:rsidRDefault="00140E8F">
      <w:pPr>
        <w:spacing w:after="200" w:line="276" w:lineRule="auto"/>
        <w:rPr>
          <w:rFonts w:ascii="Arial" w:hAnsi="Arial"/>
          <w:b/>
          <w:sz w:val="32"/>
          <w:szCs w:val="20"/>
        </w:rPr>
      </w:pPr>
    </w:p>
    <w:p w14:paraId="30D8BDA8" w14:textId="77777777" w:rsidR="00140E8F" w:rsidRPr="0064357E" w:rsidRDefault="00140E8F">
      <w:pPr>
        <w:spacing w:after="200" w:line="276" w:lineRule="auto"/>
        <w:rPr>
          <w:rFonts w:ascii="Arial" w:hAnsi="Arial"/>
          <w:b/>
          <w:sz w:val="32"/>
          <w:szCs w:val="20"/>
        </w:rPr>
      </w:pPr>
      <w:r w:rsidRPr="0064357E">
        <w:br w:type="page"/>
      </w:r>
    </w:p>
    <w:p w14:paraId="51352F79" w14:textId="51350C6F" w:rsidR="00140E8F" w:rsidRPr="0064357E" w:rsidRDefault="00140E8F" w:rsidP="00140E8F">
      <w:pPr>
        <w:pStyle w:val="Heading4"/>
      </w:pPr>
      <w:r w:rsidRPr="0064357E">
        <w:t xml:space="preserve">2.  Income Verification </w:t>
      </w:r>
      <w:bookmarkEnd w:id="1"/>
    </w:p>
    <w:p w14:paraId="006B09B5" w14:textId="77777777" w:rsidR="00140E8F" w:rsidRPr="0064357E" w:rsidRDefault="00140E8F" w:rsidP="00140E8F">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140E8F" w:rsidRPr="0064357E" w14:paraId="4936B49C" w14:textId="77777777" w:rsidTr="009A1F45">
        <w:trPr>
          <w:cantSplit/>
        </w:trPr>
        <w:tc>
          <w:tcPr>
            <w:tcW w:w="1728" w:type="dxa"/>
          </w:tcPr>
          <w:p w14:paraId="25600294" w14:textId="77777777" w:rsidR="00140E8F" w:rsidRPr="0064357E" w:rsidRDefault="00140E8F" w:rsidP="009A1F45">
            <w:pPr>
              <w:pStyle w:val="Heading5"/>
            </w:pPr>
            <w:r w:rsidRPr="0064357E">
              <w:t>Introduction</w:t>
            </w:r>
          </w:p>
        </w:tc>
        <w:tc>
          <w:tcPr>
            <w:tcW w:w="7740" w:type="dxa"/>
          </w:tcPr>
          <w:p w14:paraId="6F4FA67B" w14:textId="7B2AE2BA" w:rsidR="00140E8F" w:rsidRPr="0064357E" w:rsidRDefault="00140E8F" w:rsidP="009A1F45">
            <w:pPr>
              <w:pStyle w:val="BlockText"/>
            </w:pPr>
            <w:r w:rsidRPr="0064357E">
              <w:t>This topic contains information on income verification, including</w:t>
            </w:r>
          </w:p>
          <w:p w14:paraId="5DB2A34C" w14:textId="77777777" w:rsidR="00140E8F" w:rsidRPr="0064357E" w:rsidRDefault="00140E8F" w:rsidP="009A1F45">
            <w:pPr>
              <w:pStyle w:val="BlockText"/>
            </w:pPr>
          </w:p>
          <w:p w14:paraId="292F7E57" w14:textId="77777777" w:rsidR="00140E8F" w:rsidRPr="0064357E" w:rsidRDefault="00140E8F" w:rsidP="009A1F45">
            <w:pPr>
              <w:pStyle w:val="BulletText1"/>
            </w:pPr>
            <w:r w:rsidRPr="0064357E">
              <w:t>written confirmation</w:t>
            </w:r>
          </w:p>
          <w:p w14:paraId="1E0EA061" w14:textId="77777777" w:rsidR="00140E8F" w:rsidRPr="0064357E" w:rsidRDefault="00140E8F" w:rsidP="009A1F45">
            <w:pPr>
              <w:pStyle w:val="BulletText1"/>
            </w:pPr>
            <w:r w:rsidRPr="0064357E">
              <w:t>neither recipient or payer respond, and</w:t>
            </w:r>
          </w:p>
          <w:p w14:paraId="322B7BBC" w14:textId="77777777" w:rsidR="00140E8F" w:rsidRPr="0064357E" w:rsidRDefault="00140E8F" w:rsidP="009A1F45">
            <w:pPr>
              <w:pStyle w:val="BulletText1"/>
            </w:pPr>
            <w:proofErr w:type="gramStart"/>
            <w:r w:rsidRPr="0064357E">
              <w:t>payer</w:t>
            </w:r>
            <w:proofErr w:type="gramEnd"/>
            <w:r w:rsidRPr="0064357E">
              <w:t xml:space="preserve"> will not furnish information.</w:t>
            </w:r>
          </w:p>
        </w:tc>
      </w:tr>
    </w:tbl>
    <w:p w14:paraId="52BBB24B" w14:textId="77777777" w:rsidR="00140E8F" w:rsidRPr="0064357E" w:rsidRDefault="00140E8F" w:rsidP="00140E8F">
      <w:pPr>
        <w:pStyle w:val="BlockLine"/>
      </w:pPr>
    </w:p>
    <w:tbl>
      <w:tblPr>
        <w:tblW w:w="0" w:type="auto"/>
        <w:tblLayout w:type="fixed"/>
        <w:tblLook w:val="0000" w:firstRow="0" w:lastRow="0" w:firstColumn="0" w:lastColumn="0" w:noHBand="0" w:noVBand="0"/>
      </w:tblPr>
      <w:tblGrid>
        <w:gridCol w:w="1728"/>
        <w:gridCol w:w="7740"/>
      </w:tblGrid>
      <w:tr w:rsidR="00140E8F" w:rsidRPr="0064357E" w14:paraId="385961B1" w14:textId="77777777" w:rsidTr="009A1F45">
        <w:trPr>
          <w:cantSplit/>
        </w:trPr>
        <w:tc>
          <w:tcPr>
            <w:tcW w:w="1728" w:type="dxa"/>
          </w:tcPr>
          <w:p w14:paraId="05B3B720" w14:textId="77777777" w:rsidR="00140E8F" w:rsidRPr="0064357E" w:rsidRDefault="00140E8F" w:rsidP="009A1F45">
            <w:pPr>
              <w:pStyle w:val="Heading5"/>
            </w:pPr>
            <w:r w:rsidRPr="0064357E">
              <w:t>Change Date</w:t>
            </w:r>
          </w:p>
        </w:tc>
        <w:tc>
          <w:tcPr>
            <w:tcW w:w="7740" w:type="dxa"/>
          </w:tcPr>
          <w:p w14:paraId="5A84EBDD" w14:textId="26F8380A" w:rsidR="00140E8F" w:rsidRPr="0064357E" w:rsidRDefault="0064357E" w:rsidP="0064357E">
            <w:pPr>
              <w:tabs>
                <w:tab w:val="left" w:pos="9360"/>
              </w:tabs>
              <w:ind w:left="-18"/>
            </w:pPr>
            <w:r>
              <w:t>March 30, 2015</w:t>
            </w:r>
          </w:p>
        </w:tc>
      </w:tr>
    </w:tbl>
    <w:p w14:paraId="58058610" w14:textId="77777777" w:rsidR="00140E8F" w:rsidRPr="0064357E" w:rsidRDefault="00140E8F" w:rsidP="00140E8F">
      <w:pPr>
        <w:pStyle w:val="BlockLine"/>
      </w:pPr>
      <w:r w:rsidRPr="0064357E">
        <w:t xml:space="preserve"> </w:t>
      </w:r>
    </w:p>
    <w:tbl>
      <w:tblPr>
        <w:tblW w:w="0" w:type="auto"/>
        <w:tblLayout w:type="fixed"/>
        <w:tblLook w:val="0000" w:firstRow="0" w:lastRow="0" w:firstColumn="0" w:lastColumn="0" w:noHBand="0" w:noVBand="0"/>
      </w:tblPr>
      <w:tblGrid>
        <w:gridCol w:w="1728"/>
        <w:gridCol w:w="7740"/>
      </w:tblGrid>
      <w:tr w:rsidR="00140E8F" w:rsidRPr="0064357E" w14:paraId="2DE8EEDA" w14:textId="77777777" w:rsidTr="009A1F45">
        <w:trPr>
          <w:cantSplit/>
        </w:trPr>
        <w:tc>
          <w:tcPr>
            <w:tcW w:w="1728" w:type="dxa"/>
          </w:tcPr>
          <w:p w14:paraId="66F4E795" w14:textId="77777777" w:rsidR="00140E8F" w:rsidRPr="0064357E" w:rsidRDefault="00140E8F" w:rsidP="009A1F45">
            <w:pPr>
              <w:pStyle w:val="Heading5"/>
            </w:pPr>
            <w:r w:rsidRPr="0064357E">
              <w:t xml:space="preserve">a.  Written Confirmation </w:t>
            </w:r>
          </w:p>
        </w:tc>
        <w:tc>
          <w:tcPr>
            <w:tcW w:w="7740" w:type="dxa"/>
          </w:tcPr>
          <w:p w14:paraId="10FA35EB" w14:textId="77777777" w:rsidR="00140E8F" w:rsidRPr="0064357E" w:rsidRDefault="00140E8F" w:rsidP="009A1F45">
            <w:pPr>
              <w:pStyle w:val="BlockText"/>
            </w:pPr>
            <w:r w:rsidRPr="0064357E">
              <w:t>Verification requirements are considered met if VA receives written confirmation from either the income recipient or the income payer.</w:t>
            </w:r>
          </w:p>
          <w:p w14:paraId="7E01104B" w14:textId="77777777" w:rsidR="00140E8F" w:rsidRPr="0064357E" w:rsidRDefault="00140E8F" w:rsidP="009A1F45">
            <w:pPr>
              <w:pStyle w:val="BlockText"/>
            </w:pPr>
          </w:p>
          <w:p w14:paraId="5C651BD0" w14:textId="2E8BFBF0" w:rsidR="00140E8F" w:rsidRPr="0064357E" w:rsidRDefault="00140E8F" w:rsidP="009A1F45">
            <w:pPr>
              <w:pStyle w:val="BlockText"/>
            </w:pPr>
            <w:r w:rsidRPr="0064357E">
              <w:rPr>
                <w:b/>
                <w:i/>
              </w:rPr>
              <w:t>Important</w:t>
            </w:r>
            <w:r w:rsidRPr="0064357E">
              <w:t>:  The income recipient can be either the beneficiary/claimant or the spouse of the beneficiary.</w:t>
            </w:r>
          </w:p>
        </w:tc>
      </w:tr>
    </w:tbl>
    <w:p w14:paraId="5C1FF770" w14:textId="77777777" w:rsidR="00140E8F" w:rsidRPr="0064357E" w:rsidRDefault="00140E8F" w:rsidP="00140E8F">
      <w:pPr>
        <w:pStyle w:val="BlockLine"/>
      </w:pPr>
    </w:p>
    <w:tbl>
      <w:tblPr>
        <w:tblW w:w="0" w:type="auto"/>
        <w:tblLayout w:type="fixed"/>
        <w:tblLook w:val="0000" w:firstRow="0" w:lastRow="0" w:firstColumn="0" w:lastColumn="0" w:noHBand="0" w:noVBand="0"/>
      </w:tblPr>
      <w:tblGrid>
        <w:gridCol w:w="1728"/>
        <w:gridCol w:w="7740"/>
      </w:tblGrid>
      <w:tr w:rsidR="00140E8F" w:rsidRPr="0064357E" w14:paraId="270E6C70" w14:textId="77777777" w:rsidTr="009A1F45">
        <w:trPr>
          <w:cantSplit/>
        </w:trPr>
        <w:tc>
          <w:tcPr>
            <w:tcW w:w="1728" w:type="dxa"/>
          </w:tcPr>
          <w:p w14:paraId="51646026" w14:textId="77777777" w:rsidR="00140E8F" w:rsidRPr="0064357E" w:rsidRDefault="00140E8F" w:rsidP="009A1F45">
            <w:pPr>
              <w:pStyle w:val="Heading5"/>
            </w:pPr>
            <w:r w:rsidRPr="0064357E">
              <w:t>b.  Neither Recipient or Payer Responds</w:t>
            </w:r>
          </w:p>
        </w:tc>
        <w:tc>
          <w:tcPr>
            <w:tcW w:w="7740" w:type="dxa"/>
          </w:tcPr>
          <w:p w14:paraId="12C97131" w14:textId="23F69B32" w:rsidR="00140E8F" w:rsidRPr="0064357E" w:rsidRDefault="00140E8F" w:rsidP="009A1F45">
            <w:pPr>
              <w:pStyle w:val="BlockText"/>
            </w:pPr>
            <w:r w:rsidRPr="0064357E">
              <w:t xml:space="preserve">VA must make reasonable efforts to verify </w:t>
            </w:r>
            <w:r w:rsidR="005C682D" w:rsidRPr="0064357E">
              <w:t>Internal Revenue Service (</w:t>
            </w:r>
            <w:r w:rsidRPr="0064357E">
              <w:t>IRS</w:t>
            </w:r>
            <w:r w:rsidR="005C682D" w:rsidRPr="0064357E">
              <w:t>)</w:t>
            </w:r>
            <w:r w:rsidRPr="0064357E">
              <w:t xml:space="preserve"> return information from a source independent of the IRS.</w:t>
            </w:r>
          </w:p>
          <w:p w14:paraId="5508210B" w14:textId="77777777" w:rsidR="00140E8F" w:rsidRPr="0064357E" w:rsidRDefault="00140E8F" w:rsidP="009A1F45">
            <w:pPr>
              <w:pStyle w:val="BlockText"/>
            </w:pPr>
          </w:p>
          <w:p w14:paraId="33E87E56" w14:textId="6BC1E42D" w:rsidR="00140E8F" w:rsidRPr="0064357E" w:rsidRDefault="00140E8F" w:rsidP="009A1F45">
            <w:pPr>
              <w:pStyle w:val="BlockText"/>
            </w:pPr>
            <w:r w:rsidRPr="0064357E">
              <w:t xml:space="preserve">If neither the income recipient or payer responds and the income recipient was </w:t>
            </w:r>
            <w:r w:rsidR="003E3754" w:rsidRPr="0064357E">
              <w:t xml:space="preserve">either the VA beneficiary or the spouse of the beneficiary the requirement is considered met if VA made a good faith effort to contact the respective payees. </w:t>
            </w:r>
          </w:p>
          <w:p w14:paraId="79436CD3" w14:textId="77777777" w:rsidR="00140E8F" w:rsidRPr="0064357E" w:rsidRDefault="00140E8F" w:rsidP="009A1F45">
            <w:pPr>
              <w:pStyle w:val="BlockText"/>
            </w:pPr>
          </w:p>
          <w:p w14:paraId="25B006A9" w14:textId="77777777" w:rsidR="00140E8F" w:rsidRPr="0064357E" w:rsidRDefault="00140E8F" w:rsidP="009A1F45">
            <w:pPr>
              <w:pStyle w:val="BlockText"/>
            </w:pPr>
          </w:p>
          <w:p w14:paraId="6CFC5324" w14:textId="77777777" w:rsidR="00140E8F" w:rsidRPr="0064357E" w:rsidRDefault="00140E8F" w:rsidP="009A1F45">
            <w:pPr>
              <w:pStyle w:val="BlockText"/>
            </w:pPr>
            <w:r w:rsidRPr="0064357E">
              <w:rPr>
                <w:b/>
                <w:i/>
              </w:rPr>
              <w:t>Note</w:t>
            </w:r>
            <w:r w:rsidRPr="0064357E">
              <w:t xml:space="preserve">:  An attempt </w:t>
            </w:r>
            <w:r w:rsidRPr="0064357E">
              <w:rPr>
                <w:i/>
              </w:rPr>
              <w:t>must</w:t>
            </w:r>
            <w:r w:rsidRPr="0064357E">
              <w:t xml:space="preserve"> have been made to contact the income payer if the income recipient was the VA beneficiary.</w:t>
            </w:r>
          </w:p>
        </w:tc>
      </w:tr>
    </w:tbl>
    <w:p w14:paraId="6F62CECA" w14:textId="77777777" w:rsidR="00140E8F" w:rsidRPr="0064357E" w:rsidRDefault="00140E8F" w:rsidP="00140E8F">
      <w:pPr>
        <w:pStyle w:val="BlockLine"/>
      </w:pPr>
    </w:p>
    <w:tbl>
      <w:tblPr>
        <w:tblW w:w="0" w:type="auto"/>
        <w:tblLayout w:type="fixed"/>
        <w:tblLook w:val="0000" w:firstRow="0" w:lastRow="0" w:firstColumn="0" w:lastColumn="0" w:noHBand="0" w:noVBand="0"/>
      </w:tblPr>
      <w:tblGrid>
        <w:gridCol w:w="1728"/>
        <w:gridCol w:w="7740"/>
      </w:tblGrid>
      <w:tr w:rsidR="00140E8F" w:rsidRPr="0064357E" w14:paraId="3A2E39A2" w14:textId="77777777" w:rsidTr="009A1F45">
        <w:trPr>
          <w:cantSplit/>
        </w:trPr>
        <w:tc>
          <w:tcPr>
            <w:tcW w:w="1728" w:type="dxa"/>
          </w:tcPr>
          <w:p w14:paraId="3CA40DE0" w14:textId="77777777" w:rsidR="00140E8F" w:rsidRPr="0064357E" w:rsidRDefault="00140E8F" w:rsidP="009A1F45">
            <w:pPr>
              <w:pStyle w:val="Heading5"/>
            </w:pPr>
            <w:proofErr w:type="gramStart"/>
            <w:r w:rsidRPr="0064357E">
              <w:t>c.  Payer</w:t>
            </w:r>
            <w:proofErr w:type="gramEnd"/>
            <w:r w:rsidRPr="0064357E">
              <w:t xml:space="preserve"> Will Not Furnish Information</w:t>
            </w:r>
          </w:p>
        </w:tc>
        <w:tc>
          <w:tcPr>
            <w:tcW w:w="7740" w:type="dxa"/>
          </w:tcPr>
          <w:p w14:paraId="7CB512D4" w14:textId="623DAC45" w:rsidR="00140E8F" w:rsidRPr="0064357E" w:rsidRDefault="00140E8F" w:rsidP="009A1F45">
            <w:pPr>
              <w:pStyle w:val="BlockText"/>
            </w:pPr>
            <w:r w:rsidRPr="0064357E">
              <w:t xml:space="preserve">If a response is received that essentially states that the payer will not furnish the information requested, the verification requirement has been met.  </w:t>
            </w:r>
          </w:p>
          <w:p w14:paraId="49A041A8" w14:textId="77777777" w:rsidR="00140E8F" w:rsidRPr="0064357E" w:rsidRDefault="00140E8F" w:rsidP="009A1F45">
            <w:pPr>
              <w:pStyle w:val="BlockText"/>
            </w:pPr>
          </w:p>
          <w:p w14:paraId="06E2DE6F" w14:textId="14DB45C9" w:rsidR="00140E8F" w:rsidRPr="0064357E" w:rsidRDefault="00140E8F" w:rsidP="009A1F45">
            <w:pPr>
              <w:pStyle w:val="BlockText"/>
            </w:pPr>
            <w:r w:rsidRPr="0064357E">
              <w:rPr>
                <w:b/>
                <w:i/>
              </w:rPr>
              <w:t>Reference</w:t>
            </w:r>
            <w:r w:rsidRPr="0064357E">
              <w:t>:</w:t>
            </w:r>
            <w:r w:rsidRPr="0064357E">
              <w:rPr>
                <w:b/>
              </w:rPr>
              <w:t xml:space="preserve"> </w:t>
            </w:r>
            <w:r w:rsidRPr="0064357E">
              <w:t xml:space="preserve"> For more information on the efforts to clarify disputed amounts, see M21-1MR, Part X, </w:t>
            </w:r>
            <w:r w:rsidR="00722421" w:rsidRPr="0064357E">
              <w:t xml:space="preserve">Chapter 9, </w:t>
            </w:r>
            <w:proofErr w:type="gramStart"/>
            <w:r w:rsidR="00722421" w:rsidRPr="0064357E">
              <w:t>Topic</w:t>
            </w:r>
            <w:proofErr w:type="gramEnd"/>
            <w:r w:rsidR="00722421" w:rsidRPr="0064357E">
              <w:t xml:space="preserve"> 1</w:t>
            </w:r>
            <w:r w:rsidRPr="0064357E">
              <w:t>2.</w:t>
            </w:r>
          </w:p>
          <w:p w14:paraId="2403A06D" w14:textId="77777777" w:rsidR="00140E8F" w:rsidRPr="0064357E" w:rsidRDefault="00140E8F" w:rsidP="009A1F45">
            <w:pPr>
              <w:pStyle w:val="BlockText"/>
            </w:pPr>
          </w:p>
        </w:tc>
      </w:tr>
    </w:tbl>
    <w:p w14:paraId="329FA469" w14:textId="77777777" w:rsidR="00155BED" w:rsidRPr="0064357E" w:rsidRDefault="00155BED" w:rsidP="00140E8F">
      <w:pPr>
        <w:pStyle w:val="BlockLine"/>
        <w:spacing w:before="0"/>
      </w:pPr>
    </w:p>
    <w:p w14:paraId="191F4331" w14:textId="77777777" w:rsidR="00713BAC" w:rsidRPr="0064357E" w:rsidRDefault="00713BAC" w:rsidP="008A5C15"/>
    <w:p w14:paraId="5F6163B3" w14:textId="77777777" w:rsidR="00713BAC" w:rsidRPr="0064357E" w:rsidRDefault="00713BAC" w:rsidP="008A5C15"/>
    <w:p w14:paraId="363AAD02" w14:textId="77777777" w:rsidR="00713BAC" w:rsidRPr="0064357E" w:rsidRDefault="00713BAC" w:rsidP="008A5C15"/>
    <w:p w14:paraId="040BFD8C" w14:textId="77777777" w:rsidR="00713BAC" w:rsidRPr="0064357E" w:rsidRDefault="00713BAC" w:rsidP="008A5C15"/>
    <w:p w14:paraId="386D8C73" w14:textId="77777777" w:rsidR="00713BAC" w:rsidRPr="0064357E" w:rsidRDefault="00713BAC" w:rsidP="008A5C15"/>
    <w:p w14:paraId="329FA483" w14:textId="6503F0D8" w:rsidR="00155BED" w:rsidRPr="0064357E" w:rsidRDefault="00E675C6" w:rsidP="00155BED">
      <w:pPr>
        <w:pStyle w:val="Heading4"/>
      </w:pPr>
      <w:bookmarkStart w:id="2" w:name="_Toc478814460"/>
      <w:r w:rsidRPr="0064357E">
        <w:t>3</w:t>
      </w:r>
      <w:r w:rsidR="00155BED" w:rsidRPr="0064357E">
        <w:t>.  Initial Verification Requests</w:t>
      </w:r>
      <w:bookmarkEnd w:id="2"/>
    </w:p>
    <w:p w14:paraId="329FA484" w14:textId="77777777" w:rsidR="00155BED" w:rsidRPr="0064357E" w:rsidRDefault="00155BED" w:rsidP="00155BED">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155BED" w:rsidRPr="0064357E" w14:paraId="329FA491" w14:textId="77777777" w:rsidTr="00827000">
        <w:trPr>
          <w:cantSplit/>
        </w:trPr>
        <w:tc>
          <w:tcPr>
            <w:tcW w:w="1728" w:type="dxa"/>
          </w:tcPr>
          <w:p w14:paraId="329FA485" w14:textId="77777777" w:rsidR="00155BED" w:rsidRPr="0064357E" w:rsidRDefault="00155BED" w:rsidP="00827000">
            <w:pPr>
              <w:pStyle w:val="Heading5"/>
            </w:pPr>
            <w:r w:rsidRPr="0064357E">
              <w:t>Introduction</w:t>
            </w:r>
          </w:p>
        </w:tc>
        <w:tc>
          <w:tcPr>
            <w:tcW w:w="7740" w:type="dxa"/>
          </w:tcPr>
          <w:p w14:paraId="329FA486" w14:textId="77777777" w:rsidR="00155BED" w:rsidRPr="0064357E" w:rsidRDefault="00155BED" w:rsidP="00827000">
            <w:pPr>
              <w:pStyle w:val="BlockText"/>
            </w:pPr>
            <w:r w:rsidRPr="0064357E">
              <w:t>This topic contains information on initial verification requests, including</w:t>
            </w:r>
          </w:p>
          <w:p w14:paraId="329FA487" w14:textId="77777777" w:rsidR="00155BED" w:rsidRPr="0064357E" w:rsidRDefault="00155BED" w:rsidP="00827000">
            <w:pPr>
              <w:pStyle w:val="BlockText"/>
            </w:pPr>
          </w:p>
          <w:p w14:paraId="329FA488" w14:textId="77777777" w:rsidR="00155BED" w:rsidRPr="0064357E" w:rsidRDefault="00155BED" w:rsidP="00DA4DD0">
            <w:pPr>
              <w:pStyle w:val="ListParagraph"/>
              <w:numPr>
                <w:ilvl w:val="0"/>
                <w:numId w:val="4"/>
              </w:numPr>
              <w:ind w:left="158" w:hanging="187"/>
            </w:pPr>
            <w:r w:rsidRPr="0064357E">
              <w:t>earned income</w:t>
            </w:r>
          </w:p>
          <w:p w14:paraId="329FA489" w14:textId="77777777" w:rsidR="00155BED" w:rsidRPr="0064357E" w:rsidRDefault="00155BED" w:rsidP="00DA4DD0">
            <w:pPr>
              <w:pStyle w:val="ListParagraph"/>
              <w:numPr>
                <w:ilvl w:val="0"/>
                <w:numId w:val="9"/>
              </w:numPr>
              <w:ind w:left="346" w:hanging="187"/>
            </w:pPr>
            <w:r w:rsidRPr="0064357E">
              <w:t>payer letters, and</w:t>
            </w:r>
          </w:p>
          <w:p w14:paraId="329FA48A" w14:textId="77777777" w:rsidR="00155BED" w:rsidRPr="0064357E" w:rsidRDefault="00155BED" w:rsidP="00DA4DD0">
            <w:pPr>
              <w:pStyle w:val="ListParagraph"/>
              <w:numPr>
                <w:ilvl w:val="0"/>
                <w:numId w:val="10"/>
              </w:numPr>
              <w:ind w:left="346" w:hanging="187"/>
            </w:pPr>
            <w:r w:rsidRPr="0064357E">
              <w:t>recipient letters</w:t>
            </w:r>
          </w:p>
          <w:p w14:paraId="329FA48B" w14:textId="77777777" w:rsidR="00155BED" w:rsidRPr="0064357E" w:rsidRDefault="00155BED" w:rsidP="00DA4DD0">
            <w:pPr>
              <w:pStyle w:val="ListParagraph"/>
              <w:numPr>
                <w:ilvl w:val="0"/>
                <w:numId w:val="5"/>
              </w:numPr>
              <w:ind w:left="158" w:hanging="187"/>
            </w:pPr>
            <w:r w:rsidRPr="0064357E">
              <w:t>unearned income</w:t>
            </w:r>
          </w:p>
          <w:p w14:paraId="329FA48C" w14:textId="77777777" w:rsidR="00155BED" w:rsidRPr="0064357E" w:rsidRDefault="00155BED" w:rsidP="00DA4DD0">
            <w:pPr>
              <w:pStyle w:val="ListParagraph"/>
              <w:numPr>
                <w:ilvl w:val="0"/>
                <w:numId w:val="11"/>
              </w:numPr>
              <w:ind w:left="346" w:hanging="187"/>
            </w:pPr>
            <w:r w:rsidRPr="0064357E">
              <w:t>payer letters, and</w:t>
            </w:r>
          </w:p>
          <w:p w14:paraId="329FA48D" w14:textId="77777777" w:rsidR="00155BED" w:rsidRPr="0064357E" w:rsidRDefault="00155BED" w:rsidP="00DA4DD0">
            <w:pPr>
              <w:pStyle w:val="ListParagraph"/>
              <w:numPr>
                <w:ilvl w:val="0"/>
                <w:numId w:val="12"/>
              </w:numPr>
              <w:ind w:left="346" w:hanging="187"/>
            </w:pPr>
            <w:r w:rsidRPr="0064357E">
              <w:t>recipient letters</w:t>
            </w:r>
          </w:p>
          <w:p w14:paraId="329FA48E" w14:textId="77777777" w:rsidR="00155BED" w:rsidRPr="0064357E" w:rsidRDefault="00155BED" w:rsidP="00DA4DD0">
            <w:pPr>
              <w:pStyle w:val="ListParagraph"/>
              <w:numPr>
                <w:ilvl w:val="0"/>
                <w:numId w:val="6"/>
              </w:numPr>
              <w:ind w:left="158" w:hanging="187"/>
            </w:pPr>
            <w:r w:rsidRPr="0064357E">
              <w:t>incompetent payees</w:t>
            </w:r>
          </w:p>
          <w:p w14:paraId="329FA48F" w14:textId="77777777" w:rsidR="00155BED" w:rsidRPr="0064357E" w:rsidRDefault="00155BED" w:rsidP="00DA4DD0">
            <w:pPr>
              <w:pStyle w:val="ListParagraph"/>
              <w:numPr>
                <w:ilvl w:val="0"/>
                <w:numId w:val="7"/>
              </w:numPr>
              <w:ind w:left="158" w:hanging="187"/>
            </w:pPr>
            <w:r w:rsidRPr="0064357E">
              <w:t>worksheets, and</w:t>
            </w:r>
          </w:p>
          <w:p w14:paraId="329FA490" w14:textId="77777777" w:rsidR="00155BED" w:rsidRPr="0064357E" w:rsidRDefault="00155BED" w:rsidP="00DA4DD0">
            <w:pPr>
              <w:pStyle w:val="ListParagraph"/>
              <w:numPr>
                <w:ilvl w:val="0"/>
                <w:numId w:val="8"/>
              </w:numPr>
              <w:ind w:left="158" w:hanging="187"/>
            </w:pPr>
            <w:r w:rsidRPr="0064357E">
              <w:t>workload control.</w:t>
            </w:r>
          </w:p>
        </w:tc>
      </w:tr>
    </w:tbl>
    <w:p w14:paraId="329FA492" w14:textId="77777777" w:rsidR="00155BED" w:rsidRPr="0064357E" w:rsidRDefault="00155BED" w:rsidP="00155BED">
      <w:pPr>
        <w:pStyle w:val="BlockLine"/>
      </w:pPr>
    </w:p>
    <w:tbl>
      <w:tblPr>
        <w:tblW w:w="0" w:type="auto"/>
        <w:tblLayout w:type="fixed"/>
        <w:tblLook w:val="0000" w:firstRow="0" w:lastRow="0" w:firstColumn="0" w:lastColumn="0" w:noHBand="0" w:noVBand="0"/>
      </w:tblPr>
      <w:tblGrid>
        <w:gridCol w:w="1728"/>
        <w:gridCol w:w="7740"/>
      </w:tblGrid>
      <w:tr w:rsidR="00155BED" w:rsidRPr="0064357E" w14:paraId="329FA495" w14:textId="77777777" w:rsidTr="00827000">
        <w:trPr>
          <w:cantSplit/>
        </w:trPr>
        <w:tc>
          <w:tcPr>
            <w:tcW w:w="1728" w:type="dxa"/>
          </w:tcPr>
          <w:p w14:paraId="329FA493" w14:textId="77777777" w:rsidR="00155BED" w:rsidRPr="0064357E" w:rsidRDefault="00155BED" w:rsidP="00827000">
            <w:pPr>
              <w:pStyle w:val="Heading5"/>
            </w:pPr>
            <w:r w:rsidRPr="0064357E">
              <w:t>Change Date</w:t>
            </w:r>
          </w:p>
        </w:tc>
        <w:tc>
          <w:tcPr>
            <w:tcW w:w="7740" w:type="dxa"/>
          </w:tcPr>
          <w:p w14:paraId="329FA494" w14:textId="2F23EA88" w:rsidR="00155BED" w:rsidRPr="0064357E" w:rsidRDefault="0064357E" w:rsidP="0064357E">
            <w:pPr>
              <w:tabs>
                <w:tab w:val="left" w:pos="9360"/>
              </w:tabs>
              <w:ind w:left="-18"/>
            </w:pPr>
            <w:r>
              <w:t>March 30, 2015</w:t>
            </w:r>
          </w:p>
        </w:tc>
      </w:tr>
    </w:tbl>
    <w:p w14:paraId="329FA496" w14:textId="77777777" w:rsidR="00155BED" w:rsidRPr="0064357E" w:rsidRDefault="00155BED" w:rsidP="00155BED">
      <w:pPr>
        <w:pStyle w:val="BlockLine"/>
      </w:pPr>
      <w:r w:rsidRPr="0064357E">
        <w:t xml:space="preserve"> </w:t>
      </w:r>
    </w:p>
    <w:tbl>
      <w:tblPr>
        <w:tblW w:w="0" w:type="auto"/>
        <w:tblLayout w:type="fixed"/>
        <w:tblLook w:val="0000" w:firstRow="0" w:lastRow="0" w:firstColumn="0" w:lastColumn="0" w:noHBand="0" w:noVBand="0"/>
      </w:tblPr>
      <w:tblGrid>
        <w:gridCol w:w="1728"/>
        <w:gridCol w:w="7740"/>
      </w:tblGrid>
      <w:tr w:rsidR="00155BED" w:rsidRPr="0064357E" w14:paraId="329FA49E" w14:textId="77777777" w:rsidTr="00827000">
        <w:trPr>
          <w:cantSplit/>
        </w:trPr>
        <w:tc>
          <w:tcPr>
            <w:tcW w:w="1728" w:type="dxa"/>
          </w:tcPr>
          <w:p w14:paraId="329FA497" w14:textId="77777777" w:rsidR="00155BED" w:rsidRPr="0064357E" w:rsidRDefault="00155BED" w:rsidP="00827000">
            <w:pPr>
              <w:pStyle w:val="Heading5"/>
            </w:pPr>
            <w:proofErr w:type="gramStart"/>
            <w:r w:rsidRPr="0064357E">
              <w:t>a.  Earned</w:t>
            </w:r>
            <w:proofErr w:type="gramEnd"/>
            <w:r w:rsidRPr="0064357E">
              <w:t xml:space="preserve"> Income Payer Letters</w:t>
            </w:r>
          </w:p>
        </w:tc>
        <w:tc>
          <w:tcPr>
            <w:tcW w:w="7740" w:type="dxa"/>
          </w:tcPr>
          <w:p w14:paraId="329FA498" w14:textId="7BE2027E" w:rsidR="00155BED" w:rsidRPr="0064357E" w:rsidRDefault="00155BED" w:rsidP="00827000">
            <w:pPr>
              <w:pStyle w:val="BlockText"/>
            </w:pPr>
            <w:r w:rsidRPr="0064357E">
              <w:t xml:space="preserve">The </w:t>
            </w:r>
            <w:r w:rsidR="00E675C6" w:rsidRPr="0064357E">
              <w:t xml:space="preserve">Hines </w:t>
            </w:r>
            <w:r w:rsidR="0059259B" w:rsidRPr="0064357E">
              <w:t>Information Technology Center (H</w:t>
            </w:r>
            <w:r w:rsidR="00E675C6" w:rsidRPr="0064357E">
              <w:t>ITC</w:t>
            </w:r>
            <w:r w:rsidR="0059259B" w:rsidRPr="0064357E">
              <w:t>)</w:t>
            </w:r>
            <w:r w:rsidRPr="0064357E">
              <w:t xml:space="preserve"> sends letters directly to </w:t>
            </w:r>
            <w:r w:rsidRPr="0064357E">
              <w:rPr>
                <w:i/>
              </w:rPr>
              <w:t>payers</w:t>
            </w:r>
            <w:r w:rsidRPr="0064357E">
              <w:t xml:space="preserve"> of earned income.</w:t>
            </w:r>
          </w:p>
          <w:p w14:paraId="329FA499" w14:textId="77777777" w:rsidR="00155BED" w:rsidRPr="0064357E" w:rsidRDefault="00155BED" w:rsidP="00827000">
            <w:pPr>
              <w:pStyle w:val="BlockText"/>
            </w:pPr>
          </w:p>
          <w:p w14:paraId="329FA49A" w14:textId="77777777" w:rsidR="00155BED" w:rsidRPr="0064357E" w:rsidRDefault="00155BED" w:rsidP="00827000">
            <w:pPr>
              <w:pStyle w:val="BlockText"/>
            </w:pPr>
            <w:r w:rsidRPr="0064357E">
              <w:t>Payer letters request verification of income for the</w:t>
            </w:r>
          </w:p>
          <w:p w14:paraId="329FA49B" w14:textId="77777777" w:rsidR="00155BED" w:rsidRPr="0064357E" w:rsidRDefault="00155BED" w:rsidP="00827000">
            <w:pPr>
              <w:pStyle w:val="BlockText"/>
            </w:pPr>
          </w:p>
          <w:p w14:paraId="329FA49C" w14:textId="77777777" w:rsidR="00155BED" w:rsidRPr="0064357E" w:rsidRDefault="00155BED" w:rsidP="00DA4DD0">
            <w:pPr>
              <w:pStyle w:val="ListParagraph"/>
              <w:numPr>
                <w:ilvl w:val="0"/>
                <w:numId w:val="13"/>
              </w:numPr>
              <w:ind w:left="158" w:hanging="187"/>
            </w:pPr>
            <w:r w:rsidRPr="0064357E">
              <w:t>tax year of the match, and</w:t>
            </w:r>
          </w:p>
          <w:p w14:paraId="329FA49D" w14:textId="77777777" w:rsidR="00155BED" w:rsidRPr="0064357E" w:rsidRDefault="00155BED" w:rsidP="00DA4DD0">
            <w:pPr>
              <w:pStyle w:val="ListParagraph"/>
              <w:numPr>
                <w:ilvl w:val="0"/>
                <w:numId w:val="14"/>
              </w:numPr>
              <w:ind w:left="158" w:hanging="187"/>
            </w:pPr>
            <w:r w:rsidRPr="0064357E">
              <w:t>following two years.</w:t>
            </w:r>
          </w:p>
        </w:tc>
      </w:tr>
    </w:tbl>
    <w:p w14:paraId="3649F7DE" w14:textId="77777777" w:rsidR="008B7E69" w:rsidRPr="0064357E" w:rsidRDefault="008B7E69" w:rsidP="008B7E69">
      <w:pPr>
        <w:pStyle w:val="BlockLine"/>
      </w:pPr>
    </w:p>
    <w:tbl>
      <w:tblPr>
        <w:tblW w:w="0" w:type="auto"/>
        <w:tblLayout w:type="fixed"/>
        <w:tblLook w:val="0000" w:firstRow="0" w:lastRow="0" w:firstColumn="0" w:lastColumn="0" w:noHBand="0" w:noVBand="0"/>
      </w:tblPr>
      <w:tblGrid>
        <w:gridCol w:w="1728"/>
        <w:gridCol w:w="7740"/>
      </w:tblGrid>
      <w:tr w:rsidR="00155BED" w:rsidRPr="0064357E" w14:paraId="329FA4A4" w14:textId="77777777" w:rsidTr="00827000">
        <w:trPr>
          <w:cantSplit/>
        </w:trPr>
        <w:tc>
          <w:tcPr>
            <w:tcW w:w="1728" w:type="dxa"/>
          </w:tcPr>
          <w:p w14:paraId="329FA4A0" w14:textId="77777777" w:rsidR="00155BED" w:rsidRPr="0064357E" w:rsidRDefault="00155BED" w:rsidP="00827000">
            <w:pPr>
              <w:pStyle w:val="Heading5"/>
            </w:pPr>
            <w:r w:rsidRPr="0064357E">
              <w:t>b.  Earned Income Recipient Letters</w:t>
            </w:r>
          </w:p>
        </w:tc>
        <w:tc>
          <w:tcPr>
            <w:tcW w:w="7740" w:type="dxa"/>
          </w:tcPr>
          <w:p w14:paraId="329FA4A1" w14:textId="77777777" w:rsidR="00155BED" w:rsidRPr="0064357E" w:rsidRDefault="00155BED" w:rsidP="00827000">
            <w:pPr>
              <w:pStyle w:val="BlockText"/>
            </w:pPr>
            <w:r w:rsidRPr="0064357E">
              <w:t>Letters to recipients of earned income are bulk mailed to PMCs for screening and release.  Recipient letters list payers and amounts reported and ask recipients for certification.</w:t>
            </w:r>
          </w:p>
          <w:p w14:paraId="329FA4A2" w14:textId="77777777" w:rsidR="00155BED" w:rsidRPr="0064357E" w:rsidRDefault="00155BED" w:rsidP="00827000">
            <w:pPr>
              <w:pStyle w:val="BlockText"/>
            </w:pPr>
          </w:p>
          <w:p w14:paraId="329FA4A3" w14:textId="366D3E7F" w:rsidR="008B7E69" w:rsidRPr="0064357E" w:rsidRDefault="00155BED">
            <w:pPr>
              <w:pStyle w:val="BlockText"/>
            </w:pPr>
            <w:r w:rsidRPr="0064357E">
              <w:rPr>
                <w:b/>
                <w:i/>
              </w:rPr>
              <w:t>Important</w:t>
            </w:r>
            <w:r w:rsidRPr="0064357E">
              <w:t>:</w:t>
            </w:r>
            <w:r w:rsidRPr="0064357E">
              <w:rPr>
                <w:b/>
              </w:rPr>
              <w:t xml:space="preserve">  </w:t>
            </w:r>
            <w:r w:rsidRPr="0064357E">
              <w:t>PMCs should not release recipient letters if the income has already been reported or if it will not affect entitlement to VA benefits.</w:t>
            </w:r>
          </w:p>
        </w:tc>
      </w:tr>
    </w:tbl>
    <w:p w14:paraId="336A7022" w14:textId="155C9AA0" w:rsidR="008B7E69" w:rsidRPr="0064357E" w:rsidRDefault="008B7E69" w:rsidP="00876ED3">
      <w:pPr>
        <w:pStyle w:val="BlockLine"/>
        <w:pBdr>
          <w:top w:val="single" w:sz="6" w:space="15" w:color="auto"/>
        </w:pBdr>
      </w:pPr>
    </w:p>
    <w:bookmarkEnd w:id="0"/>
    <w:p w14:paraId="329FA4A7" w14:textId="7D291313" w:rsidR="00155BED" w:rsidRPr="0064357E" w:rsidRDefault="00155BED" w:rsidP="00876ED3">
      <w:pPr>
        <w:pStyle w:val="Heading4"/>
        <w:tabs>
          <w:tab w:val="left" w:pos="9360"/>
        </w:tabs>
        <w:spacing w:after="0"/>
        <w:rPr>
          <w:rFonts w:ascii="Times New Roman" w:hAnsi="Times New Roman"/>
          <w:b w:val="0"/>
          <w:sz w:val="24"/>
          <w:szCs w:val="24"/>
        </w:rPr>
      </w:pPr>
    </w:p>
    <w:tbl>
      <w:tblPr>
        <w:tblW w:w="0" w:type="auto"/>
        <w:tblLayout w:type="fixed"/>
        <w:tblLook w:val="0000" w:firstRow="0" w:lastRow="0" w:firstColumn="0" w:lastColumn="0" w:noHBand="0" w:noVBand="0"/>
      </w:tblPr>
      <w:tblGrid>
        <w:gridCol w:w="1728"/>
        <w:gridCol w:w="7740"/>
      </w:tblGrid>
      <w:tr w:rsidR="00155BED" w:rsidRPr="0064357E" w14:paraId="329FA4B0" w14:textId="77777777" w:rsidTr="00827000">
        <w:trPr>
          <w:cantSplit/>
        </w:trPr>
        <w:tc>
          <w:tcPr>
            <w:tcW w:w="1728" w:type="dxa"/>
          </w:tcPr>
          <w:p w14:paraId="329FA4A8" w14:textId="77777777" w:rsidR="00155BED" w:rsidRPr="0064357E" w:rsidRDefault="00155BED">
            <w:pPr>
              <w:pStyle w:val="Heading5"/>
            </w:pPr>
            <w:proofErr w:type="gramStart"/>
            <w:r w:rsidRPr="0064357E">
              <w:t>c.  Unearned</w:t>
            </w:r>
            <w:proofErr w:type="gramEnd"/>
            <w:r w:rsidRPr="0064357E">
              <w:t xml:space="preserve"> Income Payer Letters</w:t>
            </w:r>
          </w:p>
        </w:tc>
        <w:tc>
          <w:tcPr>
            <w:tcW w:w="7740" w:type="dxa"/>
          </w:tcPr>
          <w:p w14:paraId="329FA4A9" w14:textId="0FFC15CD" w:rsidR="00155BED" w:rsidRPr="0064357E" w:rsidRDefault="00E675C6">
            <w:pPr>
              <w:pStyle w:val="BlockText"/>
            </w:pPr>
            <w:r w:rsidRPr="0064357E">
              <w:t>Hines ITC</w:t>
            </w:r>
            <w:r w:rsidR="00155BED" w:rsidRPr="0064357E">
              <w:t xml:space="preserve"> does not send payer letters directly to payers of unearned income.</w:t>
            </w:r>
          </w:p>
          <w:p w14:paraId="329FA4AA" w14:textId="77777777" w:rsidR="00155BED" w:rsidRPr="0064357E" w:rsidRDefault="00155BED">
            <w:pPr>
              <w:pStyle w:val="BlockText"/>
            </w:pPr>
          </w:p>
          <w:p w14:paraId="329FA4AB" w14:textId="77777777" w:rsidR="00155BED" w:rsidRPr="0064357E" w:rsidRDefault="00155BED">
            <w:pPr>
              <w:pStyle w:val="BlockText"/>
            </w:pPr>
            <w:r w:rsidRPr="0064357E">
              <w:t>Unearned income payers, including payers of retirement income, must be contacted by PMCs in letter format, similar to the letters automatically sent to payers of earned income.</w:t>
            </w:r>
          </w:p>
          <w:p w14:paraId="329FA4AC" w14:textId="77777777" w:rsidR="00155BED" w:rsidRPr="0064357E" w:rsidRDefault="00155BED">
            <w:pPr>
              <w:pStyle w:val="BlockText"/>
            </w:pPr>
          </w:p>
          <w:p w14:paraId="329FA4AD" w14:textId="77777777" w:rsidR="00155BED" w:rsidRPr="0064357E" w:rsidRDefault="00155BED">
            <w:pPr>
              <w:pStyle w:val="BlockText"/>
            </w:pPr>
            <w:r w:rsidRPr="0064357E">
              <w:t>Send these letters upon receipt of the IVM worksheet.</w:t>
            </w:r>
          </w:p>
          <w:p w14:paraId="329FA4AE" w14:textId="77777777" w:rsidR="00155BED" w:rsidRPr="0064357E" w:rsidRDefault="00155BED">
            <w:pPr>
              <w:pStyle w:val="BlockText"/>
            </w:pPr>
          </w:p>
          <w:p w14:paraId="6A8F4662" w14:textId="77777777" w:rsidR="00F9023D" w:rsidRPr="0064357E" w:rsidRDefault="00155BED">
            <w:pPr>
              <w:pStyle w:val="BlockText"/>
            </w:pPr>
            <w:r w:rsidRPr="0064357E">
              <w:rPr>
                <w:b/>
                <w:i/>
              </w:rPr>
              <w:t>Important</w:t>
            </w:r>
            <w:r w:rsidRPr="0064357E">
              <w:t>:  PMCs should not release payer letters if the income has already been reported or if it will not affect entitlement to VA benefits.</w:t>
            </w:r>
          </w:p>
          <w:p w14:paraId="40427F52" w14:textId="7D2C1509" w:rsidR="00F9023D" w:rsidRPr="0064357E" w:rsidRDefault="00F9023D" w:rsidP="008B7E69">
            <w:pPr>
              <w:pStyle w:val="BlockText"/>
            </w:pPr>
            <w:r w:rsidRPr="0064357E">
              <w:rPr>
                <w:u w:val="single"/>
              </w:rPr>
              <w:t>________________________________________________________</w:t>
            </w:r>
            <w:r w:rsidRPr="0064357E">
              <w:rPr>
                <w:u w:val="single"/>
              </w:rPr>
              <w:tab/>
            </w:r>
          </w:p>
          <w:p w14:paraId="329FA4AF" w14:textId="521B32EC" w:rsidR="00F9023D" w:rsidRPr="0064357E" w:rsidRDefault="00F9023D">
            <w:pPr>
              <w:pStyle w:val="BlockText"/>
            </w:pPr>
          </w:p>
        </w:tc>
      </w:tr>
      <w:tr w:rsidR="00155BED" w:rsidRPr="0064357E" w14:paraId="329FA4B6" w14:textId="77777777" w:rsidTr="00827000">
        <w:trPr>
          <w:cantSplit/>
        </w:trPr>
        <w:tc>
          <w:tcPr>
            <w:tcW w:w="1728" w:type="dxa"/>
          </w:tcPr>
          <w:p w14:paraId="329FA4B2" w14:textId="77777777" w:rsidR="00155BED" w:rsidRPr="0064357E" w:rsidRDefault="00155BED" w:rsidP="00827000">
            <w:pPr>
              <w:pStyle w:val="Heading5"/>
            </w:pPr>
            <w:r w:rsidRPr="0064357E">
              <w:t>d.  Unearned Income Recipient Letters</w:t>
            </w:r>
          </w:p>
        </w:tc>
        <w:tc>
          <w:tcPr>
            <w:tcW w:w="7740" w:type="dxa"/>
          </w:tcPr>
          <w:p w14:paraId="329FA4B3" w14:textId="54DD0262" w:rsidR="00155BED" w:rsidRPr="0064357E" w:rsidRDefault="00E675C6" w:rsidP="00827000">
            <w:pPr>
              <w:pStyle w:val="BlockText"/>
            </w:pPr>
            <w:r w:rsidRPr="0064357E">
              <w:t>Hines ITC</w:t>
            </w:r>
            <w:r w:rsidR="00155BED" w:rsidRPr="0064357E">
              <w:t xml:space="preserve"> bulk mails letters for recipients of unearned income to PMCs for screening and release.</w:t>
            </w:r>
          </w:p>
          <w:p w14:paraId="329FA4B4" w14:textId="77777777" w:rsidR="00155BED" w:rsidRPr="0064357E" w:rsidRDefault="00155BED" w:rsidP="00827000">
            <w:pPr>
              <w:pStyle w:val="BlockText"/>
            </w:pPr>
          </w:p>
          <w:p w14:paraId="2E660E5A" w14:textId="77777777" w:rsidR="00155BED" w:rsidRPr="0064357E" w:rsidRDefault="00155BED" w:rsidP="00827000">
            <w:pPr>
              <w:pStyle w:val="BlockText"/>
            </w:pPr>
            <w:r w:rsidRPr="0064357E">
              <w:rPr>
                <w:b/>
                <w:i/>
              </w:rPr>
              <w:t>Important</w:t>
            </w:r>
            <w:r w:rsidRPr="0064357E">
              <w:t>:  PMCs should not release recipient letters if the income has already been reported or if it will not affect entitlement to VA benefits.</w:t>
            </w:r>
          </w:p>
          <w:p w14:paraId="329FA4B5" w14:textId="77777777" w:rsidR="008B7E69" w:rsidRPr="0064357E" w:rsidRDefault="008B7E69" w:rsidP="00827000">
            <w:pPr>
              <w:pStyle w:val="BlockText"/>
            </w:pPr>
          </w:p>
        </w:tc>
      </w:tr>
    </w:tbl>
    <w:p w14:paraId="42DE37D7" w14:textId="6A8C9612" w:rsidR="00713BAC" w:rsidRPr="0064357E" w:rsidRDefault="00713BAC" w:rsidP="00876ED3">
      <w:pPr>
        <w:pStyle w:val="BlockLine"/>
        <w:tabs>
          <w:tab w:val="left" w:pos="3345"/>
        </w:tabs>
        <w:spacing w:before="0"/>
      </w:pPr>
    </w:p>
    <w:tbl>
      <w:tblPr>
        <w:tblW w:w="0" w:type="auto"/>
        <w:tblLayout w:type="fixed"/>
        <w:tblLook w:val="0000" w:firstRow="0" w:lastRow="0" w:firstColumn="0" w:lastColumn="0" w:noHBand="0" w:noVBand="0"/>
      </w:tblPr>
      <w:tblGrid>
        <w:gridCol w:w="1728"/>
        <w:gridCol w:w="7740"/>
      </w:tblGrid>
      <w:tr w:rsidR="00155BED" w:rsidRPr="0064357E" w14:paraId="329FA4BE" w14:textId="77777777" w:rsidTr="00876ED3">
        <w:trPr>
          <w:cantSplit/>
          <w:trHeight w:val="2727"/>
        </w:trPr>
        <w:tc>
          <w:tcPr>
            <w:tcW w:w="1728" w:type="dxa"/>
          </w:tcPr>
          <w:p w14:paraId="329FA4B8" w14:textId="77777777" w:rsidR="00155BED" w:rsidRPr="0064357E" w:rsidRDefault="00155BED">
            <w:pPr>
              <w:pStyle w:val="Heading5"/>
            </w:pPr>
            <w:r w:rsidRPr="0064357E">
              <w:t xml:space="preserve">e.  Incompetent Payees </w:t>
            </w:r>
          </w:p>
        </w:tc>
        <w:tc>
          <w:tcPr>
            <w:tcW w:w="7740" w:type="dxa"/>
          </w:tcPr>
          <w:p w14:paraId="329FA4B9" w14:textId="3DB14A2F" w:rsidR="00155BED" w:rsidRPr="0064357E" w:rsidRDefault="00E675C6">
            <w:pPr>
              <w:pStyle w:val="BlockText"/>
            </w:pPr>
            <w:r w:rsidRPr="0064357E">
              <w:t>Hines ITC</w:t>
            </w:r>
            <w:r w:rsidR="00155BED" w:rsidRPr="0064357E">
              <w:t xml:space="preserve"> does not send a verification letter to a recipient or a recipient’s spouse if the corporate record shows the beneficiary is incompetent and not paid directly.</w:t>
            </w:r>
          </w:p>
          <w:p w14:paraId="329FA4BA" w14:textId="77777777" w:rsidR="00155BED" w:rsidRPr="0064357E" w:rsidRDefault="00155BED">
            <w:pPr>
              <w:pStyle w:val="BlockText"/>
            </w:pPr>
          </w:p>
          <w:p w14:paraId="329FA4BB" w14:textId="5577CC15" w:rsidR="00155BED" w:rsidRPr="0064357E" w:rsidRDefault="00876ED3">
            <w:pPr>
              <w:pStyle w:val="BlockText"/>
            </w:pPr>
            <w:r w:rsidRPr="0064357E">
              <w:t>Hines ITC</w:t>
            </w:r>
            <w:r w:rsidR="00155BED" w:rsidRPr="0064357E">
              <w:t xml:space="preserve"> will, however, send letters to the payers of earned income in these types of cases.</w:t>
            </w:r>
          </w:p>
          <w:p w14:paraId="329FA4BC" w14:textId="77777777" w:rsidR="00155BED" w:rsidRPr="0064357E" w:rsidRDefault="00155BED">
            <w:pPr>
              <w:pStyle w:val="BlockText"/>
            </w:pPr>
          </w:p>
          <w:p w14:paraId="67663B18" w14:textId="124B070F" w:rsidR="00155BED" w:rsidRPr="0064357E" w:rsidRDefault="00155BED">
            <w:pPr>
              <w:pStyle w:val="BlockText"/>
            </w:pPr>
            <w:r w:rsidRPr="0064357E">
              <w:rPr>
                <w:b/>
                <w:i/>
              </w:rPr>
              <w:t>Reference</w:t>
            </w:r>
            <w:r w:rsidRPr="0064357E">
              <w:t xml:space="preserve">:  For more information on instructions and limitations on fiduciary contacts, see M21-1, Part X, </w:t>
            </w:r>
            <w:r w:rsidR="008A5C15" w:rsidRPr="0064357E">
              <w:t xml:space="preserve">Chapter 9, </w:t>
            </w:r>
            <w:r w:rsidR="00CD31E2" w:rsidRPr="0064357E">
              <w:t xml:space="preserve">Section B, </w:t>
            </w:r>
            <w:r w:rsidR="008A5C15" w:rsidRPr="0064357E">
              <w:t xml:space="preserve">Topic </w:t>
            </w:r>
            <w:r w:rsidR="00CD31E2" w:rsidRPr="0064357E">
              <w:t>4</w:t>
            </w:r>
            <w:r w:rsidRPr="0064357E">
              <w:t>.</w:t>
            </w:r>
          </w:p>
          <w:p w14:paraId="329FA4BD" w14:textId="323651D0" w:rsidR="00F9023D" w:rsidRPr="0064357E" w:rsidRDefault="00F9023D" w:rsidP="00876ED3">
            <w:pPr>
              <w:pStyle w:val="BlockText"/>
              <w:tabs>
                <w:tab w:val="left" w:pos="9360"/>
              </w:tabs>
            </w:pPr>
            <w:r w:rsidRPr="0064357E">
              <w:rPr>
                <w:u w:val="single"/>
              </w:rPr>
              <w:tab/>
            </w:r>
            <w:r w:rsidRPr="0064357E">
              <w:t>\</w:t>
            </w:r>
          </w:p>
        </w:tc>
      </w:tr>
    </w:tbl>
    <w:p w14:paraId="329FA4C0" w14:textId="635A8C4F" w:rsidR="00155BED" w:rsidRPr="0064357E" w:rsidRDefault="00155BED" w:rsidP="00876ED3">
      <w:pPr>
        <w:pStyle w:val="Heading4"/>
        <w:tabs>
          <w:tab w:val="left" w:pos="9360"/>
        </w:tabs>
        <w:spacing w:after="0"/>
        <w:ind w:left="1714"/>
        <w:rPr>
          <w:rFonts w:ascii="Times New Roman" w:hAnsi="Times New Roman"/>
          <w:sz w:val="24"/>
          <w:szCs w:val="24"/>
        </w:rPr>
      </w:pPr>
    </w:p>
    <w:tbl>
      <w:tblPr>
        <w:tblW w:w="0" w:type="auto"/>
        <w:tblLayout w:type="fixed"/>
        <w:tblLook w:val="0000" w:firstRow="0" w:lastRow="0" w:firstColumn="0" w:lastColumn="0" w:noHBand="0" w:noVBand="0"/>
      </w:tblPr>
      <w:tblGrid>
        <w:gridCol w:w="1728"/>
        <w:gridCol w:w="7740"/>
      </w:tblGrid>
      <w:tr w:rsidR="00155BED" w:rsidRPr="0064357E" w14:paraId="329FA4C7" w14:textId="77777777" w:rsidTr="00827000">
        <w:trPr>
          <w:cantSplit/>
        </w:trPr>
        <w:tc>
          <w:tcPr>
            <w:tcW w:w="1728" w:type="dxa"/>
          </w:tcPr>
          <w:p w14:paraId="329FA4C1" w14:textId="77777777" w:rsidR="00155BED" w:rsidRPr="0064357E" w:rsidRDefault="00155BED">
            <w:pPr>
              <w:pStyle w:val="Heading5"/>
            </w:pPr>
            <w:r w:rsidRPr="0064357E">
              <w:t xml:space="preserve">f.  Worksheets </w:t>
            </w:r>
          </w:p>
        </w:tc>
        <w:tc>
          <w:tcPr>
            <w:tcW w:w="7740" w:type="dxa"/>
          </w:tcPr>
          <w:p w14:paraId="329FA4C2" w14:textId="23C5A5F1" w:rsidR="00155BED" w:rsidRPr="0064357E" w:rsidRDefault="00155BED">
            <w:pPr>
              <w:pStyle w:val="BlockText"/>
            </w:pPr>
            <w:r w:rsidRPr="0064357E">
              <w:t xml:space="preserve">At the same time the </w:t>
            </w:r>
            <w:r w:rsidR="00E675C6" w:rsidRPr="0064357E">
              <w:t xml:space="preserve">Hines ITC </w:t>
            </w:r>
            <w:r w:rsidRPr="0064357E">
              <w:t>sends letters, it produces worksheets and refers them to PMCs for matched cases.</w:t>
            </w:r>
          </w:p>
          <w:p w14:paraId="329FA4C3" w14:textId="77777777" w:rsidR="00155BED" w:rsidRPr="0064357E" w:rsidRDefault="00155BED">
            <w:pPr>
              <w:pStyle w:val="BlockText"/>
            </w:pPr>
          </w:p>
          <w:p w14:paraId="329FA4C4" w14:textId="77777777" w:rsidR="00155BED" w:rsidRPr="0064357E" w:rsidRDefault="00155BED">
            <w:pPr>
              <w:pStyle w:val="BlockText"/>
            </w:pPr>
            <w:r w:rsidRPr="0064357E">
              <w:t>If there is more than one income recipient (for example, beneficiary and spouse) there is a separate worksheet section for each person’s income.</w:t>
            </w:r>
          </w:p>
          <w:p w14:paraId="329FA4C5" w14:textId="77777777" w:rsidR="00155BED" w:rsidRPr="0064357E" w:rsidRDefault="00155BED">
            <w:pPr>
              <w:pStyle w:val="BlockText"/>
            </w:pPr>
          </w:p>
          <w:p w14:paraId="329FA4C6" w14:textId="0AB77543" w:rsidR="00155BED" w:rsidRPr="0064357E" w:rsidRDefault="00155BED">
            <w:pPr>
              <w:pStyle w:val="BlockText"/>
            </w:pPr>
            <w:r w:rsidRPr="0064357E">
              <w:rPr>
                <w:b/>
                <w:i/>
              </w:rPr>
              <w:t>Reference</w:t>
            </w:r>
            <w:r w:rsidRPr="0064357E">
              <w:t xml:space="preserve">:  For a sample of an IVM worksheet, see M21-1, Part X, </w:t>
            </w:r>
            <w:r w:rsidR="008A5C15" w:rsidRPr="0064357E">
              <w:t xml:space="preserve">Chapter </w:t>
            </w:r>
            <w:r w:rsidRPr="0064357E">
              <w:t>9</w:t>
            </w:r>
            <w:r w:rsidR="008A5C15" w:rsidRPr="0064357E">
              <w:t xml:space="preserve">, Section C, </w:t>
            </w:r>
            <w:proofErr w:type="gramStart"/>
            <w:r w:rsidR="008A5C15" w:rsidRPr="0064357E">
              <w:t>Topic</w:t>
            </w:r>
            <w:proofErr w:type="gramEnd"/>
            <w:r w:rsidR="008A5C15" w:rsidRPr="0064357E">
              <w:t xml:space="preserve"> </w:t>
            </w:r>
            <w:r w:rsidR="00CD31E2" w:rsidRPr="0064357E">
              <w:t>1</w:t>
            </w:r>
            <w:r w:rsidR="00FB03BD" w:rsidRPr="0064357E">
              <w:t>6</w:t>
            </w:r>
            <w:r w:rsidRPr="0064357E">
              <w:t>.</w:t>
            </w:r>
          </w:p>
        </w:tc>
      </w:tr>
    </w:tbl>
    <w:p w14:paraId="31C00D75" w14:textId="77777777" w:rsidR="008B7E69" w:rsidRPr="0064357E" w:rsidRDefault="008B7E69" w:rsidP="008B7E69">
      <w:pPr>
        <w:pStyle w:val="BlockLine"/>
      </w:pPr>
    </w:p>
    <w:tbl>
      <w:tblPr>
        <w:tblW w:w="0" w:type="auto"/>
        <w:tblLayout w:type="fixed"/>
        <w:tblLook w:val="0000" w:firstRow="0" w:lastRow="0" w:firstColumn="0" w:lastColumn="0" w:noHBand="0" w:noVBand="0"/>
      </w:tblPr>
      <w:tblGrid>
        <w:gridCol w:w="1728"/>
        <w:gridCol w:w="7740"/>
      </w:tblGrid>
      <w:tr w:rsidR="00155BED" w:rsidRPr="0064357E" w14:paraId="329FA4D4" w14:textId="77777777" w:rsidTr="00827000">
        <w:trPr>
          <w:cantSplit/>
        </w:trPr>
        <w:tc>
          <w:tcPr>
            <w:tcW w:w="1728" w:type="dxa"/>
          </w:tcPr>
          <w:p w14:paraId="329FA4C9" w14:textId="77777777" w:rsidR="00155BED" w:rsidRPr="0064357E" w:rsidRDefault="00155BED" w:rsidP="00827000">
            <w:pPr>
              <w:pStyle w:val="Heading5"/>
            </w:pPr>
            <w:r w:rsidRPr="0064357E">
              <w:t>g.  Workload Control</w:t>
            </w:r>
          </w:p>
        </w:tc>
        <w:tc>
          <w:tcPr>
            <w:tcW w:w="7740" w:type="dxa"/>
          </w:tcPr>
          <w:p w14:paraId="329FA4CA" w14:textId="0AA0FF09" w:rsidR="00155BED" w:rsidRPr="0064357E" w:rsidRDefault="00155BED" w:rsidP="00827000">
            <w:pPr>
              <w:pStyle w:val="BlockText"/>
            </w:pPr>
            <w:r w:rsidRPr="0064357E">
              <w:t>The</w:t>
            </w:r>
            <w:r w:rsidR="00E675C6" w:rsidRPr="0064357E">
              <w:t xml:space="preserve"> Hines ITC</w:t>
            </w:r>
            <w:r w:rsidRPr="0064357E">
              <w:t xml:space="preserve"> releases cases to PMCs on a priority basis as directed by VA Central Office (VACO).</w:t>
            </w:r>
          </w:p>
          <w:p w14:paraId="329FA4CB" w14:textId="77777777" w:rsidR="00155BED" w:rsidRPr="0064357E" w:rsidRDefault="00155BED" w:rsidP="00827000">
            <w:pPr>
              <w:pStyle w:val="BlockText"/>
            </w:pPr>
          </w:p>
          <w:p w14:paraId="329FA4CC" w14:textId="77777777" w:rsidR="00155BED" w:rsidRPr="0064357E" w:rsidRDefault="00155BED" w:rsidP="00DA4DD0">
            <w:pPr>
              <w:pStyle w:val="ListParagraph"/>
              <w:numPr>
                <w:ilvl w:val="0"/>
                <w:numId w:val="15"/>
              </w:numPr>
              <w:ind w:left="158" w:hanging="187"/>
            </w:pPr>
            <w:r w:rsidRPr="0064357E">
              <w:t>Priority 1 includes cases where</w:t>
            </w:r>
          </w:p>
          <w:p w14:paraId="329FA4CD" w14:textId="77777777" w:rsidR="00155BED" w:rsidRPr="0064357E" w:rsidRDefault="00155BED" w:rsidP="00DA4DD0">
            <w:pPr>
              <w:pStyle w:val="ListParagraph"/>
              <w:numPr>
                <w:ilvl w:val="0"/>
                <w:numId w:val="19"/>
              </w:numPr>
              <w:ind w:left="346" w:hanging="187"/>
            </w:pPr>
            <w:r w:rsidRPr="0064357E">
              <w:t>income reported to the IRS exceeds income reported to VA, income for VA purposes (IVAP), by $10,000 or more, and</w:t>
            </w:r>
          </w:p>
          <w:p w14:paraId="329FA4CE" w14:textId="77777777" w:rsidR="00155BED" w:rsidRPr="0064357E" w:rsidRDefault="00155BED" w:rsidP="00DA4DD0">
            <w:pPr>
              <w:pStyle w:val="ListParagraph"/>
              <w:numPr>
                <w:ilvl w:val="0"/>
                <w:numId w:val="20"/>
              </w:numPr>
              <w:ind w:left="346" w:hanging="187"/>
            </w:pPr>
            <w:r w:rsidRPr="0064357E">
              <w:t>all IU cases, and</w:t>
            </w:r>
          </w:p>
          <w:p w14:paraId="329FA4CF" w14:textId="678F255A" w:rsidR="00155BED" w:rsidRPr="0064357E" w:rsidRDefault="00155BED" w:rsidP="00DA4DD0">
            <w:pPr>
              <w:pStyle w:val="ListParagraph"/>
              <w:numPr>
                <w:ilvl w:val="0"/>
                <w:numId w:val="16"/>
              </w:numPr>
              <w:ind w:left="158" w:hanging="187"/>
            </w:pPr>
            <w:r w:rsidRPr="0064357E">
              <w:t>Priorities 2 through 10 decrease in $1,000 decrements</w:t>
            </w:r>
            <w:r w:rsidR="00DA4DD0" w:rsidRPr="0064357E">
              <w:t>, for example</w:t>
            </w:r>
          </w:p>
          <w:p w14:paraId="68B6CB9D" w14:textId="54E065BD" w:rsidR="00F80380" w:rsidRPr="0064357E" w:rsidRDefault="00350EC8" w:rsidP="00DA4DD0">
            <w:pPr>
              <w:pStyle w:val="ListParagraph"/>
              <w:numPr>
                <w:ilvl w:val="0"/>
                <w:numId w:val="126"/>
              </w:numPr>
              <w:ind w:left="346" w:hanging="187"/>
            </w:pPr>
            <w:r w:rsidRPr="0064357E">
              <w:t>Priority 2 includes cases in which income falls within $9,000 - $9,999</w:t>
            </w:r>
          </w:p>
          <w:p w14:paraId="75DFE4F8" w14:textId="6EA541F6" w:rsidR="00350EC8" w:rsidRPr="0064357E" w:rsidRDefault="00350EC8" w:rsidP="00DA4DD0">
            <w:pPr>
              <w:pStyle w:val="ListParagraph"/>
              <w:numPr>
                <w:ilvl w:val="0"/>
                <w:numId w:val="126"/>
              </w:numPr>
              <w:ind w:left="346" w:hanging="187"/>
            </w:pPr>
            <w:r w:rsidRPr="0064357E">
              <w:t>Priority 3 includes cases in which income falls within $8,000 - $8,999, etc.</w:t>
            </w:r>
          </w:p>
          <w:p w14:paraId="329FA4D0" w14:textId="77777777" w:rsidR="00155BED" w:rsidRPr="0064357E" w:rsidRDefault="00155BED" w:rsidP="00827000">
            <w:pPr>
              <w:pStyle w:val="BlockText"/>
            </w:pPr>
          </w:p>
          <w:p w14:paraId="329FA4D1" w14:textId="77777777" w:rsidR="00155BED" w:rsidRPr="0064357E" w:rsidRDefault="00155BED" w:rsidP="00827000">
            <w:pPr>
              <w:pStyle w:val="BlockText"/>
            </w:pPr>
            <w:r w:rsidRPr="0064357E">
              <w:rPr>
                <w:b/>
                <w:i/>
              </w:rPr>
              <w:t>Note</w:t>
            </w:r>
            <w:r w:rsidRPr="0064357E">
              <w:t xml:space="preserve">:  </w:t>
            </w:r>
          </w:p>
          <w:p w14:paraId="329FA4D2" w14:textId="77777777" w:rsidR="00155BED" w:rsidRPr="0064357E" w:rsidRDefault="00155BED" w:rsidP="00DA4DD0">
            <w:pPr>
              <w:pStyle w:val="ListParagraph"/>
              <w:numPr>
                <w:ilvl w:val="0"/>
                <w:numId w:val="17"/>
              </w:numPr>
              <w:ind w:left="158" w:hanging="187"/>
            </w:pPr>
            <w:r w:rsidRPr="0064357E">
              <w:t>VACO will inform PMCs of the number of cases in each priority and when they will be released.</w:t>
            </w:r>
          </w:p>
          <w:p w14:paraId="329FA4D3" w14:textId="77777777" w:rsidR="00155BED" w:rsidRPr="0064357E" w:rsidRDefault="00155BED" w:rsidP="00DA4DD0">
            <w:pPr>
              <w:pStyle w:val="ListParagraph"/>
              <w:numPr>
                <w:ilvl w:val="0"/>
                <w:numId w:val="18"/>
              </w:numPr>
              <w:ind w:left="158" w:hanging="187"/>
            </w:pPr>
            <w:r w:rsidRPr="0064357E">
              <w:t xml:space="preserve">Cases where the difference between income reported to IRS and income reported to VA is less than $1,000 are not referred for verification.  </w:t>
            </w:r>
          </w:p>
        </w:tc>
      </w:tr>
    </w:tbl>
    <w:p w14:paraId="68ED797A" w14:textId="295FF648" w:rsidR="00F9023D" w:rsidRPr="0064357E" w:rsidRDefault="00F9023D" w:rsidP="00F9023D">
      <w:pPr>
        <w:pStyle w:val="BlockLine"/>
      </w:pPr>
    </w:p>
    <w:p w14:paraId="329FA4D7" w14:textId="77777777" w:rsidR="00155BED" w:rsidRPr="0064357E" w:rsidRDefault="00155BED" w:rsidP="00155BED"/>
    <w:p w14:paraId="21DC4D71" w14:textId="77777777" w:rsidR="008B7E69" w:rsidRPr="0064357E" w:rsidRDefault="008B7E69" w:rsidP="00155BED">
      <w:pPr>
        <w:pStyle w:val="Heading4"/>
      </w:pPr>
    </w:p>
    <w:p w14:paraId="0324B6C4" w14:textId="77777777" w:rsidR="00F9023D" w:rsidRPr="0064357E" w:rsidRDefault="00F9023D">
      <w:pPr>
        <w:spacing w:after="200" w:line="276" w:lineRule="auto"/>
        <w:rPr>
          <w:rFonts w:ascii="Arial" w:hAnsi="Arial"/>
          <w:b/>
          <w:sz w:val="32"/>
          <w:szCs w:val="20"/>
        </w:rPr>
      </w:pPr>
      <w:r w:rsidRPr="0064357E">
        <w:br w:type="page"/>
      </w:r>
    </w:p>
    <w:p w14:paraId="329FA4E9" w14:textId="7DAB020B" w:rsidR="00155BED" w:rsidRPr="0064357E" w:rsidRDefault="00551666" w:rsidP="00155BED">
      <w:pPr>
        <w:pStyle w:val="Heading4"/>
      </w:pPr>
      <w:r w:rsidRPr="0064357E">
        <w:t>4</w:t>
      </w:r>
      <w:r w:rsidR="00155BED" w:rsidRPr="0064357E">
        <w:t>. Operational Performance and Establishing Controls</w:t>
      </w:r>
    </w:p>
    <w:p w14:paraId="329FA4EA" w14:textId="77777777" w:rsidR="00155BED" w:rsidRPr="0064357E" w:rsidRDefault="00155BED" w:rsidP="00155BED">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155BED" w:rsidRPr="0064357E" w14:paraId="329FA4F2" w14:textId="77777777" w:rsidTr="00827000">
        <w:trPr>
          <w:cantSplit/>
        </w:trPr>
        <w:tc>
          <w:tcPr>
            <w:tcW w:w="1728" w:type="dxa"/>
          </w:tcPr>
          <w:p w14:paraId="329FA4EB" w14:textId="77777777" w:rsidR="00155BED" w:rsidRPr="0064357E" w:rsidRDefault="00155BED" w:rsidP="00827000">
            <w:pPr>
              <w:pStyle w:val="Heading5"/>
            </w:pPr>
            <w:r w:rsidRPr="0064357E">
              <w:t>Introduction</w:t>
            </w:r>
          </w:p>
        </w:tc>
        <w:tc>
          <w:tcPr>
            <w:tcW w:w="7740" w:type="dxa"/>
          </w:tcPr>
          <w:p w14:paraId="329FA4EC" w14:textId="77777777" w:rsidR="00155BED" w:rsidRPr="0064357E" w:rsidRDefault="00155BED" w:rsidP="00827000">
            <w:pPr>
              <w:pStyle w:val="BlockText"/>
            </w:pPr>
            <w:r w:rsidRPr="0064357E">
              <w:t>This topic contains information on operational performance and establishing controls, including</w:t>
            </w:r>
          </w:p>
          <w:p w14:paraId="329FA4ED" w14:textId="77777777" w:rsidR="00155BED" w:rsidRPr="0064357E" w:rsidRDefault="00155BED" w:rsidP="00827000">
            <w:pPr>
              <w:pStyle w:val="BlockText"/>
            </w:pPr>
          </w:p>
          <w:p w14:paraId="329FA4EE" w14:textId="75E39C29" w:rsidR="00155BED" w:rsidRPr="0064357E" w:rsidRDefault="00155BED" w:rsidP="00DA4DD0">
            <w:pPr>
              <w:pStyle w:val="ListParagraph"/>
              <w:numPr>
                <w:ilvl w:val="0"/>
                <w:numId w:val="21"/>
              </w:numPr>
              <w:ind w:left="158" w:hanging="187"/>
            </w:pPr>
            <w:r w:rsidRPr="0064357E">
              <w:t>EP 154 and 314</w:t>
            </w:r>
          </w:p>
          <w:p w14:paraId="329FA4EF" w14:textId="3A14C2E3" w:rsidR="00155BED" w:rsidRPr="0064357E" w:rsidRDefault="00155BED" w:rsidP="00DA4DD0">
            <w:pPr>
              <w:pStyle w:val="ListParagraph"/>
              <w:numPr>
                <w:ilvl w:val="0"/>
                <w:numId w:val="22"/>
              </w:numPr>
              <w:ind w:left="158" w:hanging="187"/>
            </w:pPr>
            <w:r w:rsidRPr="0064357E">
              <w:t>establishing an EP</w:t>
            </w:r>
            <w:r w:rsidR="00876ED3" w:rsidRPr="0064357E">
              <w:t>, and</w:t>
            </w:r>
          </w:p>
          <w:p w14:paraId="329FA4F1" w14:textId="70DAE4AD" w:rsidR="00155BED" w:rsidRPr="0064357E" w:rsidRDefault="00155BED" w:rsidP="00DA4DD0">
            <w:pPr>
              <w:pStyle w:val="ListParagraph"/>
              <w:numPr>
                <w:ilvl w:val="0"/>
                <w:numId w:val="23"/>
              </w:numPr>
              <w:ind w:left="158" w:hanging="187"/>
            </w:pPr>
            <w:proofErr w:type="gramStart"/>
            <w:r w:rsidRPr="0064357E">
              <w:t>suspense</w:t>
            </w:r>
            <w:proofErr w:type="gramEnd"/>
            <w:r w:rsidRPr="0064357E">
              <w:t xml:space="preserve"> date</w:t>
            </w:r>
            <w:r w:rsidR="00876ED3" w:rsidRPr="0064357E">
              <w:t>.</w:t>
            </w:r>
          </w:p>
        </w:tc>
      </w:tr>
    </w:tbl>
    <w:p w14:paraId="329FA4F3" w14:textId="77777777" w:rsidR="00155BED" w:rsidRPr="0064357E" w:rsidRDefault="00155BED" w:rsidP="00155BED">
      <w:pPr>
        <w:pStyle w:val="BlockLine"/>
      </w:pPr>
    </w:p>
    <w:tbl>
      <w:tblPr>
        <w:tblW w:w="0" w:type="auto"/>
        <w:tblLayout w:type="fixed"/>
        <w:tblLook w:val="0000" w:firstRow="0" w:lastRow="0" w:firstColumn="0" w:lastColumn="0" w:noHBand="0" w:noVBand="0"/>
      </w:tblPr>
      <w:tblGrid>
        <w:gridCol w:w="1728"/>
        <w:gridCol w:w="7740"/>
      </w:tblGrid>
      <w:tr w:rsidR="00155BED" w:rsidRPr="0064357E" w14:paraId="329FA4F6" w14:textId="77777777" w:rsidTr="00827000">
        <w:trPr>
          <w:cantSplit/>
        </w:trPr>
        <w:tc>
          <w:tcPr>
            <w:tcW w:w="1728" w:type="dxa"/>
          </w:tcPr>
          <w:p w14:paraId="329FA4F4" w14:textId="77777777" w:rsidR="00155BED" w:rsidRPr="0064357E" w:rsidRDefault="00155BED" w:rsidP="00827000">
            <w:pPr>
              <w:pStyle w:val="Heading5"/>
            </w:pPr>
            <w:r w:rsidRPr="0064357E">
              <w:t>Change Date</w:t>
            </w:r>
          </w:p>
        </w:tc>
        <w:tc>
          <w:tcPr>
            <w:tcW w:w="7740" w:type="dxa"/>
          </w:tcPr>
          <w:p w14:paraId="329FA4F5" w14:textId="00AEB945" w:rsidR="00155BED" w:rsidRPr="0064357E" w:rsidRDefault="0064357E" w:rsidP="0064357E">
            <w:pPr>
              <w:tabs>
                <w:tab w:val="left" w:pos="9360"/>
              </w:tabs>
              <w:ind w:left="-18"/>
            </w:pPr>
            <w:r>
              <w:t>March 30, 2015</w:t>
            </w:r>
          </w:p>
        </w:tc>
      </w:tr>
    </w:tbl>
    <w:p w14:paraId="329FA4F7" w14:textId="77777777" w:rsidR="00155BED" w:rsidRPr="0064357E" w:rsidRDefault="00155BED" w:rsidP="00155BED">
      <w:pPr>
        <w:pStyle w:val="BlockLine"/>
      </w:pPr>
      <w:r w:rsidRPr="0064357E">
        <w:t xml:space="preserve"> </w:t>
      </w:r>
    </w:p>
    <w:tbl>
      <w:tblPr>
        <w:tblW w:w="0" w:type="auto"/>
        <w:tblLayout w:type="fixed"/>
        <w:tblLook w:val="0000" w:firstRow="0" w:lastRow="0" w:firstColumn="0" w:lastColumn="0" w:noHBand="0" w:noVBand="0"/>
      </w:tblPr>
      <w:tblGrid>
        <w:gridCol w:w="1728"/>
        <w:gridCol w:w="7740"/>
      </w:tblGrid>
      <w:tr w:rsidR="00155BED" w:rsidRPr="0064357E" w14:paraId="329FA503" w14:textId="77777777" w:rsidTr="00827000">
        <w:trPr>
          <w:cantSplit/>
        </w:trPr>
        <w:tc>
          <w:tcPr>
            <w:tcW w:w="1728" w:type="dxa"/>
          </w:tcPr>
          <w:p w14:paraId="329FA4F8" w14:textId="77777777" w:rsidR="00155BED" w:rsidRPr="0064357E" w:rsidRDefault="00155BED" w:rsidP="00827000">
            <w:pPr>
              <w:pStyle w:val="Heading5"/>
            </w:pPr>
            <w:r w:rsidRPr="0064357E">
              <w:t>a.  EP 154 and 314</w:t>
            </w:r>
          </w:p>
        </w:tc>
        <w:tc>
          <w:tcPr>
            <w:tcW w:w="7740" w:type="dxa"/>
          </w:tcPr>
          <w:p w14:paraId="329FA4F9" w14:textId="4710F612" w:rsidR="00155BED" w:rsidRPr="0064357E" w:rsidRDefault="00155BED" w:rsidP="00827000">
            <w:pPr>
              <w:pStyle w:val="BlockText"/>
            </w:pPr>
            <w:r w:rsidRPr="0064357E">
              <w:t>Use EP</w:t>
            </w:r>
          </w:p>
          <w:p w14:paraId="329FA4FA" w14:textId="77777777" w:rsidR="00155BED" w:rsidRPr="0064357E" w:rsidRDefault="00155BED" w:rsidP="00827000">
            <w:pPr>
              <w:pStyle w:val="BlockText"/>
            </w:pPr>
          </w:p>
          <w:p w14:paraId="329FA4FB" w14:textId="77777777" w:rsidR="00155BED" w:rsidRPr="0064357E" w:rsidRDefault="00155BED" w:rsidP="00DA4DD0">
            <w:pPr>
              <w:pStyle w:val="ListParagraph"/>
              <w:numPr>
                <w:ilvl w:val="0"/>
                <w:numId w:val="24"/>
              </w:numPr>
              <w:ind w:left="158" w:hanging="187"/>
            </w:pPr>
            <w:r w:rsidRPr="0064357E">
              <w:t>154 for pension and DIC cases, and</w:t>
            </w:r>
          </w:p>
          <w:p w14:paraId="329FA4FC" w14:textId="77777777" w:rsidR="00155BED" w:rsidRPr="0064357E" w:rsidRDefault="00155BED" w:rsidP="00DA4DD0">
            <w:pPr>
              <w:pStyle w:val="ListParagraph"/>
              <w:numPr>
                <w:ilvl w:val="0"/>
                <w:numId w:val="25"/>
              </w:numPr>
              <w:ind w:left="158" w:hanging="187"/>
            </w:pPr>
            <w:r w:rsidRPr="0064357E">
              <w:t>314 for IU cases.</w:t>
            </w:r>
          </w:p>
          <w:p w14:paraId="329FA4FD" w14:textId="77777777" w:rsidR="00155BED" w:rsidRPr="0064357E" w:rsidRDefault="00155BED" w:rsidP="00827000">
            <w:pPr>
              <w:pStyle w:val="BlockText"/>
            </w:pPr>
          </w:p>
          <w:p w14:paraId="329FA4FE" w14:textId="0DFFCA99" w:rsidR="00155BED" w:rsidRPr="0064357E" w:rsidRDefault="00155BED" w:rsidP="00827000">
            <w:pPr>
              <w:pStyle w:val="BlockText"/>
            </w:pPr>
            <w:r w:rsidRPr="0064357E">
              <w:t xml:space="preserve">EP 154 or 314 is allowed for each </w:t>
            </w:r>
            <w:r w:rsidR="00876ED3" w:rsidRPr="0064357E">
              <w:t xml:space="preserve">VA beneficiary </w:t>
            </w:r>
            <w:r w:rsidRPr="0064357E">
              <w:t>for whom a worksheet is reviewed, regardless of whether development is required.  In unusual situations, where multiple worksheets are generated at one time because of numerous payers, only one EP is allowed.</w:t>
            </w:r>
          </w:p>
          <w:p w14:paraId="329FA4FF" w14:textId="77777777" w:rsidR="00155BED" w:rsidRPr="0064357E" w:rsidRDefault="00155BED" w:rsidP="00827000">
            <w:pPr>
              <w:pStyle w:val="BlockText"/>
            </w:pPr>
          </w:p>
          <w:p w14:paraId="329FA500" w14:textId="77777777" w:rsidR="00155BED" w:rsidRPr="0064357E" w:rsidRDefault="00155BED" w:rsidP="00827000">
            <w:pPr>
              <w:pStyle w:val="NoteText"/>
              <w:numPr>
                <w:ilvl w:val="12"/>
                <w:numId w:val="0"/>
              </w:numPr>
            </w:pPr>
            <w:r w:rsidRPr="0064357E">
              <w:rPr>
                <w:b/>
                <w:i/>
              </w:rPr>
              <w:t>Notes</w:t>
            </w:r>
            <w:r w:rsidRPr="0064357E">
              <w:t xml:space="preserve">:  </w:t>
            </w:r>
          </w:p>
          <w:p w14:paraId="329FA501" w14:textId="77777777" w:rsidR="00155BED" w:rsidRPr="0064357E" w:rsidRDefault="00155BED" w:rsidP="00BA10C1">
            <w:pPr>
              <w:pStyle w:val="ListParagraph"/>
              <w:numPr>
                <w:ilvl w:val="0"/>
                <w:numId w:val="26"/>
              </w:numPr>
              <w:ind w:left="158" w:hanging="187"/>
            </w:pPr>
            <w:r w:rsidRPr="0064357E">
              <w:t>When worksheets are received for dependents of a payee (e.g., spouse of a veteran in receipt of pension), only one EP 154 is warranted for all worksheets reviewed in computing the Veteran’s countable income.</w:t>
            </w:r>
          </w:p>
          <w:p w14:paraId="49B8207E" w14:textId="77777777" w:rsidR="00155BED" w:rsidRPr="0064357E" w:rsidRDefault="00155BED" w:rsidP="00BA10C1">
            <w:pPr>
              <w:pStyle w:val="ListParagraph"/>
              <w:numPr>
                <w:ilvl w:val="0"/>
                <w:numId w:val="27"/>
              </w:numPr>
              <w:ind w:left="158" w:hanging="187"/>
            </w:pPr>
            <w:r w:rsidRPr="0064357E">
              <w:t>Do not use EP 600 when a notice of proposed adverse action is sent.  Continue to control the case using the existing EP.</w:t>
            </w:r>
          </w:p>
          <w:p w14:paraId="329FA502" w14:textId="26724415" w:rsidR="00B17225" w:rsidRPr="0064357E" w:rsidRDefault="00B17225" w:rsidP="00BA10C1">
            <w:pPr>
              <w:pStyle w:val="ListParagraph"/>
              <w:numPr>
                <w:ilvl w:val="0"/>
                <w:numId w:val="27"/>
              </w:numPr>
              <w:ind w:left="158" w:hanging="187"/>
            </w:pPr>
            <w:r w:rsidRPr="0064357E">
              <w:t>If a new worksheet is generated based on a later tax year, do not clear the  EP 314 or 154 and establish a new EP 314 or 154.  All worksheets should be worked under the original EP.</w:t>
            </w:r>
          </w:p>
        </w:tc>
      </w:tr>
    </w:tbl>
    <w:p w14:paraId="1B93A738" w14:textId="77777777" w:rsidR="008B7E69" w:rsidRPr="0064357E" w:rsidRDefault="008B7E69" w:rsidP="008B7E69">
      <w:pPr>
        <w:pStyle w:val="BlockLine"/>
      </w:pPr>
    </w:p>
    <w:tbl>
      <w:tblPr>
        <w:tblW w:w="0" w:type="auto"/>
        <w:tblLayout w:type="fixed"/>
        <w:tblLook w:val="0000" w:firstRow="0" w:lastRow="0" w:firstColumn="0" w:lastColumn="0" w:noHBand="0" w:noVBand="0"/>
      </w:tblPr>
      <w:tblGrid>
        <w:gridCol w:w="1728"/>
        <w:gridCol w:w="7740"/>
      </w:tblGrid>
      <w:tr w:rsidR="00155BED" w:rsidRPr="0064357E" w14:paraId="329FA507" w14:textId="77777777" w:rsidTr="00827000">
        <w:trPr>
          <w:cantSplit/>
        </w:trPr>
        <w:tc>
          <w:tcPr>
            <w:tcW w:w="1728" w:type="dxa"/>
          </w:tcPr>
          <w:p w14:paraId="329FA505" w14:textId="77777777" w:rsidR="00155BED" w:rsidRPr="0064357E" w:rsidRDefault="00155BED" w:rsidP="00827000">
            <w:pPr>
              <w:pStyle w:val="Heading5"/>
            </w:pPr>
            <w:r w:rsidRPr="0064357E">
              <w:t>b.  Establishing an EP</w:t>
            </w:r>
          </w:p>
        </w:tc>
        <w:tc>
          <w:tcPr>
            <w:tcW w:w="7740" w:type="dxa"/>
          </w:tcPr>
          <w:p w14:paraId="329FA506" w14:textId="3FF3ED74" w:rsidR="00155BED" w:rsidRPr="0064357E" w:rsidRDefault="00155BED" w:rsidP="008D7966">
            <w:pPr>
              <w:pStyle w:val="BlockText"/>
            </w:pPr>
            <w:r w:rsidRPr="0064357E">
              <w:t>Establish an EP when the worksheet is received.  Use date of receipt of the worksheet as date of claim.</w:t>
            </w:r>
          </w:p>
        </w:tc>
      </w:tr>
    </w:tbl>
    <w:p w14:paraId="2D6300AD" w14:textId="77777777" w:rsidR="008B7E69" w:rsidRPr="0064357E" w:rsidRDefault="008B7E69" w:rsidP="008B7E69">
      <w:pPr>
        <w:pStyle w:val="BlockLine"/>
      </w:pPr>
    </w:p>
    <w:tbl>
      <w:tblPr>
        <w:tblW w:w="0" w:type="auto"/>
        <w:tblLayout w:type="fixed"/>
        <w:tblLook w:val="0000" w:firstRow="0" w:lastRow="0" w:firstColumn="0" w:lastColumn="0" w:noHBand="0" w:noVBand="0"/>
      </w:tblPr>
      <w:tblGrid>
        <w:gridCol w:w="1728"/>
        <w:gridCol w:w="7740"/>
      </w:tblGrid>
      <w:tr w:rsidR="00155BED" w:rsidRPr="0064357E" w14:paraId="329FA510" w14:textId="77777777" w:rsidTr="00827000">
        <w:trPr>
          <w:cantSplit/>
        </w:trPr>
        <w:tc>
          <w:tcPr>
            <w:tcW w:w="1728" w:type="dxa"/>
          </w:tcPr>
          <w:p w14:paraId="329FA509" w14:textId="77777777" w:rsidR="00155BED" w:rsidRPr="0064357E" w:rsidRDefault="00155BED" w:rsidP="00827000">
            <w:pPr>
              <w:pStyle w:val="Heading5"/>
            </w:pPr>
            <w:r w:rsidRPr="0064357E">
              <w:t>c.  Suspense Date</w:t>
            </w:r>
          </w:p>
        </w:tc>
        <w:tc>
          <w:tcPr>
            <w:tcW w:w="7740" w:type="dxa"/>
          </w:tcPr>
          <w:p w14:paraId="2F13ABE9" w14:textId="290C0FB9" w:rsidR="00BF01A1" w:rsidRPr="0064357E" w:rsidRDefault="00155BED" w:rsidP="00827000">
            <w:pPr>
              <w:pStyle w:val="BlockText"/>
            </w:pPr>
            <w:r w:rsidRPr="0064357E">
              <w:t>The suspense date is automatically set for 60 days.  Leave the EP pending until final action is taken.</w:t>
            </w:r>
          </w:p>
          <w:p w14:paraId="1F27A9F9" w14:textId="4FB0809C" w:rsidR="00BF01A1" w:rsidRPr="0064357E" w:rsidRDefault="00BF01A1" w:rsidP="00876ED3">
            <w:pPr>
              <w:pStyle w:val="BlockText"/>
              <w:tabs>
                <w:tab w:val="left" w:pos="9360"/>
              </w:tabs>
            </w:pPr>
            <w:r w:rsidRPr="0064357E">
              <w:rPr>
                <w:u w:val="single"/>
              </w:rPr>
              <w:tab/>
            </w:r>
          </w:p>
          <w:p w14:paraId="329FA50F" w14:textId="70CDB863" w:rsidR="00BF01A1" w:rsidRPr="0064357E" w:rsidRDefault="00BF01A1">
            <w:pPr>
              <w:pStyle w:val="BlockText"/>
            </w:pPr>
          </w:p>
        </w:tc>
      </w:tr>
    </w:tbl>
    <w:p w14:paraId="329FA512" w14:textId="4E31EE2C" w:rsidR="00155BED" w:rsidRPr="0064357E" w:rsidRDefault="00155BED" w:rsidP="00876ED3">
      <w:pPr>
        <w:pStyle w:val="Heading4"/>
        <w:spacing w:after="0"/>
        <w:rPr>
          <w:rFonts w:ascii="Times New Roman" w:hAnsi="Times New Roman"/>
          <w:sz w:val="22"/>
        </w:rPr>
      </w:pPr>
      <w:bookmarkStart w:id="3" w:name="BeginInsertBlock"/>
      <w:bookmarkEnd w:id="3"/>
    </w:p>
    <w:p w14:paraId="35233AE7" w14:textId="77777777" w:rsidR="00931BF6" w:rsidRPr="0064357E" w:rsidRDefault="00931BF6" w:rsidP="00B1398C"/>
    <w:p w14:paraId="23978843" w14:textId="77777777" w:rsidR="00931BF6" w:rsidRPr="0064357E" w:rsidRDefault="00931BF6" w:rsidP="00B1398C"/>
    <w:p w14:paraId="329FA53E" w14:textId="5E6DF914" w:rsidR="00DF3CA5" w:rsidRPr="0064357E" w:rsidRDefault="004E1AA5" w:rsidP="00DF3CA5">
      <w:pPr>
        <w:pStyle w:val="Heading4"/>
      </w:pPr>
      <w:r w:rsidRPr="0064357E">
        <w:t>5</w:t>
      </w:r>
      <w:r w:rsidR="00DF3CA5" w:rsidRPr="0064357E">
        <w:t>.  Initial Screening</w:t>
      </w:r>
    </w:p>
    <w:p w14:paraId="329FA53F" w14:textId="77777777" w:rsidR="00DF3CA5" w:rsidRPr="0064357E" w:rsidRDefault="00DF3CA5" w:rsidP="00DF3CA5">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DF3CA5" w:rsidRPr="0064357E" w14:paraId="329FA548" w14:textId="77777777" w:rsidTr="00827000">
        <w:trPr>
          <w:cantSplit/>
        </w:trPr>
        <w:tc>
          <w:tcPr>
            <w:tcW w:w="1728" w:type="dxa"/>
          </w:tcPr>
          <w:p w14:paraId="329FA540" w14:textId="77777777" w:rsidR="00DF3CA5" w:rsidRPr="0064357E" w:rsidRDefault="00DF3CA5" w:rsidP="00827000">
            <w:pPr>
              <w:pStyle w:val="Heading5"/>
            </w:pPr>
            <w:r w:rsidRPr="0064357E">
              <w:t>Introduction</w:t>
            </w:r>
          </w:p>
        </w:tc>
        <w:tc>
          <w:tcPr>
            <w:tcW w:w="7740" w:type="dxa"/>
          </w:tcPr>
          <w:p w14:paraId="329FA541" w14:textId="77777777" w:rsidR="00DF3CA5" w:rsidRPr="0064357E" w:rsidRDefault="00DF3CA5" w:rsidP="00827000">
            <w:pPr>
              <w:pStyle w:val="BlockText"/>
            </w:pPr>
            <w:r w:rsidRPr="0064357E">
              <w:t>This topic contains information on initial screening, including</w:t>
            </w:r>
          </w:p>
          <w:p w14:paraId="329FA542" w14:textId="77777777" w:rsidR="00DF3CA5" w:rsidRPr="0064357E" w:rsidRDefault="00DF3CA5" w:rsidP="00827000">
            <w:pPr>
              <w:pStyle w:val="BlockText"/>
            </w:pPr>
          </w:p>
          <w:p w14:paraId="329FA543" w14:textId="77777777" w:rsidR="00DF3CA5" w:rsidRPr="0064357E" w:rsidRDefault="00DF3CA5" w:rsidP="00BA10C1">
            <w:pPr>
              <w:pStyle w:val="ListParagraph"/>
              <w:numPr>
                <w:ilvl w:val="0"/>
                <w:numId w:val="28"/>
              </w:numPr>
              <w:ind w:left="158" w:hanging="187"/>
            </w:pPr>
            <w:r w:rsidRPr="0064357E">
              <w:t>verification of income not required</w:t>
            </w:r>
          </w:p>
          <w:p w14:paraId="329FA544" w14:textId="77777777" w:rsidR="00DF3CA5" w:rsidRPr="0064357E" w:rsidRDefault="00DF3CA5" w:rsidP="00BA10C1">
            <w:pPr>
              <w:pStyle w:val="ListParagraph"/>
              <w:numPr>
                <w:ilvl w:val="0"/>
                <w:numId w:val="29"/>
              </w:numPr>
              <w:ind w:left="158" w:hanging="187"/>
            </w:pPr>
            <w:r w:rsidRPr="0064357E">
              <w:t>verification and further development unnecessary</w:t>
            </w:r>
          </w:p>
          <w:p w14:paraId="329FA545" w14:textId="77777777" w:rsidR="00DF3CA5" w:rsidRPr="0064357E" w:rsidRDefault="00DF3CA5" w:rsidP="00BA10C1">
            <w:pPr>
              <w:pStyle w:val="ListParagraph"/>
              <w:numPr>
                <w:ilvl w:val="0"/>
                <w:numId w:val="30"/>
              </w:numPr>
              <w:ind w:left="158" w:hanging="187"/>
            </w:pPr>
            <w:r w:rsidRPr="0064357E">
              <w:t>when EP 154 or 314  are taken, and</w:t>
            </w:r>
          </w:p>
          <w:p w14:paraId="329FA547" w14:textId="3BF95ED0" w:rsidR="00DF3CA5" w:rsidRPr="0064357E" w:rsidRDefault="00DF3CA5" w:rsidP="00BA10C1">
            <w:pPr>
              <w:pStyle w:val="ListParagraph"/>
              <w:numPr>
                <w:ilvl w:val="0"/>
                <w:numId w:val="31"/>
              </w:numPr>
              <w:ind w:left="158" w:hanging="187"/>
            </w:pPr>
            <w:r w:rsidRPr="0064357E">
              <w:t>when verification of income and employment are needed</w:t>
            </w:r>
          </w:p>
        </w:tc>
      </w:tr>
    </w:tbl>
    <w:p w14:paraId="329FA549" w14:textId="77777777" w:rsidR="00DF3CA5" w:rsidRPr="0064357E" w:rsidRDefault="00DF3CA5" w:rsidP="00DF3CA5">
      <w:pPr>
        <w:pStyle w:val="BlockLine"/>
      </w:pPr>
    </w:p>
    <w:tbl>
      <w:tblPr>
        <w:tblW w:w="0" w:type="auto"/>
        <w:tblLayout w:type="fixed"/>
        <w:tblLook w:val="0000" w:firstRow="0" w:lastRow="0" w:firstColumn="0" w:lastColumn="0" w:noHBand="0" w:noVBand="0"/>
      </w:tblPr>
      <w:tblGrid>
        <w:gridCol w:w="1728"/>
        <w:gridCol w:w="7740"/>
      </w:tblGrid>
      <w:tr w:rsidR="00DF3CA5" w:rsidRPr="0064357E" w14:paraId="329FA54C" w14:textId="77777777" w:rsidTr="00827000">
        <w:trPr>
          <w:cantSplit/>
        </w:trPr>
        <w:tc>
          <w:tcPr>
            <w:tcW w:w="1728" w:type="dxa"/>
          </w:tcPr>
          <w:p w14:paraId="329FA54A" w14:textId="77777777" w:rsidR="00DF3CA5" w:rsidRPr="0064357E" w:rsidRDefault="00DF3CA5" w:rsidP="00827000">
            <w:pPr>
              <w:pStyle w:val="Heading5"/>
            </w:pPr>
            <w:r w:rsidRPr="0064357E">
              <w:t>Change Date</w:t>
            </w:r>
          </w:p>
        </w:tc>
        <w:tc>
          <w:tcPr>
            <w:tcW w:w="7740" w:type="dxa"/>
          </w:tcPr>
          <w:p w14:paraId="329FA54B" w14:textId="6EE87056" w:rsidR="00DF3CA5" w:rsidRPr="0064357E" w:rsidRDefault="0064357E" w:rsidP="0064357E">
            <w:pPr>
              <w:tabs>
                <w:tab w:val="left" w:pos="9360"/>
              </w:tabs>
              <w:ind w:left="-18"/>
            </w:pPr>
            <w:r>
              <w:t>March 30, 2015</w:t>
            </w:r>
          </w:p>
        </w:tc>
      </w:tr>
    </w:tbl>
    <w:p w14:paraId="329FA54D" w14:textId="77777777" w:rsidR="00DF3CA5" w:rsidRPr="0064357E" w:rsidRDefault="00DF3CA5" w:rsidP="00DF3CA5">
      <w:pPr>
        <w:pStyle w:val="BlockLine"/>
      </w:pPr>
      <w:r w:rsidRPr="0064357E">
        <w:t xml:space="preserve"> </w:t>
      </w:r>
    </w:p>
    <w:tbl>
      <w:tblPr>
        <w:tblW w:w="0" w:type="auto"/>
        <w:tblLayout w:type="fixed"/>
        <w:tblLook w:val="0000" w:firstRow="0" w:lastRow="0" w:firstColumn="0" w:lastColumn="0" w:noHBand="0" w:noVBand="0"/>
      </w:tblPr>
      <w:tblGrid>
        <w:gridCol w:w="1818"/>
        <w:gridCol w:w="7650"/>
      </w:tblGrid>
      <w:tr w:rsidR="00DF3CA5" w:rsidRPr="0064357E" w14:paraId="329FA55A" w14:textId="77777777" w:rsidTr="00827000">
        <w:trPr>
          <w:cantSplit/>
        </w:trPr>
        <w:tc>
          <w:tcPr>
            <w:tcW w:w="1818" w:type="dxa"/>
          </w:tcPr>
          <w:p w14:paraId="329FA54E" w14:textId="77777777" w:rsidR="00DF3CA5" w:rsidRPr="0064357E" w:rsidRDefault="00DF3CA5">
            <w:pPr>
              <w:pStyle w:val="Heading5"/>
            </w:pPr>
            <w:proofErr w:type="gramStart"/>
            <w:r w:rsidRPr="0064357E">
              <w:t>a.  Verification</w:t>
            </w:r>
            <w:proofErr w:type="gramEnd"/>
            <w:r w:rsidRPr="0064357E">
              <w:t xml:space="preserve"> of Income Not Required </w:t>
            </w:r>
          </w:p>
        </w:tc>
        <w:tc>
          <w:tcPr>
            <w:tcW w:w="7650" w:type="dxa"/>
          </w:tcPr>
          <w:p w14:paraId="329FA54F" w14:textId="77777777" w:rsidR="00DF3CA5" w:rsidRPr="0064357E" w:rsidRDefault="00DF3CA5">
            <w:pPr>
              <w:pStyle w:val="BlockText"/>
            </w:pPr>
            <w:r w:rsidRPr="0064357E">
              <w:t>When the worksheet is received, compare information on this sheet with information in the corporate record and/or claims folder.  Verification of income and further development are not required if any one of the following applies:</w:t>
            </w:r>
          </w:p>
          <w:p w14:paraId="329FA550" w14:textId="77777777" w:rsidR="00DF3CA5" w:rsidRPr="0064357E" w:rsidRDefault="00DF3CA5">
            <w:pPr>
              <w:pStyle w:val="BlockText"/>
            </w:pPr>
          </w:p>
          <w:p w14:paraId="329FA551" w14:textId="77777777" w:rsidR="00DF3CA5" w:rsidRPr="0064357E" w:rsidRDefault="00DF3CA5" w:rsidP="00BA10C1">
            <w:pPr>
              <w:pStyle w:val="ListParagraph"/>
              <w:numPr>
                <w:ilvl w:val="0"/>
                <w:numId w:val="32"/>
              </w:numPr>
              <w:ind w:left="158" w:hanging="187"/>
            </w:pPr>
            <w:r w:rsidRPr="0064357E">
              <w:t>The only income recipient is the beneficiary’s spouse and the spouse’s income was not a factor for the year(s) involved.</w:t>
            </w:r>
          </w:p>
          <w:p w14:paraId="329FA552" w14:textId="77777777" w:rsidR="00DF3CA5" w:rsidRPr="0064357E" w:rsidRDefault="00DF3CA5" w:rsidP="00BA10C1">
            <w:pPr>
              <w:pStyle w:val="ListParagraph"/>
              <w:numPr>
                <w:ilvl w:val="0"/>
                <w:numId w:val="33"/>
              </w:numPr>
              <w:ind w:left="158" w:hanging="187"/>
            </w:pPr>
            <w:r w:rsidRPr="0064357E">
              <w:t>The veteran receives IU benefits</w:t>
            </w:r>
          </w:p>
          <w:p w14:paraId="329FA553" w14:textId="77777777" w:rsidR="00DF3CA5" w:rsidRPr="0064357E" w:rsidRDefault="00DF3CA5" w:rsidP="00BA10C1">
            <w:pPr>
              <w:pStyle w:val="ListParagraph"/>
              <w:numPr>
                <w:ilvl w:val="0"/>
                <w:numId w:val="34"/>
              </w:numPr>
              <w:ind w:left="346" w:hanging="187"/>
            </w:pPr>
            <w:r w:rsidRPr="0064357E">
              <w:rPr>
                <w:i/>
              </w:rPr>
              <w:t>VA Form 21-4140,</w:t>
            </w:r>
            <w:r w:rsidRPr="0064357E">
              <w:t xml:space="preserve"> </w:t>
            </w:r>
            <w:r w:rsidRPr="0064357E">
              <w:rPr>
                <w:i/>
              </w:rPr>
              <w:t>Employment Questionnaire,</w:t>
            </w:r>
            <w:r w:rsidRPr="0064357E">
              <w:t xml:space="preserve"> is of record for the period covered by the worksheet and the earnings and employment information are in substantial agreement with what the veteran previously reported on </w:t>
            </w:r>
            <w:r w:rsidRPr="0064357E">
              <w:rPr>
                <w:i/>
              </w:rPr>
              <w:t>VA Form 21-4140</w:t>
            </w:r>
            <w:r w:rsidRPr="0064357E">
              <w:t xml:space="preserve">, and </w:t>
            </w:r>
          </w:p>
          <w:p w14:paraId="329FA554" w14:textId="77777777" w:rsidR="00DF3CA5" w:rsidRPr="0064357E" w:rsidRDefault="00DF3CA5" w:rsidP="00BA10C1">
            <w:pPr>
              <w:pStyle w:val="ListParagraph"/>
              <w:numPr>
                <w:ilvl w:val="0"/>
                <w:numId w:val="35"/>
              </w:numPr>
              <w:ind w:left="346" w:hanging="187"/>
            </w:pPr>
            <w:r w:rsidRPr="0064357E">
              <w:rPr>
                <w:i/>
              </w:rPr>
              <w:t>VA Form 21-4140</w:t>
            </w:r>
            <w:r w:rsidRPr="0064357E">
              <w:t xml:space="preserve"> was reviewed by the rating activity.</w:t>
            </w:r>
          </w:p>
          <w:p w14:paraId="329FA555" w14:textId="77777777" w:rsidR="00DF3CA5" w:rsidRPr="0064357E" w:rsidRDefault="00DF3CA5">
            <w:pPr>
              <w:pStyle w:val="BlockText"/>
            </w:pPr>
          </w:p>
          <w:p w14:paraId="4EB3CBC8" w14:textId="77777777" w:rsidR="008B7E69" w:rsidRPr="0064357E" w:rsidRDefault="00DF3CA5">
            <w:pPr>
              <w:pStyle w:val="BlockText"/>
            </w:pPr>
            <w:r w:rsidRPr="0064357E">
              <w:rPr>
                <w:b/>
                <w:bCs/>
                <w:i/>
                <w:iCs/>
              </w:rPr>
              <w:t>Note</w:t>
            </w:r>
            <w:r w:rsidRPr="0064357E">
              <w:t>:  Do not consider amounts received from participation in the Veterans Health Administration’s (VHA’s) Compensated Work Therapy (CWT) Program as income for Improved Pension or IU purposes.</w:t>
            </w:r>
          </w:p>
          <w:p w14:paraId="329FA559" w14:textId="04458B08" w:rsidR="00DF3CA5" w:rsidRPr="0064357E" w:rsidRDefault="00DF3CA5">
            <w:pPr>
              <w:pStyle w:val="BlockText"/>
            </w:pPr>
          </w:p>
        </w:tc>
      </w:tr>
    </w:tbl>
    <w:p w14:paraId="38F9F8E6" w14:textId="77777777" w:rsidR="008B7E69" w:rsidRPr="0064357E" w:rsidRDefault="008B7E69" w:rsidP="00BB6A41">
      <w:pPr>
        <w:pStyle w:val="BlockLine"/>
        <w:spacing w:before="0"/>
      </w:pPr>
    </w:p>
    <w:tbl>
      <w:tblPr>
        <w:tblW w:w="0" w:type="auto"/>
        <w:tblLayout w:type="fixed"/>
        <w:tblLook w:val="0000" w:firstRow="0" w:lastRow="0" w:firstColumn="0" w:lastColumn="0" w:noHBand="0" w:noVBand="0"/>
      </w:tblPr>
      <w:tblGrid>
        <w:gridCol w:w="1728"/>
        <w:gridCol w:w="7740"/>
      </w:tblGrid>
      <w:tr w:rsidR="00CE3169" w:rsidRPr="0064357E" w14:paraId="329FA563" w14:textId="77777777" w:rsidTr="00827000">
        <w:trPr>
          <w:cantSplit/>
        </w:trPr>
        <w:tc>
          <w:tcPr>
            <w:tcW w:w="1728" w:type="dxa"/>
          </w:tcPr>
          <w:p w14:paraId="329FA55D" w14:textId="77777777" w:rsidR="00CE3169" w:rsidRPr="0064357E" w:rsidRDefault="00CE3169">
            <w:pPr>
              <w:pStyle w:val="Heading5"/>
            </w:pPr>
            <w:proofErr w:type="gramStart"/>
            <w:r w:rsidRPr="0064357E">
              <w:t>b.  Verification</w:t>
            </w:r>
            <w:proofErr w:type="gramEnd"/>
            <w:r w:rsidRPr="0064357E">
              <w:t xml:space="preserve"> and Further Development Unnecessary </w:t>
            </w:r>
          </w:p>
        </w:tc>
        <w:tc>
          <w:tcPr>
            <w:tcW w:w="7740" w:type="dxa"/>
          </w:tcPr>
          <w:p w14:paraId="329FA55E" w14:textId="77777777" w:rsidR="00CE3169" w:rsidRPr="0064357E" w:rsidRDefault="00CE3169">
            <w:pPr>
              <w:pStyle w:val="BlockText"/>
            </w:pPr>
            <w:r w:rsidRPr="0064357E">
              <w:t>If verification and further development are unnecessary, take the following actions:</w:t>
            </w:r>
          </w:p>
          <w:p w14:paraId="329FA55F" w14:textId="77777777" w:rsidR="00CE3169" w:rsidRPr="0064357E" w:rsidRDefault="00CE3169">
            <w:pPr>
              <w:pStyle w:val="BlockText"/>
            </w:pPr>
          </w:p>
          <w:p w14:paraId="329FA560" w14:textId="6DD03D05" w:rsidR="00CE3169" w:rsidRPr="0064357E" w:rsidRDefault="0080252A" w:rsidP="00BA10C1">
            <w:pPr>
              <w:pStyle w:val="ListParagraph"/>
              <w:numPr>
                <w:ilvl w:val="0"/>
                <w:numId w:val="36"/>
              </w:numPr>
              <w:ind w:left="158" w:hanging="187"/>
            </w:pPr>
            <w:r w:rsidRPr="0064357E">
              <w:t>clear</w:t>
            </w:r>
            <w:r w:rsidR="00CE3169" w:rsidRPr="0064357E">
              <w:t xml:space="preserve"> the appropriate EP 154 or 314 and dispose of the worksheet under the appropriate Administrative Support Staff directive</w:t>
            </w:r>
          </w:p>
          <w:p w14:paraId="329FA561" w14:textId="77777777" w:rsidR="00CE3169" w:rsidRPr="0064357E" w:rsidRDefault="00CE3169" w:rsidP="00BA10C1">
            <w:pPr>
              <w:pStyle w:val="ListParagraph"/>
              <w:numPr>
                <w:ilvl w:val="0"/>
                <w:numId w:val="37"/>
              </w:numPr>
              <w:ind w:left="158" w:hanging="187"/>
            </w:pPr>
            <w:r w:rsidRPr="0064357E">
              <w:t>send a letter to the VA beneficiary advising that his/her benefits will remain unchanged, and</w:t>
            </w:r>
          </w:p>
          <w:p w14:paraId="329FA562" w14:textId="77777777" w:rsidR="00CE3169" w:rsidRPr="0064357E" w:rsidRDefault="00CE3169" w:rsidP="00BA10C1">
            <w:pPr>
              <w:pStyle w:val="ListParagraph"/>
              <w:numPr>
                <w:ilvl w:val="0"/>
                <w:numId w:val="38"/>
              </w:numPr>
              <w:ind w:left="158" w:hanging="187"/>
            </w:pPr>
            <w:proofErr w:type="gramStart"/>
            <w:r w:rsidRPr="0064357E">
              <w:t>annotate</w:t>
            </w:r>
            <w:proofErr w:type="gramEnd"/>
            <w:r w:rsidRPr="0064357E">
              <w:t xml:space="preserve"> the copy of this notification letter to show that EP 154 or 314, as appropriate, was taken and note the current date.</w:t>
            </w:r>
          </w:p>
        </w:tc>
      </w:tr>
    </w:tbl>
    <w:p w14:paraId="329FA564" w14:textId="77777777" w:rsidR="00CE3169" w:rsidRPr="0064357E" w:rsidRDefault="00CE3169" w:rsidP="00CE3169">
      <w:pPr>
        <w:pStyle w:val="BlockLine"/>
      </w:pPr>
    </w:p>
    <w:tbl>
      <w:tblPr>
        <w:tblW w:w="0" w:type="auto"/>
        <w:tblLayout w:type="fixed"/>
        <w:tblLook w:val="0000" w:firstRow="0" w:lastRow="0" w:firstColumn="0" w:lastColumn="0" w:noHBand="0" w:noVBand="0"/>
      </w:tblPr>
      <w:tblGrid>
        <w:gridCol w:w="1728"/>
        <w:gridCol w:w="7740"/>
      </w:tblGrid>
      <w:tr w:rsidR="00CE3169" w:rsidRPr="0064357E" w14:paraId="329FA567" w14:textId="77777777" w:rsidTr="00827000">
        <w:trPr>
          <w:cantSplit/>
        </w:trPr>
        <w:tc>
          <w:tcPr>
            <w:tcW w:w="1728" w:type="dxa"/>
          </w:tcPr>
          <w:p w14:paraId="329FA565" w14:textId="77777777" w:rsidR="00CE3169" w:rsidRPr="0064357E" w:rsidRDefault="00CE3169" w:rsidP="00827000">
            <w:pPr>
              <w:pStyle w:val="Heading5"/>
            </w:pPr>
            <w:r w:rsidRPr="0064357E">
              <w:t xml:space="preserve">c.  EP 154 or 314 Taken </w:t>
            </w:r>
          </w:p>
        </w:tc>
        <w:tc>
          <w:tcPr>
            <w:tcW w:w="7740" w:type="dxa"/>
          </w:tcPr>
          <w:p w14:paraId="329FA566" w14:textId="77777777" w:rsidR="00CE3169" w:rsidRPr="0064357E" w:rsidRDefault="00CE3169" w:rsidP="00827000">
            <w:pPr>
              <w:pStyle w:val="BlockText"/>
            </w:pPr>
            <w:r w:rsidRPr="0064357E">
              <w:t>If an income verification form is received and the claims folder reveals that EP 154 or 314 was taken, dispose of this form under the appropriate Administrative Support Staff directive.</w:t>
            </w:r>
          </w:p>
        </w:tc>
      </w:tr>
    </w:tbl>
    <w:p w14:paraId="329FA568" w14:textId="77777777" w:rsidR="00CE3169" w:rsidRPr="0064357E" w:rsidRDefault="00CE3169" w:rsidP="00CE3169">
      <w:pPr>
        <w:pStyle w:val="BlockLine"/>
      </w:pPr>
    </w:p>
    <w:tbl>
      <w:tblPr>
        <w:tblW w:w="0" w:type="auto"/>
        <w:tblLayout w:type="fixed"/>
        <w:tblLook w:val="0000" w:firstRow="0" w:lastRow="0" w:firstColumn="0" w:lastColumn="0" w:noHBand="0" w:noVBand="0"/>
      </w:tblPr>
      <w:tblGrid>
        <w:gridCol w:w="1728"/>
        <w:gridCol w:w="7740"/>
      </w:tblGrid>
      <w:tr w:rsidR="00CE3169" w:rsidRPr="0064357E" w14:paraId="329FA56E" w14:textId="77777777" w:rsidTr="00827000">
        <w:trPr>
          <w:cantSplit/>
        </w:trPr>
        <w:tc>
          <w:tcPr>
            <w:tcW w:w="1728" w:type="dxa"/>
          </w:tcPr>
          <w:p w14:paraId="329FA569" w14:textId="77777777" w:rsidR="00CE3169" w:rsidRPr="0064357E" w:rsidRDefault="00CE3169" w:rsidP="00827000">
            <w:pPr>
              <w:pStyle w:val="Heading5"/>
            </w:pPr>
            <w:r w:rsidRPr="0064357E">
              <w:t>d.  Verification of Income and Employment Needed</w:t>
            </w:r>
          </w:p>
        </w:tc>
        <w:tc>
          <w:tcPr>
            <w:tcW w:w="7740" w:type="dxa"/>
          </w:tcPr>
          <w:p w14:paraId="329FA56A" w14:textId="77777777" w:rsidR="00CE3169" w:rsidRPr="0064357E" w:rsidRDefault="00CE3169" w:rsidP="00827000">
            <w:pPr>
              <w:pStyle w:val="BlockText"/>
            </w:pPr>
            <w:r w:rsidRPr="0064357E">
              <w:t>If verification of income and employment is needed, proceed as follows:</w:t>
            </w:r>
          </w:p>
          <w:p w14:paraId="329FA56B" w14:textId="77777777" w:rsidR="00CE3169" w:rsidRPr="0064357E" w:rsidRDefault="00CE3169" w:rsidP="00827000">
            <w:pPr>
              <w:pStyle w:val="BlockText"/>
            </w:pPr>
          </w:p>
          <w:p w14:paraId="329FA56C" w14:textId="77777777" w:rsidR="00CE3169" w:rsidRPr="0064357E" w:rsidRDefault="00CE3169" w:rsidP="00BA10C1">
            <w:pPr>
              <w:pStyle w:val="ListParagraph"/>
              <w:numPr>
                <w:ilvl w:val="0"/>
                <w:numId w:val="39"/>
              </w:numPr>
              <w:ind w:left="158" w:hanging="187"/>
            </w:pPr>
            <w:r w:rsidRPr="0064357E">
              <w:t>review the worksheet to determine if the PMC must initiate verification letters (unearned income or incompetent beneficiary), and</w:t>
            </w:r>
          </w:p>
          <w:p w14:paraId="329FA56D" w14:textId="6F80144E" w:rsidR="00CE3169" w:rsidRPr="0064357E" w:rsidRDefault="00CE3169" w:rsidP="00BA10C1">
            <w:pPr>
              <w:pStyle w:val="ListParagraph"/>
              <w:numPr>
                <w:ilvl w:val="0"/>
                <w:numId w:val="40"/>
              </w:numPr>
              <w:ind w:left="158" w:hanging="187"/>
            </w:pPr>
            <w:proofErr w:type="gramStart"/>
            <w:r w:rsidRPr="0064357E">
              <w:t>store</w:t>
            </w:r>
            <w:proofErr w:type="gramEnd"/>
            <w:r w:rsidRPr="0064357E">
              <w:t xml:space="preserve"> the worksheet in accordance with M21-1, Part X, </w:t>
            </w:r>
            <w:r w:rsidR="00B1398C" w:rsidRPr="0064357E">
              <w:t xml:space="preserve">Chapter 9, Section B, Topic </w:t>
            </w:r>
            <w:r w:rsidR="004973F8" w:rsidRPr="0064357E">
              <w:t>2</w:t>
            </w:r>
            <w:r w:rsidRPr="0064357E">
              <w:t xml:space="preserve">. </w:t>
            </w:r>
          </w:p>
        </w:tc>
      </w:tr>
    </w:tbl>
    <w:p w14:paraId="329FA570" w14:textId="77777777" w:rsidR="00DF3CA5" w:rsidRPr="0064357E" w:rsidRDefault="00DF3CA5" w:rsidP="00DF3CA5"/>
    <w:p w14:paraId="329FA571" w14:textId="77777777" w:rsidR="00CE3169" w:rsidRPr="0064357E" w:rsidRDefault="00CE3169" w:rsidP="00DF3CA5"/>
    <w:p w14:paraId="329FA572" w14:textId="77777777" w:rsidR="00CE3169" w:rsidRPr="0064357E" w:rsidRDefault="00CE3169" w:rsidP="00DF3CA5"/>
    <w:p w14:paraId="329FA573" w14:textId="77777777" w:rsidR="00CE3169" w:rsidRPr="0064357E" w:rsidRDefault="00CE3169" w:rsidP="00DF3CA5"/>
    <w:p w14:paraId="329FA574" w14:textId="77777777" w:rsidR="00CE3169" w:rsidRPr="0064357E" w:rsidRDefault="00CE3169" w:rsidP="00DF3CA5"/>
    <w:p w14:paraId="329FA575" w14:textId="77777777" w:rsidR="00CE3169" w:rsidRPr="0064357E" w:rsidRDefault="00CE3169" w:rsidP="00DF3CA5"/>
    <w:p w14:paraId="329FA576" w14:textId="77777777" w:rsidR="00CE3169" w:rsidRPr="0064357E" w:rsidRDefault="00CE3169" w:rsidP="00DF3CA5"/>
    <w:p w14:paraId="329FA577" w14:textId="77777777" w:rsidR="00CE3169" w:rsidRPr="0064357E" w:rsidRDefault="00CE3169" w:rsidP="00DF3CA5"/>
    <w:p w14:paraId="329FA578" w14:textId="77777777" w:rsidR="00CE3169" w:rsidRPr="0064357E" w:rsidRDefault="00CE3169" w:rsidP="00DF3CA5"/>
    <w:p w14:paraId="329FA579" w14:textId="77777777" w:rsidR="00CE3169" w:rsidRPr="0064357E" w:rsidRDefault="00CE3169" w:rsidP="00DF3CA5"/>
    <w:p w14:paraId="329FA57A" w14:textId="77777777" w:rsidR="00CE3169" w:rsidRPr="0064357E" w:rsidRDefault="00CE3169" w:rsidP="00DF3CA5"/>
    <w:p w14:paraId="329FA57B" w14:textId="77777777" w:rsidR="00CE3169" w:rsidRPr="0064357E" w:rsidRDefault="00CE3169" w:rsidP="00DF3CA5"/>
    <w:p w14:paraId="329FA57C" w14:textId="77777777" w:rsidR="00CE3169" w:rsidRPr="0064357E" w:rsidRDefault="00CE3169" w:rsidP="00DF3CA5"/>
    <w:p w14:paraId="329FA57D" w14:textId="77777777" w:rsidR="00CE3169" w:rsidRPr="0064357E" w:rsidRDefault="00CE3169" w:rsidP="00DF3CA5"/>
    <w:p w14:paraId="329FA57E" w14:textId="77777777" w:rsidR="00CE3169" w:rsidRPr="0064357E" w:rsidRDefault="00CE3169" w:rsidP="00DF3CA5"/>
    <w:p w14:paraId="329FA57F" w14:textId="77777777" w:rsidR="00CE3169" w:rsidRPr="0064357E" w:rsidRDefault="00CE3169" w:rsidP="00DF3CA5"/>
    <w:p w14:paraId="329FA580" w14:textId="77777777" w:rsidR="00CE3169" w:rsidRPr="0064357E" w:rsidRDefault="00CE3169" w:rsidP="00DF3CA5"/>
    <w:p w14:paraId="329FA581" w14:textId="77777777" w:rsidR="00CE3169" w:rsidRPr="0064357E" w:rsidRDefault="00CE3169" w:rsidP="00DF3CA5"/>
    <w:p w14:paraId="329FA582" w14:textId="77777777" w:rsidR="00CE3169" w:rsidRPr="0064357E" w:rsidRDefault="00CE3169" w:rsidP="00DF3CA5"/>
    <w:p w14:paraId="329FA583" w14:textId="77777777" w:rsidR="00CE3169" w:rsidRPr="0064357E" w:rsidRDefault="00CE3169" w:rsidP="00DF3CA5"/>
    <w:p w14:paraId="3ADEAD82" w14:textId="77777777" w:rsidR="009C178D" w:rsidRPr="0064357E" w:rsidRDefault="009C178D" w:rsidP="00CE3169">
      <w:pPr>
        <w:pStyle w:val="Heading4"/>
      </w:pPr>
      <w:bookmarkStart w:id="4" w:name="_Toc478814463"/>
    </w:p>
    <w:p w14:paraId="0BB337E2" w14:textId="77777777" w:rsidR="009C178D" w:rsidRPr="0064357E" w:rsidRDefault="009C178D" w:rsidP="00CE3169">
      <w:pPr>
        <w:pStyle w:val="Heading4"/>
      </w:pPr>
    </w:p>
    <w:p w14:paraId="4FE0BEAB" w14:textId="77777777" w:rsidR="00C311A9" w:rsidRPr="0064357E" w:rsidRDefault="00C311A9">
      <w:pPr>
        <w:spacing w:after="200" w:line="276" w:lineRule="auto"/>
        <w:rPr>
          <w:rFonts w:ascii="Arial" w:hAnsi="Arial"/>
          <w:b/>
          <w:sz w:val="32"/>
          <w:szCs w:val="20"/>
        </w:rPr>
      </w:pPr>
      <w:r w:rsidRPr="0064357E">
        <w:br w:type="page"/>
      </w:r>
    </w:p>
    <w:p w14:paraId="329FA584" w14:textId="78D2F3D2" w:rsidR="00CE3169" w:rsidRPr="0064357E" w:rsidRDefault="004E1AA5" w:rsidP="00CE3169">
      <w:pPr>
        <w:pStyle w:val="Heading4"/>
      </w:pPr>
      <w:r w:rsidRPr="0064357E">
        <w:t>6</w:t>
      </w:r>
      <w:r w:rsidR="00CE3169" w:rsidRPr="0064357E">
        <w:t>.  Effective Dates of Adjustment for Pension and Parents’ Dependency and Indemnity Compensation (DIC)</w:t>
      </w:r>
      <w:bookmarkEnd w:id="4"/>
      <w:r w:rsidR="00CE3169" w:rsidRPr="0064357E">
        <w:t xml:space="preserve"> due to IVM</w:t>
      </w:r>
    </w:p>
    <w:p w14:paraId="329FA585" w14:textId="77777777" w:rsidR="00CE3169" w:rsidRPr="0064357E" w:rsidRDefault="00CE3169" w:rsidP="00CE3169">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CE3169" w:rsidRPr="0064357E" w14:paraId="329FA58B" w14:textId="77777777" w:rsidTr="00827000">
        <w:trPr>
          <w:cantSplit/>
        </w:trPr>
        <w:tc>
          <w:tcPr>
            <w:tcW w:w="1728" w:type="dxa"/>
          </w:tcPr>
          <w:p w14:paraId="329FA586" w14:textId="77777777" w:rsidR="00CE3169" w:rsidRPr="0064357E" w:rsidRDefault="00CE3169" w:rsidP="00827000">
            <w:pPr>
              <w:pStyle w:val="Heading5"/>
            </w:pPr>
            <w:r w:rsidRPr="0064357E">
              <w:t>Introduction</w:t>
            </w:r>
          </w:p>
        </w:tc>
        <w:tc>
          <w:tcPr>
            <w:tcW w:w="7740" w:type="dxa"/>
          </w:tcPr>
          <w:p w14:paraId="329FA587" w14:textId="77777777" w:rsidR="00CE3169" w:rsidRPr="0064357E" w:rsidRDefault="00CE3169" w:rsidP="00827000">
            <w:pPr>
              <w:pStyle w:val="BlockText"/>
            </w:pPr>
            <w:r w:rsidRPr="0064357E">
              <w:t>This topic contains information on effective dates of adjustment for pension and Parents’ DIC, including</w:t>
            </w:r>
          </w:p>
          <w:p w14:paraId="329FA588" w14:textId="77777777" w:rsidR="00CE3169" w:rsidRPr="0064357E" w:rsidRDefault="00CE3169" w:rsidP="00827000">
            <w:pPr>
              <w:pStyle w:val="BlockText"/>
            </w:pPr>
          </w:p>
          <w:p w14:paraId="329FA589" w14:textId="77777777" w:rsidR="00CE3169" w:rsidRPr="0064357E" w:rsidRDefault="00CE3169" w:rsidP="00BA10C1">
            <w:pPr>
              <w:pStyle w:val="ListParagraph"/>
              <w:numPr>
                <w:ilvl w:val="0"/>
                <w:numId w:val="41"/>
              </w:numPr>
              <w:ind w:left="158" w:hanging="187"/>
            </w:pPr>
            <w:r w:rsidRPr="0064357E">
              <w:t>the effective date for Improved Pension and Parents’ DIC, and</w:t>
            </w:r>
          </w:p>
          <w:p w14:paraId="329FA58A" w14:textId="77777777" w:rsidR="00CE3169" w:rsidRPr="0064357E" w:rsidRDefault="00CE3169" w:rsidP="00BA10C1">
            <w:pPr>
              <w:pStyle w:val="ListParagraph"/>
              <w:numPr>
                <w:ilvl w:val="0"/>
                <w:numId w:val="42"/>
              </w:numPr>
              <w:ind w:left="158" w:hanging="187"/>
            </w:pPr>
            <w:r w:rsidRPr="0064357E">
              <w:t>payer and recipient verify Department of Veterans Affairs (VA) information.</w:t>
            </w:r>
          </w:p>
        </w:tc>
      </w:tr>
    </w:tbl>
    <w:p w14:paraId="329FA58C" w14:textId="77777777" w:rsidR="00CE3169" w:rsidRPr="0064357E" w:rsidRDefault="00CE3169" w:rsidP="00CE3169">
      <w:pPr>
        <w:pStyle w:val="BlockLine"/>
      </w:pPr>
    </w:p>
    <w:tbl>
      <w:tblPr>
        <w:tblW w:w="0" w:type="auto"/>
        <w:tblLayout w:type="fixed"/>
        <w:tblLook w:val="0000" w:firstRow="0" w:lastRow="0" w:firstColumn="0" w:lastColumn="0" w:noHBand="0" w:noVBand="0"/>
      </w:tblPr>
      <w:tblGrid>
        <w:gridCol w:w="1728"/>
        <w:gridCol w:w="7740"/>
      </w:tblGrid>
      <w:tr w:rsidR="00CE3169" w:rsidRPr="0064357E" w14:paraId="329FA58F" w14:textId="77777777" w:rsidTr="00827000">
        <w:trPr>
          <w:cantSplit/>
        </w:trPr>
        <w:tc>
          <w:tcPr>
            <w:tcW w:w="1728" w:type="dxa"/>
          </w:tcPr>
          <w:p w14:paraId="329FA58D" w14:textId="77777777" w:rsidR="00CE3169" w:rsidRPr="0064357E" w:rsidRDefault="00CE3169" w:rsidP="00827000">
            <w:pPr>
              <w:pStyle w:val="Heading5"/>
            </w:pPr>
            <w:r w:rsidRPr="0064357E">
              <w:t>Change Date</w:t>
            </w:r>
          </w:p>
        </w:tc>
        <w:tc>
          <w:tcPr>
            <w:tcW w:w="7740" w:type="dxa"/>
          </w:tcPr>
          <w:p w14:paraId="329FA58E" w14:textId="0876049D" w:rsidR="00CE3169" w:rsidRPr="0064357E" w:rsidRDefault="0064357E" w:rsidP="0064357E">
            <w:pPr>
              <w:tabs>
                <w:tab w:val="left" w:pos="9360"/>
              </w:tabs>
              <w:ind w:left="-18"/>
            </w:pPr>
            <w:r>
              <w:t>March 30, 2015</w:t>
            </w:r>
          </w:p>
        </w:tc>
      </w:tr>
    </w:tbl>
    <w:p w14:paraId="329FA590" w14:textId="77777777" w:rsidR="00CE3169" w:rsidRPr="0064357E" w:rsidRDefault="00CE3169" w:rsidP="00CE3169">
      <w:pPr>
        <w:pStyle w:val="BlockLine"/>
      </w:pPr>
    </w:p>
    <w:tbl>
      <w:tblPr>
        <w:tblW w:w="0" w:type="auto"/>
        <w:tblLayout w:type="fixed"/>
        <w:tblLook w:val="0000" w:firstRow="0" w:lastRow="0" w:firstColumn="0" w:lastColumn="0" w:noHBand="0" w:noVBand="0"/>
      </w:tblPr>
      <w:tblGrid>
        <w:gridCol w:w="1728"/>
        <w:gridCol w:w="7740"/>
      </w:tblGrid>
      <w:tr w:rsidR="00CE3169" w:rsidRPr="0064357E" w14:paraId="329FA597" w14:textId="77777777" w:rsidTr="00827000">
        <w:trPr>
          <w:cantSplit/>
        </w:trPr>
        <w:tc>
          <w:tcPr>
            <w:tcW w:w="1728" w:type="dxa"/>
          </w:tcPr>
          <w:p w14:paraId="329FA591" w14:textId="77777777" w:rsidR="00CE3169" w:rsidRPr="0064357E" w:rsidRDefault="00CE3169" w:rsidP="00827000">
            <w:pPr>
              <w:pStyle w:val="Heading5"/>
            </w:pPr>
            <w:r w:rsidRPr="0064357E">
              <w:t>a.  Effective Date:  Improved Pension and Parents’ DIC</w:t>
            </w:r>
          </w:p>
        </w:tc>
        <w:tc>
          <w:tcPr>
            <w:tcW w:w="7740" w:type="dxa"/>
          </w:tcPr>
          <w:p w14:paraId="329FA592" w14:textId="77777777" w:rsidR="00CE3169" w:rsidRPr="0064357E" w:rsidRDefault="00CE3169" w:rsidP="00827000">
            <w:pPr>
              <w:pStyle w:val="BlockText"/>
            </w:pPr>
            <w:r w:rsidRPr="0064357E">
              <w:t>In Improved Pension and Parents’ DIC cases, the effective date of reduction or termination is the first of the month following the month the income was first received.</w:t>
            </w:r>
          </w:p>
          <w:p w14:paraId="329FA593" w14:textId="77777777" w:rsidR="00CE3169" w:rsidRPr="0064357E" w:rsidRDefault="00CE3169" w:rsidP="00827000">
            <w:pPr>
              <w:pStyle w:val="BlockText"/>
            </w:pPr>
          </w:p>
          <w:p w14:paraId="329FA594" w14:textId="77777777" w:rsidR="00CE3169" w:rsidRPr="0064357E" w:rsidRDefault="00CE3169" w:rsidP="00827000">
            <w:pPr>
              <w:pStyle w:val="BlockText"/>
            </w:pPr>
            <w:r w:rsidRPr="0064357E">
              <w:t>In the notice of proposed adverse action, ask the beneficiary to furnish VA with the date income was first received.</w:t>
            </w:r>
          </w:p>
          <w:p w14:paraId="329FA595" w14:textId="77777777" w:rsidR="00CE3169" w:rsidRPr="0064357E" w:rsidRDefault="00CE3169" w:rsidP="00827000">
            <w:pPr>
              <w:pStyle w:val="BlockText"/>
            </w:pPr>
          </w:p>
          <w:p w14:paraId="329FA596" w14:textId="77777777" w:rsidR="00CE3169" w:rsidRPr="0064357E" w:rsidRDefault="00CE3169" w:rsidP="00827000">
            <w:pPr>
              <w:pStyle w:val="BlockText"/>
            </w:pPr>
            <w:r w:rsidRPr="0064357E">
              <w:rPr>
                <w:b/>
                <w:i/>
              </w:rPr>
              <w:t>Note</w:t>
            </w:r>
            <w:r w:rsidRPr="0064357E">
              <w:t>:  If the income payer or income recipient does not furnish the specific date that the income was first paid, but shows the calendar year it was paid, assume that it was received in January and propose to adjust effective February 1.</w:t>
            </w:r>
          </w:p>
        </w:tc>
      </w:tr>
    </w:tbl>
    <w:p w14:paraId="329FA598" w14:textId="77777777" w:rsidR="00CE3169" w:rsidRPr="0064357E" w:rsidRDefault="00CE3169" w:rsidP="00CE3169">
      <w:pPr>
        <w:pStyle w:val="BlockLine"/>
      </w:pPr>
      <w:r w:rsidRPr="0064357E">
        <w:t xml:space="preserve"> </w:t>
      </w:r>
    </w:p>
    <w:tbl>
      <w:tblPr>
        <w:tblW w:w="0" w:type="auto"/>
        <w:tblLayout w:type="fixed"/>
        <w:tblLook w:val="0000" w:firstRow="0" w:lastRow="0" w:firstColumn="0" w:lastColumn="0" w:noHBand="0" w:noVBand="0"/>
      </w:tblPr>
      <w:tblGrid>
        <w:gridCol w:w="1728"/>
        <w:gridCol w:w="7740"/>
      </w:tblGrid>
      <w:tr w:rsidR="00CE3169" w:rsidRPr="0064357E" w14:paraId="329FA59D" w14:textId="77777777" w:rsidTr="00827000">
        <w:trPr>
          <w:cantSplit/>
        </w:trPr>
        <w:tc>
          <w:tcPr>
            <w:tcW w:w="1728" w:type="dxa"/>
          </w:tcPr>
          <w:p w14:paraId="329FA599" w14:textId="77777777" w:rsidR="00CE3169" w:rsidRPr="0064357E" w:rsidRDefault="00CE3169" w:rsidP="00827000">
            <w:pPr>
              <w:pStyle w:val="Heading5"/>
            </w:pPr>
            <w:r w:rsidRPr="0064357E">
              <w:t>b.  Payer and Recipient Verify VA Information</w:t>
            </w:r>
          </w:p>
        </w:tc>
        <w:tc>
          <w:tcPr>
            <w:tcW w:w="7740" w:type="dxa"/>
          </w:tcPr>
          <w:p w14:paraId="329FA59A" w14:textId="6FC6C326" w:rsidR="00CE3169" w:rsidRPr="0064357E" w:rsidRDefault="00CE3169" w:rsidP="00827000">
            <w:pPr>
              <w:pStyle w:val="BlockText"/>
            </w:pPr>
            <w:r w:rsidRPr="0064357E">
              <w:t xml:space="preserve">If both the payer and the income recipient respond within the </w:t>
            </w:r>
            <w:r w:rsidR="00057FFC" w:rsidRPr="0064357E">
              <w:t>3</w:t>
            </w:r>
            <w:r w:rsidRPr="0064357E">
              <w:t>0-day waiting period verifying the information VA received from the match, send a notice of proposed adverse action based on the income recipient’s report.</w:t>
            </w:r>
          </w:p>
          <w:p w14:paraId="329FA59B" w14:textId="77777777" w:rsidR="00CE3169" w:rsidRPr="0064357E" w:rsidRDefault="00CE3169" w:rsidP="00827000">
            <w:pPr>
              <w:pStyle w:val="BlockText"/>
            </w:pPr>
          </w:p>
          <w:p w14:paraId="329FA59C" w14:textId="77777777" w:rsidR="00CE3169" w:rsidRPr="0064357E" w:rsidRDefault="00CE3169" w:rsidP="00827000">
            <w:pPr>
              <w:pStyle w:val="BlockText"/>
            </w:pPr>
            <w:r w:rsidRPr="0064357E">
              <w:rPr>
                <w:b/>
                <w:i/>
              </w:rPr>
              <w:t>Note</w:t>
            </w:r>
            <w:r w:rsidRPr="0064357E">
              <w:t>:</w:t>
            </w:r>
            <w:r w:rsidRPr="0064357E">
              <w:rPr>
                <w:b/>
                <w:i/>
              </w:rPr>
              <w:t xml:space="preserve">  </w:t>
            </w:r>
            <w:r w:rsidRPr="0064357E">
              <w:t xml:space="preserve">If there is only one income year, there is no need to mention the reply from the payer. </w:t>
            </w:r>
          </w:p>
        </w:tc>
      </w:tr>
    </w:tbl>
    <w:p w14:paraId="329FA59F" w14:textId="77777777" w:rsidR="00CE3169" w:rsidRPr="0064357E" w:rsidRDefault="00CE3169" w:rsidP="00DF3CA5"/>
    <w:p w14:paraId="329FA5A0" w14:textId="77777777" w:rsidR="00CE3169" w:rsidRPr="0064357E" w:rsidRDefault="00CE3169" w:rsidP="00DF3CA5"/>
    <w:p w14:paraId="329FA5A1" w14:textId="77777777" w:rsidR="00CE3169" w:rsidRPr="0064357E" w:rsidRDefault="00CE3169" w:rsidP="00DF3CA5"/>
    <w:p w14:paraId="329FA5A2" w14:textId="77777777" w:rsidR="00CE3169" w:rsidRPr="0064357E" w:rsidRDefault="00CE3169" w:rsidP="00DF3CA5"/>
    <w:p w14:paraId="329FA5A3" w14:textId="77777777" w:rsidR="00CE3169" w:rsidRPr="0064357E" w:rsidRDefault="00CE3169" w:rsidP="00DF3CA5"/>
    <w:p w14:paraId="329FA5A4" w14:textId="77777777" w:rsidR="00CE3169" w:rsidRPr="0064357E" w:rsidRDefault="00CE3169" w:rsidP="00DF3CA5"/>
    <w:p w14:paraId="329FA5A5" w14:textId="77777777" w:rsidR="00CE3169" w:rsidRPr="0064357E" w:rsidRDefault="00CE3169" w:rsidP="00DF3CA5"/>
    <w:p w14:paraId="329FA5A6" w14:textId="77777777" w:rsidR="00CE3169" w:rsidRPr="0064357E" w:rsidRDefault="00CE3169" w:rsidP="00DF3CA5"/>
    <w:p w14:paraId="329FA5A7" w14:textId="77777777" w:rsidR="00CE3169" w:rsidRPr="0064357E" w:rsidRDefault="00CE3169" w:rsidP="00DF3CA5"/>
    <w:p w14:paraId="329FA5A8" w14:textId="77777777" w:rsidR="00CE3169" w:rsidRPr="0064357E" w:rsidRDefault="00CE3169" w:rsidP="00DF3CA5"/>
    <w:p w14:paraId="768E8B27" w14:textId="77777777" w:rsidR="009C178D" w:rsidRPr="0064357E" w:rsidRDefault="009C178D" w:rsidP="00CE3169">
      <w:pPr>
        <w:pStyle w:val="Heading4"/>
      </w:pPr>
      <w:bookmarkStart w:id="5" w:name="_Toc478814464"/>
    </w:p>
    <w:p w14:paraId="329FA5A9" w14:textId="3371791E" w:rsidR="00CE3169" w:rsidRPr="0064357E" w:rsidRDefault="004E1AA5" w:rsidP="00CE3169">
      <w:pPr>
        <w:pStyle w:val="Heading4"/>
      </w:pPr>
      <w:r w:rsidRPr="0064357E">
        <w:t>7</w:t>
      </w:r>
      <w:r w:rsidR="00CE3169" w:rsidRPr="0064357E">
        <w:t xml:space="preserve">.  Differing Responses </w:t>
      </w:r>
      <w:proofErr w:type="gramStart"/>
      <w:r w:rsidR="00CE3169" w:rsidRPr="0064357E">
        <w:t>From</w:t>
      </w:r>
      <w:proofErr w:type="gramEnd"/>
      <w:r w:rsidR="00CE3169" w:rsidRPr="0064357E">
        <w:t xml:space="preserve"> Payer and Recipient</w:t>
      </w:r>
      <w:bookmarkEnd w:id="5"/>
    </w:p>
    <w:p w14:paraId="329FA5AA" w14:textId="77777777" w:rsidR="00CE3169" w:rsidRPr="0064357E" w:rsidRDefault="00CE3169" w:rsidP="00CE3169">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CE3169" w:rsidRPr="0064357E" w14:paraId="329FA5B0" w14:textId="77777777" w:rsidTr="00827000">
        <w:trPr>
          <w:cantSplit/>
        </w:trPr>
        <w:tc>
          <w:tcPr>
            <w:tcW w:w="1728" w:type="dxa"/>
          </w:tcPr>
          <w:p w14:paraId="329FA5AB" w14:textId="77777777" w:rsidR="00CE3169" w:rsidRPr="0064357E" w:rsidRDefault="00CE3169" w:rsidP="00827000">
            <w:pPr>
              <w:pStyle w:val="Heading5"/>
            </w:pPr>
            <w:r w:rsidRPr="0064357E">
              <w:t>Introduction</w:t>
            </w:r>
          </w:p>
        </w:tc>
        <w:tc>
          <w:tcPr>
            <w:tcW w:w="7740" w:type="dxa"/>
          </w:tcPr>
          <w:p w14:paraId="329FA5AC" w14:textId="77777777" w:rsidR="00CE3169" w:rsidRPr="0064357E" w:rsidRDefault="00CE3169" w:rsidP="00827000">
            <w:pPr>
              <w:pStyle w:val="BlockText"/>
            </w:pPr>
            <w:r w:rsidRPr="0064357E">
              <w:t>This topic contains information on differing responses from payer and recipient, including</w:t>
            </w:r>
          </w:p>
          <w:p w14:paraId="329FA5AD" w14:textId="77777777" w:rsidR="00CE3169" w:rsidRPr="0064357E" w:rsidRDefault="00CE3169" w:rsidP="00827000">
            <w:pPr>
              <w:pStyle w:val="BlockText"/>
            </w:pPr>
          </w:p>
          <w:p w14:paraId="329FA5AE" w14:textId="77777777" w:rsidR="00CE3169" w:rsidRPr="0064357E" w:rsidRDefault="00CE3169" w:rsidP="00BA10C1">
            <w:pPr>
              <w:pStyle w:val="ListParagraph"/>
              <w:numPr>
                <w:ilvl w:val="0"/>
                <w:numId w:val="43"/>
              </w:numPr>
              <w:ind w:left="158" w:hanging="187"/>
            </w:pPr>
            <w:r w:rsidRPr="0064357E">
              <w:t>differing response procedures, and</w:t>
            </w:r>
          </w:p>
          <w:p w14:paraId="329FA5AF" w14:textId="77777777" w:rsidR="00CE3169" w:rsidRPr="0064357E" w:rsidRDefault="00CE3169" w:rsidP="00BA10C1">
            <w:pPr>
              <w:pStyle w:val="ListParagraph"/>
              <w:numPr>
                <w:ilvl w:val="0"/>
                <w:numId w:val="44"/>
              </w:numPr>
              <w:ind w:left="158" w:hanging="187"/>
            </w:pPr>
            <w:r w:rsidRPr="0064357E">
              <w:t>an example of handling differing responses.</w:t>
            </w:r>
          </w:p>
        </w:tc>
      </w:tr>
    </w:tbl>
    <w:p w14:paraId="329FA5B1" w14:textId="77777777" w:rsidR="00CE3169" w:rsidRPr="0064357E" w:rsidRDefault="00CE3169" w:rsidP="00CE3169">
      <w:pPr>
        <w:pStyle w:val="BlockLine"/>
      </w:pPr>
    </w:p>
    <w:tbl>
      <w:tblPr>
        <w:tblW w:w="0" w:type="auto"/>
        <w:tblLayout w:type="fixed"/>
        <w:tblLook w:val="0000" w:firstRow="0" w:lastRow="0" w:firstColumn="0" w:lastColumn="0" w:noHBand="0" w:noVBand="0"/>
      </w:tblPr>
      <w:tblGrid>
        <w:gridCol w:w="1728"/>
        <w:gridCol w:w="7740"/>
      </w:tblGrid>
      <w:tr w:rsidR="00CE3169" w:rsidRPr="0064357E" w14:paraId="329FA5B4" w14:textId="77777777" w:rsidTr="00827000">
        <w:trPr>
          <w:cantSplit/>
        </w:trPr>
        <w:tc>
          <w:tcPr>
            <w:tcW w:w="1728" w:type="dxa"/>
          </w:tcPr>
          <w:p w14:paraId="329FA5B2" w14:textId="77777777" w:rsidR="00CE3169" w:rsidRPr="0064357E" w:rsidRDefault="00CE3169" w:rsidP="00827000">
            <w:pPr>
              <w:pStyle w:val="Heading5"/>
            </w:pPr>
            <w:r w:rsidRPr="0064357E">
              <w:t>Change Date</w:t>
            </w:r>
          </w:p>
        </w:tc>
        <w:tc>
          <w:tcPr>
            <w:tcW w:w="7740" w:type="dxa"/>
          </w:tcPr>
          <w:p w14:paraId="329FA5B3" w14:textId="1923CD88" w:rsidR="00CE3169" w:rsidRPr="0064357E" w:rsidRDefault="0064357E" w:rsidP="0064357E">
            <w:pPr>
              <w:tabs>
                <w:tab w:val="left" w:pos="9360"/>
              </w:tabs>
              <w:ind w:left="-18"/>
            </w:pPr>
            <w:r>
              <w:t>March 30, 2015</w:t>
            </w:r>
          </w:p>
        </w:tc>
      </w:tr>
    </w:tbl>
    <w:p w14:paraId="329FA5B5" w14:textId="77777777" w:rsidR="00CE3169" w:rsidRPr="0064357E" w:rsidRDefault="00CE3169" w:rsidP="00CE3169">
      <w:pPr>
        <w:pStyle w:val="BlockLine"/>
      </w:pPr>
      <w:r w:rsidRPr="0064357E">
        <w:t xml:space="preserve"> </w:t>
      </w:r>
    </w:p>
    <w:tbl>
      <w:tblPr>
        <w:tblW w:w="0" w:type="auto"/>
        <w:tblLayout w:type="fixed"/>
        <w:tblLook w:val="0000" w:firstRow="0" w:lastRow="0" w:firstColumn="0" w:lastColumn="0" w:noHBand="0" w:noVBand="0"/>
      </w:tblPr>
      <w:tblGrid>
        <w:gridCol w:w="1728"/>
        <w:gridCol w:w="7740"/>
      </w:tblGrid>
      <w:tr w:rsidR="00CE3169" w:rsidRPr="0064357E" w14:paraId="329FA5BA" w14:textId="77777777" w:rsidTr="00827000">
        <w:trPr>
          <w:cantSplit/>
        </w:trPr>
        <w:tc>
          <w:tcPr>
            <w:tcW w:w="1728" w:type="dxa"/>
          </w:tcPr>
          <w:p w14:paraId="329FA5B6" w14:textId="77777777" w:rsidR="00CE3169" w:rsidRPr="0064357E" w:rsidRDefault="00CE3169" w:rsidP="00827000">
            <w:pPr>
              <w:pStyle w:val="Heading5"/>
            </w:pPr>
            <w:r w:rsidRPr="0064357E">
              <w:t>a.  Differing Response Procedures</w:t>
            </w:r>
          </w:p>
        </w:tc>
        <w:tc>
          <w:tcPr>
            <w:tcW w:w="7740" w:type="dxa"/>
          </w:tcPr>
          <w:p w14:paraId="329FA5B7" w14:textId="77777777" w:rsidR="00CE3169" w:rsidRPr="0064357E" w:rsidRDefault="00CE3169" w:rsidP="00827000">
            <w:pPr>
              <w:pStyle w:val="BlockText"/>
            </w:pPr>
            <w:r w:rsidRPr="0064357E">
              <w:t>Use the table below to determine what to do when you receive differing responses from the payer and the recipient, including the spouse of the beneficiary.</w:t>
            </w:r>
          </w:p>
          <w:p w14:paraId="329FA5B8" w14:textId="77777777" w:rsidR="00CE3169" w:rsidRPr="0064357E" w:rsidRDefault="00CE3169" w:rsidP="00827000">
            <w:pPr>
              <w:pStyle w:val="BlockText"/>
            </w:pPr>
          </w:p>
          <w:p w14:paraId="329FA5B9" w14:textId="3B1A4256" w:rsidR="00CE3169" w:rsidRPr="0064357E" w:rsidRDefault="00CE3169" w:rsidP="00B1398C">
            <w:pPr>
              <w:pStyle w:val="BlockText"/>
            </w:pPr>
            <w:r w:rsidRPr="0064357E">
              <w:rPr>
                <w:b/>
                <w:i/>
              </w:rPr>
              <w:t>Reference</w:t>
            </w:r>
            <w:r w:rsidRPr="0064357E">
              <w:t>:</w:t>
            </w:r>
            <w:r w:rsidRPr="0064357E">
              <w:rPr>
                <w:b/>
              </w:rPr>
              <w:t xml:space="preserve"> </w:t>
            </w:r>
            <w:r w:rsidRPr="0064357E">
              <w:t xml:space="preserve"> For more information on the efforts to clarify disputed amounts, see M21-1, Part X, </w:t>
            </w:r>
            <w:r w:rsidR="00B1398C" w:rsidRPr="0064357E">
              <w:t xml:space="preserve">Chapter 9, Section C, </w:t>
            </w:r>
            <w:proofErr w:type="gramStart"/>
            <w:r w:rsidR="00B1398C" w:rsidRPr="0064357E">
              <w:t>Topic</w:t>
            </w:r>
            <w:proofErr w:type="gramEnd"/>
            <w:r w:rsidR="00B1398C" w:rsidRPr="0064357E">
              <w:t xml:space="preserve"> 1</w:t>
            </w:r>
            <w:r w:rsidR="00152014" w:rsidRPr="0064357E">
              <w:t>2</w:t>
            </w:r>
            <w:r w:rsidRPr="0064357E">
              <w:t>.</w:t>
            </w:r>
          </w:p>
        </w:tc>
      </w:tr>
    </w:tbl>
    <w:p w14:paraId="329FA5BB" w14:textId="77777777" w:rsidR="00CE3169" w:rsidRPr="0064357E" w:rsidRDefault="00CE3169" w:rsidP="00CE3169">
      <w:pPr>
        <w:pStyle w:val="TableText"/>
      </w:pPr>
    </w:p>
    <w:tbl>
      <w:tblPr>
        <w:tblW w:w="7596" w:type="dxa"/>
        <w:tblInd w:w="1872" w:type="dxa"/>
        <w:tblLayout w:type="fixed"/>
        <w:tblCellMar>
          <w:left w:w="80" w:type="dxa"/>
          <w:right w:w="80" w:type="dxa"/>
        </w:tblCellMar>
        <w:tblLook w:val="0000" w:firstRow="0" w:lastRow="0" w:firstColumn="0" w:lastColumn="0" w:noHBand="0" w:noVBand="0"/>
      </w:tblPr>
      <w:tblGrid>
        <w:gridCol w:w="3791"/>
        <w:gridCol w:w="3805"/>
      </w:tblGrid>
      <w:tr w:rsidR="00CE3169" w:rsidRPr="0064357E" w14:paraId="329FA5BE" w14:textId="77777777" w:rsidTr="00827000">
        <w:trPr>
          <w:cantSplit/>
        </w:trPr>
        <w:tc>
          <w:tcPr>
            <w:tcW w:w="3773" w:type="dxa"/>
            <w:tcBorders>
              <w:top w:val="single" w:sz="6" w:space="0" w:color="auto"/>
              <w:left w:val="single" w:sz="6" w:space="0" w:color="auto"/>
              <w:bottom w:val="single" w:sz="6" w:space="0" w:color="auto"/>
              <w:right w:val="single" w:sz="6" w:space="0" w:color="auto"/>
            </w:tcBorders>
          </w:tcPr>
          <w:p w14:paraId="329FA5BC" w14:textId="77777777" w:rsidR="00CE3169" w:rsidRPr="0064357E" w:rsidRDefault="00CE3169" w:rsidP="00827000">
            <w:pPr>
              <w:pStyle w:val="TableHeaderText"/>
              <w:jc w:val="left"/>
            </w:pPr>
            <w:r w:rsidRPr="0064357E">
              <w:t>If …</w:t>
            </w:r>
          </w:p>
        </w:tc>
        <w:tc>
          <w:tcPr>
            <w:tcW w:w="3787" w:type="dxa"/>
            <w:tcBorders>
              <w:top w:val="single" w:sz="6" w:space="0" w:color="auto"/>
              <w:left w:val="single" w:sz="6" w:space="0" w:color="auto"/>
              <w:bottom w:val="single" w:sz="6" w:space="0" w:color="auto"/>
              <w:right w:val="single" w:sz="6" w:space="0" w:color="auto"/>
            </w:tcBorders>
          </w:tcPr>
          <w:p w14:paraId="329FA5BD" w14:textId="77777777" w:rsidR="00CE3169" w:rsidRPr="0064357E" w:rsidRDefault="00CE3169" w:rsidP="00827000">
            <w:pPr>
              <w:pStyle w:val="TableHeaderText"/>
              <w:jc w:val="left"/>
            </w:pPr>
            <w:r w:rsidRPr="0064357E">
              <w:t>Then …</w:t>
            </w:r>
          </w:p>
        </w:tc>
      </w:tr>
      <w:tr w:rsidR="00CE3169" w:rsidRPr="0064357E" w14:paraId="329FA5C4" w14:textId="77777777" w:rsidTr="00827000">
        <w:trPr>
          <w:cantSplit/>
        </w:trPr>
        <w:tc>
          <w:tcPr>
            <w:tcW w:w="3773" w:type="dxa"/>
            <w:tcBorders>
              <w:top w:val="single" w:sz="6" w:space="0" w:color="auto"/>
              <w:left w:val="single" w:sz="6" w:space="0" w:color="auto"/>
              <w:bottom w:val="single" w:sz="6" w:space="0" w:color="auto"/>
              <w:right w:val="single" w:sz="6" w:space="0" w:color="auto"/>
            </w:tcBorders>
          </w:tcPr>
          <w:p w14:paraId="329FA5BF" w14:textId="77777777" w:rsidR="00CE3169" w:rsidRPr="0064357E" w:rsidRDefault="00CE3169" w:rsidP="00827000">
            <w:pPr>
              <w:pStyle w:val="TableText"/>
            </w:pPr>
            <w:r w:rsidRPr="0064357E">
              <w:t>the income recipient verifies more income than</w:t>
            </w:r>
          </w:p>
          <w:p w14:paraId="329FA5C0" w14:textId="77777777" w:rsidR="00CE3169" w:rsidRPr="0064357E" w:rsidRDefault="00CE3169" w:rsidP="00827000">
            <w:pPr>
              <w:pStyle w:val="TableText"/>
            </w:pPr>
          </w:p>
          <w:p w14:paraId="329FA5C1" w14:textId="77777777" w:rsidR="00CE3169" w:rsidRPr="0064357E" w:rsidRDefault="00CE3169" w:rsidP="00BA10C1">
            <w:pPr>
              <w:pStyle w:val="ListParagraph"/>
              <w:numPr>
                <w:ilvl w:val="0"/>
                <w:numId w:val="45"/>
              </w:numPr>
              <w:ind w:left="158" w:hanging="187"/>
            </w:pPr>
            <w:r w:rsidRPr="0064357E">
              <w:t>the match amount, or</w:t>
            </w:r>
          </w:p>
          <w:p w14:paraId="329FA5C2" w14:textId="77777777" w:rsidR="00CE3169" w:rsidRPr="0064357E" w:rsidRDefault="00CE3169" w:rsidP="00BA10C1">
            <w:pPr>
              <w:pStyle w:val="ListParagraph"/>
              <w:numPr>
                <w:ilvl w:val="0"/>
                <w:numId w:val="46"/>
              </w:numPr>
              <w:ind w:left="158" w:hanging="187"/>
            </w:pPr>
            <w:r w:rsidRPr="0064357E">
              <w:t>the amount verified by the payer</w:t>
            </w:r>
          </w:p>
        </w:tc>
        <w:tc>
          <w:tcPr>
            <w:tcW w:w="3787" w:type="dxa"/>
            <w:tcBorders>
              <w:top w:val="single" w:sz="6" w:space="0" w:color="auto"/>
              <w:left w:val="single" w:sz="6" w:space="0" w:color="auto"/>
              <w:bottom w:val="single" w:sz="6" w:space="0" w:color="auto"/>
              <w:right w:val="single" w:sz="6" w:space="0" w:color="auto"/>
            </w:tcBorders>
          </w:tcPr>
          <w:p w14:paraId="329FA5C3" w14:textId="77777777" w:rsidR="00CE3169" w:rsidRPr="0064357E" w:rsidRDefault="00CE3169" w:rsidP="00827000">
            <w:pPr>
              <w:pStyle w:val="TableText"/>
            </w:pPr>
            <w:r w:rsidRPr="0064357E">
              <w:t>send a notice of proposed adverse action based on the recipient verified amount.</w:t>
            </w:r>
          </w:p>
        </w:tc>
      </w:tr>
      <w:tr w:rsidR="00CE3169" w:rsidRPr="0064357E" w14:paraId="329FA5CA" w14:textId="77777777" w:rsidTr="00827000">
        <w:trPr>
          <w:cantSplit/>
        </w:trPr>
        <w:tc>
          <w:tcPr>
            <w:tcW w:w="3773" w:type="dxa"/>
            <w:tcBorders>
              <w:top w:val="single" w:sz="6" w:space="0" w:color="auto"/>
              <w:left w:val="single" w:sz="6" w:space="0" w:color="auto"/>
              <w:bottom w:val="single" w:sz="6" w:space="0" w:color="auto"/>
              <w:right w:val="single" w:sz="6" w:space="0" w:color="auto"/>
            </w:tcBorders>
          </w:tcPr>
          <w:p w14:paraId="329FA5C5" w14:textId="77777777" w:rsidR="00CE3169" w:rsidRPr="0064357E" w:rsidRDefault="00CE3169" w:rsidP="00827000">
            <w:pPr>
              <w:pStyle w:val="TableText"/>
            </w:pPr>
            <w:r w:rsidRPr="0064357E">
              <w:t>the income recipient reports</w:t>
            </w:r>
          </w:p>
          <w:p w14:paraId="329FA5C6" w14:textId="77777777" w:rsidR="00CE3169" w:rsidRPr="0064357E" w:rsidRDefault="00CE3169" w:rsidP="00827000">
            <w:pPr>
              <w:pStyle w:val="TableText"/>
            </w:pPr>
          </w:p>
          <w:p w14:paraId="329FA5C7" w14:textId="77777777" w:rsidR="00CE3169" w:rsidRPr="0064357E" w:rsidRDefault="00CE3169" w:rsidP="00BA10C1">
            <w:pPr>
              <w:pStyle w:val="ListParagraph"/>
              <w:numPr>
                <w:ilvl w:val="0"/>
                <w:numId w:val="47"/>
              </w:numPr>
              <w:ind w:left="158" w:hanging="187"/>
            </w:pPr>
            <w:r w:rsidRPr="0064357E">
              <w:t>less income than the income payer reports, and</w:t>
            </w:r>
          </w:p>
          <w:p w14:paraId="329FA5C8" w14:textId="77777777" w:rsidR="00CE3169" w:rsidRPr="0064357E" w:rsidRDefault="00CE3169" w:rsidP="00BA10C1">
            <w:pPr>
              <w:pStyle w:val="ListParagraph"/>
              <w:numPr>
                <w:ilvl w:val="0"/>
                <w:numId w:val="48"/>
              </w:numPr>
              <w:ind w:left="158" w:hanging="187"/>
            </w:pPr>
            <w:r w:rsidRPr="0064357E">
              <w:t>the recipient’s report would result in the termination of benefits</w:t>
            </w:r>
          </w:p>
        </w:tc>
        <w:tc>
          <w:tcPr>
            <w:tcW w:w="3787" w:type="dxa"/>
            <w:tcBorders>
              <w:top w:val="single" w:sz="6" w:space="0" w:color="auto"/>
              <w:left w:val="single" w:sz="6" w:space="0" w:color="auto"/>
              <w:bottom w:val="single" w:sz="6" w:space="0" w:color="auto"/>
              <w:right w:val="single" w:sz="6" w:space="0" w:color="auto"/>
            </w:tcBorders>
          </w:tcPr>
          <w:p w14:paraId="329FA5C9" w14:textId="77777777" w:rsidR="00CE3169" w:rsidRPr="0064357E" w:rsidRDefault="00CE3169" w:rsidP="00827000">
            <w:pPr>
              <w:pStyle w:val="TableText"/>
            </w:pPr>
            <w:r w:rsidRPr="0064357E">
              <w:t>send a notice of proposed adverse action based on the recipient’s report.</w:t>
            </w:r>
          </w:p>
        </w:tc>
      </w:tr>
      <w:tr w:rsidR="00CE3169" w:rsidRPr="0064357E" w14:paraId="329FA5D0" w14:textId="77777777" w:rsidTr="00827000">
        <w:trPr>
          <w:cantSplit/>
        </w:trPr>
        <w:tc>
          <w:tcPr>
            <w:tcW w:w="3773" w:type="dxa"/>
            <w:tcBorders>
              <w:top w:val="single" w:sz="6" w:space="0" w:color="auto"/>
              <w:left w:val="single" w:sz="6" w:space="0" w:color="auto"/>
              <w:bottom w:val="single" w:sz="6" w:space="0" w:color="auto"/>
              <w:right w:val="single" w:sz="6" w:space="0" w:color="auto"/>
            </w:tcBorders>
          </w:tcPr>
          <w:p w14:paraId="329FA5CB" w14:textId="77777777" w:rsidR="00CE3169" w:rsidRPr="0064357E" w:rsidRDefault="00CE3169" w:rsidP="00BA10C1">
            <w:pPr>
              <w:pStyle w:val="ListParagraph"/>
              <w:numPr>
                <w:ilvl w:val="0"/>
                <w:numId w:val="49"/>
              </w:numPr>
              <w:ind w:left="158" w:hanging="187"/>
            </w:pPr>
            <w:r w:rsidRPr="0064357E">
              <w:t>the payer verifies the matched amount, and</w:t>
            </w:r>
          </w:p>
          <w:p w14:paraId="329FA5CC" w14:textId="77777777" w:rsidR="00CE3169" w:rsidRPr="0064357E" w:rsidRDefault="00CE3169" w:rsidP="00BA10C1">
            <w:pPr>
              <w:pStyle w:val="ListParagraph"/>
              <w:numPr>
                <w:ilvl w:val="0"/>
                <w:numId w:val="50"/>
              </w:numPr>
              <w:ind w:left="158" w:hanging="187"/>
            </w:pPr>
            <w:r w:rsidRPr="0064357E">
              <w:t xml:space="preserve">the recipient reports some income, but less than the matched amount </w:t>
            </w:r>
          </w:p>
        </w:tc>
        <w:tc>
          <w:tcPr>
            <w:tcW w:w="3787" w:type="dxa"/>
            <w:tcBorders>
              <w:top w:val="single" w:sz="6" w:space="0" w:color="auto"/>
              <w:left w:val="single" w:sz="6" w:space="0" w:color="auto"/>
              <w:bottom w:val="single" w:sz="6" w:space="0" w:color="auto"/>
              <w:right w:val="single" w:sz="6" w:space="0" w:color="auto"/>
            </w:tcBorders>
          </w:tcPr>
          <w:p w14:paraId="329FA5CD" w14:textId="77777777" w:rsidR="00CE3169" w:rsidRPr="0064357E" w:rsidRDefault="00CE3169" w:rsidP="00827000">
            <w:pPr>
              <w:pStyle w:val="TableText"/>
            </w:pPr>
            <w:r w:rsidRPr="0064357E">
              <w:t>send a notice of proposed adverse action based on the higher verified payer amount.</w:t>
            </w:r>
          </w:p>
          <w:p w14:paraId="329FA5CE" w14:textId="77777777" w:rsidR="00CE3169" w:rsidRPr="0064357E" w:rsidRDefault="00CE3169" w:rsidP="00827000">
            <w:pPr>
              <w:pStyle w:val="TableText"/>
            </w:pPr>
          </w:p>
          <w:p w14:paraId="329FA5CF" w14:textId="77777777" w:rsidR="00CE3169" w:rsidRPr="0064357E" w:rsidRDefault="00CE3169" w:rsidP="00827000">
            <w:pPr>
              <w:pStyle w:val="TableText"/>
            </w:pPr>
            <w:r w:rsidRPr="0064357E">
              <w:rPr>
                <w:b/>
                <w:i/>
              </w:rPr>
              <w:t>Note</w:t>
            </w:r>
            <w:r w:rsidRPr="0064357E">
              <w:t>:</w:t>
            </w:r>
            <w:r w:rsidRPr="0064357E">
              <w:rPr>
                <w:b/>
                <w:i/>
              </w:rPr>
              <w:t xml:space="preserve">  </w:t>
            </w:r>
            <w:r w:rsidRPr="0064357E">
              <w:t>In the notice of proposed adverse action, give the beneficiary the opportunity to provide evidence to support the claim of lower income.</w:t>
            </w:r>
          </w:p>
        </w:tc>
      </w:tr>
    </w:tbl>
    <w:p w14:paraId="329FA5D3" w14:textId="69761DDF" w:rsidR="00CE3169" w:rsidRPr="0064357E" w:rsidRDefault="00CE3169" w:rsidP="00CE3169">
      <w:pPr>
        <w:pStyle w:val="Heading4"/>
      </w:pPr>
    </w:p>
    <w:p w14:paraId="7D92C03A" w14:textId="557D4097" w:rsidR="00827000" w:rsidRPr="0064357E" w:rsidRDefault="00827000">
      <w:pPr>
        <w:rPr>
          <w:b/>
        </w:rPr>
      </w:pPr>
    </w:p>
    <w:p w14:paraId="4123D093" w14:textId="77777777" w:rsidR="009C178D" w:rsidRPr="0064357E" w:rsidRDefault="009C178D"/>
    <w:tbl>
      <w:tblPr>
        <w:tblW w:w="0" w:type="auto"/>
        <w:tblLayout w:type="fixed"/>
        <w:tblLook w:val="0000" w:firstRow="0" w:lastRow="0" w:firstColumn="0" w:lastColumn="0" w:noHBand="0" w:noVBand="0"/>
      </w:tblPr>
      <w:tblGrid>
        <w:gridCol w:w="9360"/>
      </w:tblGrid>
      <w:tr w:rsidR="00CE3169" w:rsidRPr="0064357E" w14:paraId="329FA5D5" w14:textId="77777777" w:rsidTr="00827000">
        <w:trPr>
          <w:cantSplit/>
        </w:trPr>
        <w:tc>
          <w:tcPr>
            <w:tcW w:w="9360" w:type="dxa"/>
          </w:tcPr>
          <w:p w14:paraId="73D4F435" w14:textId="219F7686" w:rsidR="00827000" w:rsidRPr="0064357E" w:rsidRDefault="00827000" w:rsidP="00827000">
            <w:pPr>
              <w:pStyle w:val="ContinuedTableLabe"/>
            </w:pPr>
          </w:p>
          <w:p w14:paraId="329FA5D4" w14:textId="77777777" w:rsidR="00CE3169" w:rsidRPr="0064357E" w:rsidRDefault="00A80E8B" w:rsidP="00827000">
            <w:pPr>
              <w:pStyle w:val="ContinuedTableLabe"/>
            </w:pPr>
            <w:fldSimple w:instr=" STYLEREF &quot;Block Label&quot; ">
              <w:r w:rsidR="00CE3169" w:rsidRPr="0064357E">
                <w:rPr>
                  <w:noProof/>
                </w:rPr>
                <w:t>a.  Differing Response Procedures</w:t>
              </w:r>
            </w:fldSimple>
            <w:r w:rsidR="00CE3169" w:rsidRPr="0064357E">
              <w:t xml:space="preserve"> </w:t>
            </w:r>
            <w:r w:rsidR="00CE3169" w:rsidRPr="0064357E">
              <w:rPr>
                <w:b w:val="0"/>
              </w:rPr>
              <w:t>(continued)</w:t>
            </w:r>
          </w:p>
        </w:tc>
      </w:tr>
    </w:tbl>
    <w:p w14:paraId="329FA5D6" w14:textId="77777777" w:rsidR="00CE3169" w:rsidRPr="0064357E" w:rsidRDefault="00CE3169" w:rsidP="00CE3169"/>
    <w:tbl>
      <w:tblPr>
        <w:tblW w:w="7596" w:type="dxa"/>
        <w:tblInd w:w="1872" w:type="dxa"/>
        <w:tblLayout w:type="fixed"/>
        <w:tblCellMar>
          <w:left w:w="80" w:type="dxa"/>
          <w:right w:w="80" w:type="dxa"/>
        </w:tblCellMar>
        <w:tblLook w:val="0000" w:firstRow="0" w:lastRow="0" w:firstColumn="0" w:lastColumn="0" w:noHBand="0" w:noVBand="0"/>
      </w:tblPr>
      <w:tblGrid>
        <w:gridCol w:w="3791"/>
        <w:gridCol w:w="3805"/>
      </w:tblGrid>
      <w:tr w:rsidR="00CE3169" w:rsidRPr="0064357E" w14:paraId="329FA5D9" w14:textId="77777777" w:rsidTr="00827000">
        <w:trPr>
          <w:cantSplit/>
        </w:trPr>
        <w:tc>
          <w:tcPr>
            <w:tcW w:w="3773" w:type="dxa"/>
            <w:tcBorders>
              <w:top w:val="single" w:sz="6" w:space="0" w:color="auto"/>
              <w:left w:val="single" w:sz="6" w:space="0" w:color="auto"/>
              <w:bottom w:val="single" w:sz="6" w:space="0" w:color="auto"/>
              <w:right w:val="single" w:sz="6" w:space="0" w:color="auto"/>
            </w:tcBorders>
          </w:tcPr>
          <w:p w14:paraId="329FA5D7" w14:textId="77777777" w:rsidR="00CE3169" w:rsidRPr="0064357E" w:rsidRDefault="00CE3169" w:rsidP="00827000">
            <w:pPr>
              <w:pStyle w:val="TableHeaderText"/>
              <w:jc w:val="left"/>
            </w:pPr>
            <w:r w:rsidRPr="0064357E">
              <w:t>If …</w:t>
            </w:r>
          </w:p>
        </w:tc>
        <w:tc>
          <w:tcPr>
            <w:tcW w:w="3787" w:type="dxa"/>
            <w:tcBorders>
              <w:top w:val="single" w:sz="6" w:space="0" w:color="auto"/>
              <w:left w:val="single" w:sz="6" w:space="0" w:color="auto"/>
              <w:bottom w:val="single" w:sz="6" w:space="0" w:color="auto"/>
              <w:right w:val="single" w:sz="6" w:space="0" w:color="auto"/>
            </w:tcBorders>
          </w:tcPr>
          <w:p w14:paraId="329FA5D8" w14:textId="77777777" w:rsidR="00CE3169" w:rsidRPr="0064357E" w:rsidRDefault="00CE3169" w:rsidP="00827000">
            <w:pPr>
              <w:pStyle w:val="TableHeaderText"/>
              <w:jc w:val="left"/>
            </w:pPr>
            <w:r w:rsidRPr="0064357E">
              <w:t>Then …</w:t>
            </w:r>
          </w:p>
        </w:tc>
      </w:tr>
      <w:tr w:rsidR="00CE3169" w:rsidRPr="0064357E" w14:paraId="329FA5E1" w14:textId="77777777" w:rsidTr="00827000">
        <w:trPr>
          <w:cantSplit/>
        </w:trPr>
        <w:tc>
          <w:tcPr>
            <w:tcW w:w="3773" w:type="dxa"/>
            <w:tcBorders>
              <w:top w:val="single" w:sz="6" w:space="0" w:color="auto"/>
              <w:left w:val="single" w:sz="6" w:space="0" w:color="auto"/>
              <w:bottom w:val="single" w:sz="6" w:space="0" w:color="auto"/>
              <w:right w:val="single" w:sz="6" w:space="0" w:color="auto"/>
            </w:tcBorders>
          </w:tcPr>
          <w:p w14:paraId="329FA5DA" w14:textId="77777777" w:rsidR="00CE3169" w:rsidRPr="0064357E" w:rsidRDefault="00CE3169" w:rsidP="00BA10C1">
            <w:pPr>
              <w:pStyle w:val="ListParagraph"/>
              <w:numPr>
                <w:ilvl w:val="0"/>
                <w:numId w:val="51"/>
              </w:numPr>
              <w:ind w:left="158" w:hanging="187"/>
            </w:pPr>
            <w:r w:rsidRPr="0064357E">
              <w:t>the match amount would result in termination of benefits, and</w:t>
            </w:r>
          </w:p>
          <w:p w14:paraId="329FA5DB" w14:textId="77777777" w:rsidR="00CE3169" w:rsidRPr="0064357E" w:rsidRDefault="00CE3169" w:rsidP="00BA10C1">
            <w:pPr>
              <w:pStyle w:val="ListParagraph"/>
              <w:numPr>
                <w:ilvl w:val="0"/>
                <w:numId w:val="52"/>
              </w:numPr>
              <w:ind w:left="158" w:hanging="187"/>
            </w:pPr>
            <w:r w:rsidRPr="0064357E">
              <w:t>both the recipient and payer verify significantly less income that would not result in termination (for example, the match amount is $10,000 but $2,000 is verified)</w:t>
            </w:r>
          </w:p>
        </w:tc>
        <w:tc>
          <w:tcPr>
            <w:tcW w:w="3787" w:type="dxa"/>
            <w:tcBorders>
              <w:top w:val="single" w:sz="6" w:space="0" w:color="auto"/>
              <w:left w:val="single" w:sz="6" w:space="0" w:color="auto"/>
              <w:bottom w:val="single" w:sz="6" w:space="0" w:color="auto"/>
              <w:right w:val="single" w:sz="6" w:space="0" w:color="auto"/>
            </w:tcBorders>
          </w:tcPr>
          <w:p w14:paraId="40C9BEB9" w14:textId="7364D7BD" w:rsidR="009C178D" w:rsidRPr="0064357E" w:rsidRDefault="00CE3169" w:rsidP="00B1398C">
            <w:pPr>
              <w:pStyle w:val="ListParagraph"/>
              <w:ind w:left="0"/>
            </w:pPr>
            <w:proofErr w:type="gramStart"/>
            <w:r w:rsidRPr="0064357E">
              <w:t>send</w:t>
            </w:r>
            <w:proofErr w:type="gramEnd"/>
            <w:r w:rsidRPr="0064357E">
              <w:t xml:space="preserve"> a notice of proposed adverse action based upon the higher amount</w:t>
            </w:r>
            <w:r w:rsidR="009C178D" w:rsidRPr="0064357E">
              <w:t>.</w:t>
            </w:r>
          </w:p>
          <w:p w14:paraId="329FA5DC" w14:textId="7EB564CB" w:rsidR="00CE3169" w:rsidRPr="0064357E" w:rsidRDefault="00CE3169" w:rsidP="00B1398C">
            <w:pPr>
              <w:pStyle w:val="ListParagraph"/>
              <w:ind w:left="0"/>
            </w:pPr>
          </w:p>
          <w:p w14:paraId="329FA5E0" w14:textId="6BCAB119" w:rsidR="00CE3169" w:rsidRPr="0064357E" w:rsidRDefault="009C178D" w:rsidP="00B1398C">
            <w:pPr>
              <w:pStyle w:val="ListParagraph"/>
              <w:ind w:left="0"/>
            </w:pPr>
            <w:r w:rsidRPr="0064357E">
              <w:rPr>
                <w:b/>
                <w:i/>
              </w:rPr>
              <w:t xml:space="preserve">Note:  </w:t>
            </w:r>
            <w:r w:rsidRPr="0064357E">
              <w:t>In the notice of proposed adverse action,</w:t>
            </w:r>
            <w:r w:rsidR="00CE3169" w:rsidRPr="0064357E">
              <w:t xml:space="preserve"> </w:t>
            </w:r>
            <w:r w:rsidRPr="0064357E">
              <w:t xml:space="preserve">give </w:t>
            </w:r>
            <w:r w:rsidR="00CE3169" w:rsidRPr="0064357E">
              <w:t>the beneficiary the opportunity to provide evidence to support the claim of lower income.</w:t>
            </w:r>
          </w:p>
        </w:tc>
      </w:tr>
      <w:tr w:rsidR="00CE3169" w:rsidRPr="0064357E" w14:paraId="329FA5EA" w14:textId="77777777" w:rsidTr="00827000">
        <w:trPr>
          <w:cantSplit/>
        </w:trPr>
        <w:tc>
          <w:tcPr>
            <w:tcW w:w="3773" w:type="dxa"/>
            <w:tcBorders>
              <w:top w:val="single" w:sz="6" w:space="0" w:color="auto"/>
              <w:left w:val="single" w:sz="6" w:space="0" w:color="auto"/>
              <w:bottom w:val="single" w:sz="6" w:space="0" w:color="auto"/>
              <w:right w:val="single" w:sz="6" w:space="0" w:color="auto"/>
            </w:tcBorders>
          </w:tcPr>
          <w:p w14:paraId="329FA5E2" w14:textId="16A68B69" w:rsidR="00CE3169" w:rsidRPr="0064357E" w:rsidRDefault="00CE3169" w:rsidP="00BA10C1">
            <w:pPr>
              <w:pStyle w:val="ListParagraph"/>
              <w:numPr>
                <w:ilvl w:val="0"/>
                <w:numId w:val="53"/>
              </w:numPr>
              <w:ind w:left="158" w:hanging="187"/>
            </w:pPr>
            <w:r w:rsidRPr="0064357E">
              <w:t xml:space="preserve">the match amount would </w:t>
            </w:r>
            <w:r w:rsidRPr="0064357E">
              <w:rPr>
                <w:i/>
              </w:rPr>
              <w:t>not</w:t>
            </w:r>
            <w:r w:rsidRPr="0064357E">
              <w:t xml:space="preserve"> result in termination of benefits, and </w:t>
            </w:r>
          </w:p>
          <w:p w14:paraId="329FA5E3" w14:textId="77777777" w:rsidR="00CE3169" w:rsidRPr="0064357E" w:rsidRDefault="00CE3169" w:rsidP="00BA10C1">
            <w:pPr>
              <w:pStyle w:val="ListParagraph"/>
              <w:numPr>
                <w:ilvl w:val="0"/>
                <w:numId w:val="54"/>
              </w:numPr>
              <w:ind w:left="158" w:hanging="187"/>
            </w:pPr>
            <w:r w:rsidRPr="0064357E">
              <w:t>both the recipient and payer verify less income than the match amount, and the payer verifies more than the income recipient</w:t>
            </w:r>
          </w:p>
        </w:tc>
        <w:tc>
          <w:tcPr>
            <w:tcW w:w="3787" w:type="dxa"/>
            <w:tcBorders>
              <w:top w:val="single" w:sz="6" w:space="0" w:color="auto"/>
              <w:left w:val="single" w:sz="6" w:space="0" w:color="auto"/>
              <w:bottom w:val="single" w:sz="6" w:space="0" w:color="auto"/>
              <w:right w:val="single" w:sz="6" w:space="0" w:color="auto"/>
            </w:tcBorders>
          </w:tcPr>
          <w:p w14:paraId="329FA5E4" w14:textId="77777777" w:rsidR="00CE3169" w:rsidRPr="0064357E" w:rsidRDefault="00CE3169" w:rsidP="00BA10C1">
            <w:pPr>
              <w:pStyle w:val="ListParagraph"/>
              <w:numPr>
                <w:ilvl w:val="0"/>
                <w:numId w:val="55"/>
              </w:numPr>
              <w:ind w:left="158" w:hanging="187"/>
            </w:pPr>
            <w:r w:rsidRPr="0064357E">
              <w:t>send a notice of proposed adverse action based upon the higher payer amount, and</w:t>
            </w:r>
          </w:p>
          <w:p w14:paraId="329FA5E5" w14:textId="77777777" w:rsidR="00CE3169" w:rsidRPr="0064357E" w:rsidRDefault="00CE3169" w:rsidP="00BA10C1">
            <w:pPr>
              <w:pStyle w:val="ListParagraph"/>
              <w:numPr>
                <w:ilvl w:val="0"/>
                <w:numId w:val="56"/>
              </w:numPr>
              <w:ind w:left="158" w:hanging="187"/>
            </w:pPr>
            <w:r w:rsidRPr="0064357E">
              <w:t>provide the beneficiary the opportunity to provide evidence to support the claim of lower income.</w:t>
            </w:r>
          </w:p>
          <w:p w14:paraId="329FA5E6" w14:textId="77777777" w:rsidR="00CE3169" w:rsidRPr="0064357E" w:rsidRDefault="00CE3169" w:rsidP="00827000">
            <w:pPr>
              <w:pStyle w:val="TableText"/>
            </w:pPr>
          </w:p>
          <w:p w14:paraId="329FA5E9" w14:textId="42397F9D" w:rsidR="00CE3169" w:rsidRPr="0064357E" w:rsidRDefault="00CE3169" w:rsidP="00827000">
            <w:pPr>
              <w:pStyle w:val="TableText"/>
              <w:rPr>
                <w:b/>
              </w:rPr>
            </w:pPr>
            <w:r w:rsidRPr="0064357E">
              <w:rPr>
                <w:b/>
                <w:i/>
              </w:rPr>
              <w:t>Payer Report</w:t>
            </w:r>
            <w:r w:rsidRPr="0064357E">
              <w:t xml:space="preserve">:  Accept the payer report as accurate, disregarding the difference between that amount and the match amount </w:t>
            </w:r>
            <w:r w:rsidRPr="0064357E">
              <w:rPr>
                <w:i/>
              </w:rPr>
              <w:t>unless you have reason to believe that the payer has misreported</w:t>
            </w:r>
            <w:r w:rsidRPr="0064357E">
              <w:t>.  If you have reason to believe the payer report is inaccurate, take further action to verify the match amount.</w:t>
            </w:r>
          </w:p>
        </w:tc>
      </w:tr>
    </w:tbl>
    <w:p w14:paraId="329FA5EB" w14:textId="77777777" w:rsidR="00CE3169" w:rsidRPr="0064357E" w:rsidRDefault="00CE3169" w:rsidP="00CE3169"/>
    <w:p w14:paraId="329FA5ED" w14:textId="77777777" w:rsidR="00CE3169" w:rsidRPr="0064357E" w:rsidRDefault="00CE3169" w:rsidP="00CE3169"/>
    <w:p w14:paraId="329FA5EE" w14:textId="77777777" w:rsidR="00CE3169" w:rsidRPr="0064357E" w:rsidRDefault="00CE3169" w:rsidP="00CE3169">
      <w:pPr>
        <w:pStyle w:val="Heading4"/>
      </w:pPr>
    </w:p>
    <w:p w14:paraId="329FA5EF" w14:textId="16056A93" w:rsidR="00CE3169" w:rsidRPr="0064357E" w:rsidRDefault="00CE3169" w:rsidP="009C178D"/>
    <w:p w14:paraId="68D654B4" w14:textId="77777777" w:rsidR="009C178D" w:rsidRPr="0064357E" w:rsidRDefault="009C178D"/>
    <w:p w14:paraId="329FA5F0" w14:textId="77777777" w:rsidR="00CE3169" w:rsidRPr="0064357E" w:rsidRDefault="00CE3169" w:rsidP="00CE3169"/>
    <w:p w14:paraId="329FA5F1" w14:textId="77777777" w:rsidR="00CE3169" w:rsidRPr="0064357E" w:rsidRDefault="00CE3169" w:rsidP="00CE3169"/>
    <w:p w14:paraId="329FA5F2" w14:textId="77777777" w:rsidR="00CE3169" w:rsidRPr="0064357E" w:rsidRDefault="00CE3169" w:rsidP="00CE3169"/>
    <w:p w14:paraId="329FA5F3" w14:textId="77777777" w:rsidR="00CE3169" w:rsidRPr="0064357E" w:rsidRDefault="00CE3169" w:rsidP="00CE3169"/>
    <w:p w14:paraId="329FA5F4" w14:textId="054F743E" w:rsidR="00CE3169" w:rsidRPr="0064357E" w:rsidRDefault="00CE3169" w:rsidP="00CE3169">
      <w:pPr>
        <w:pStyle w:val="Heading4"/>
      </w:pPr>
    </w:p>
    <w:tbl>
      <w:tblPr>
        <w:tblW w:w="0" w:type="auto"/>
        <w:tblLayout w:type="fixed"/>
        <w:tblLook w:val="0000" w:firstRow="0" w:lastRow="0" w:firstColumn="0" w:lastColumn="0" w:noHBand="0" w:noVBand="0"/>
      </w:tblPr>
      <w:tblGrid>
        <w:gridCol w:w="1728"/>
        <w:gridCol w:w="7740"/>
      </w:tblGrid>
      <w:tr w:rsidR="00CE3169" w:rsidRPr="0064357E" w14:paraId="329FA601" w14:textId="77777777" w:rsidTr="00827000">
        <w:trPr>
          <w:cantSplit/>
        </w:trPr>
        <w:tc>
          <w:tcPr>
            <w:tcW w:w="1728" w:type="dxa"/>
          </w:tcPr>
          <w:p w14:paraId="329FA5F5" w14:textId="77777777" w:rsidR="00CE3169" w:rsidRPr="0064357E" w:rsidRDefault="00CE3169" w:rsidP="00827000">
            <w:pPr>
              <w:pStyle w:val="Heading5"/>
            </w:pPr>
            <w:r w:rsidRPr="0064357E">
              <w:t>b.  Example:  Handling Differing Responses</w:t>
            </w:r>
          </w:p>
        </w:tc>
        <w:tc>
          <w:tcPr>
            <w:tcW w:w="7740" w:type="dxa"/>
          </w:tcPr>
          <w:p w14:paraId="329FA5F6" w14:textId="77777777" w:rsidR="00CE3169" w:rsidRPr="0064357E" w:rsidRDefault="00CE3169" w:rsidP="00827000">
            <w:pPr>
              <w:pStyle w:val="BlockText"/>
            </w:pPr>
            <w:r w:rsidRPr="0064357E">
              <w:rPr>
                <w:b/>
                <w:bCs/>
                <w:i/>
                <w:iCs/>
              </w:rPr>
              <w:t>Situation</w:t>
            </w:r>
            <w:r w:rsidRPr="0064357E">
              <w:t xml:space="preserve">:  </w:t>
            </w:r>
          </w:p>
          <w:p w14:paraId="329FA5F7" w14:textId="77777777" w:rsidR="00CE3169" w:rsidRPr="0064357E" w:rsidRDefault="00CE3169" w:rsidP="00BA10C1">
            <w:pPr>
              <w:pStyle w:val="ListParagraph"/>
              <w:numPr>
                <w:ilvl w:val="0"/>
                <w:numId w:val="57"/>
              </w:numPr>
              <w:ind w:left="158" w:hanging="187"/>
            </w:pPr>
            <w:r w:rsidRPr="0064357E">
              <w:t>The match amount shows that the veteran received $5,000 earnings from the XYZ Company during 2007.</w:t>
            </w:r>
          </w:p>
          <w:p w14:paraId="329FA5F8" w14:textId="77777777" w:rsidR="00CE3169" w:rsidRPr="0064357E" w:rsidRDefault="00CE3169" w:rsidP="00BA10C1">
            <w:pPr>
              <w:pStyle w:val="ListParagraph"/>
              <w:numPr>
                <w:ilvl w:val="0"/>
                <w:numId w:val="58"/>
              </w:numPr>
              <w:ind w:left="158" w:hanging="187"/>
            </w:pPr>
            <w:r w:rsidRPr="0064357E">
              <w:t>The XYZ Company verifies $4,000.</w:t>
            </w:r>
          </w:p>
          <w:p w14:paraId="329FA5F9" w14:textId="77777777" w:rsidR="00CE3169" w:rsidRPr="0064357E" w:rsidRDefault="00CE3169" w:rsidP="00BA10C1">
            <w:pPr>
              <w:pStyle w:val="ListParagraph"/>
              <w:numPr>
                <w:ilvl w:val="0"/>
                <w:numId w:val="59"/>
              </w:numPr>
              <w:ind w:left="158" w:hanging="187"/>
            </w:pPr>
            <w:r w:rsidRPr="0064357E">
              <w:t>The veteran verifies $3,000.</w:t>
            </w:r>
          </w:p>
          <w:p w14:paraId="329FA5FA" w14:textId="77777777" w:rsidR="00CE3169" w:rsidRPr="0064357E" w:rsidRDefault="00CE3169" w:rsidP="00827000">
            <w:pPr>
              <w:pStyle w:val="BlockText"/>
            </w:pPr>
          </w:p>
          <w:p w14:paraId="329FA5FB" w14:textId="77777777" w:rsidR="00CE3169" w:rsidRPr="0064357E" w:rsidRDefault="00CE3169" w:rsidP="00827000">
            <w:pPr>
              <w:pStyle w:val="BlockText"/>
              <w:rPr>
                <w:b/>
                <w:bCs/>
                <w:i/>
                <w:iCs/>
              </w:rPr>
            </w:pPr>
            <w:r w:rsidRPr="0064357E">
              <w:rPr>
                <w:b/>
                <w:bCs/>
                <w:i/>
                <w:iCs/>
              </w:rPr>
              <w:t>Result</w:t>
            </w:r>
            <w:r w:rsidRPr="0064357E">
              <w:t>:</w:t>
            </w:r>
            <w:r w:rsidRPr="0064357E">
              <w:rPr>
                <w:b/>
                <w:bCs/>
                <w:i/>
                <w:iCs/>
              </w:rPr>
              <w:t xml:space="preserve">  </w:t>
            </w:r>
          </w:p>
          <w:p w14:paraId="329FA5FC" w14:textId="77777777" w:rsidR="00CE3169" w:rsidRPr="0064357E" w:rsidRDefault="00CE3169" w:rsidP="00BA10C1">
            <w:pPr>
              <w:pStyle w:val="ListParagraph"/>
              <w:numPr>
                <w:ilvl w:val="0"/>
                <w:numId w:val="60"/>
              </w:numPr>
              <w:ind w:left="158" w:hanging="187"/>
            </w:pPr>
            <w:r w:rsidRPr="0064357E">
              <w:t>Disregard the difference between $4,000 and $5,000 and send a notice of proposed adverse action based on $4,000.</w:t>
            </w:r>
          </w:p>
          <w:p w14:paraId="329FA5FD" w14:textId="77777777" w:rsidR="00CE3169" w:rsidRPr="0064357E" w:rsidRDefault="00CE3169" w:rsidP="00BA10C1">
            <w:pPr>
              <w:pStyle w:val="ListParagraph"/>
              <w:numPr>
                <w:ilvl w:val="0"/>
                <w:numId w:val="61"/>
              </w:numPr>
              <w:ind w:left="158" w:hanging="187"/>
            </w:pPr>
            <w:r w:rsidRPr="0064357E">
              <w:t>Provide the beneficiary the opportunity to provide evidence to support the claim of lower income.</w:t>
            </w:r>
          </w:p>
          <w:p w14:paraId="329FA600" w14:textId="132949AE" w:rsidR="00CE3169" w:rsidRPr="0064357E" w:rsidRDefault="00CE3169" w:rsidP="00BA10C1">
            <w:pPr>
              <w:pStyle w:val="ListParagraph"/>
              <w:numPr>
                <w:ilvl w:val="0"/>
                <w:numId w:val="62"/>
              </w:numPr>
              <w:ind w:left="158" w:hanging="187"/>
            </w:pPr>
            <w:r w:rsidRPr="0064357E">
              <w:t>Finalize action based on the $4,000 figure, if no additional evidence is received at the end of the adverse action proposal period.</w:t>
            </w:r>
          </w:p>
        </w:tc>
      </w:tr>
    </w:tbl>
    <w:p w14:paraId="329FA603" w14:textId="77777777" w:rsidR="00CE3169" w:rsidRPr="0064357E" w:rsidRDefault="00CE3169" w:rsidP="00CE3169"/>
    <w:p w14:paraId="667F0F18" w14:textId="77777777" w:rsidR="00DC662B" w:rsidRPr="0064357E" w:rsidRDefault="00DC662B" w:rsidP="00DC662B">
      <w:pPr>
        <w:pStyle w:val="Heading4"/>
      </w:pPr>
    </w:p>
    <w:p w14:paraId="3372FEE2" w14:textId="77777777" w:rsidR="00DC662B" w:rsidRPr="0064357E" w:rsidRDefault="00DC662B" w:rsidP="00DC662B">
      <w:pPr>
        <w:pStyle w:val="Heading4"/>
      </w:pPr>
    </w:p>
    <w:p w14:paraId="5DA904E8" w14:textId="77777777" w:rsidR="00DC662B" w:rsidRPr="0064357E" w:rsidRDefault="00DC662B" w:rsidP="00DC662B">
      <w:pPr>
        <w:pStyle w:val="Heading4"/>
      </w:pPr>
    </w:p>
    <w:p w14:paraId="382E2C32" w14:textId="77777777" w:rsidR="00DC662B" w:rsidRPr="0064357E" w:rsidRDefault="00DC662B" w:rsidP="00DC662B">
      <w:pPr>
        <w:pStyle w:val="Heading4"/>
      </w:pPr>
    </w:p>
    <w:p w14:paraId="5E6253ED" w14:textId="77777777" w:rsidR="00DC662B" w:rsidRPr="0064357E" w:rsidRDefault="00DC662B" w:rsidP="00DC662B">
      <w:pPr>
        <w:pStyle w:val="Heading4"/>
      </w:pPr>
    </w:p>
    <w:p w14:paraId="7D3A9C29" w14:textId="77777777" w:rsidR="00DC662B" w:rsidRPr="0064357E" w:rsidRDefault="00DC662B" w:rsidP="00DC662B">
      <w:pPr>
        <w:pStyle w:val="Heading4"/>
      </w:pPr>
    </w:p>
    <w:p w14:paraId="4C85D4C5" w14:textId="77777777" w:rsidR="00DC662B" w:rsidRPr="0064357E" w:rsidRDefault="00DC662B" w:rsidP="00DC662B">
      <w:pPr>
        <w:pStyle w:val="Heading4"/>
      </w:pPr>
    </w:p>
    <w:p w14:paraId="4540576B" w14:textId="77777777" w:rsidR="00DC662B" w:rsidRPr="0064357E" w:rsidRDefault="00DC662B" w:rsidP="00DC662B">
      <w:pPr>
        <w:pStyle w:val="Heading4"/>
      </w:pPr>
    </w:p>
    <w:p w14:paraId="50667325" w14:textId="77777777" w:rsidR="00DC662B" w:rsidRPr="0064357E" w:rsidRDefault="00DC662B" w:rsidP="00DC662B">
      <w:pPr>
        <w:pStyle w:val="Heading4"/>
      </w:pPr>
    </w:p>
    <w:p w14:paraId="055C3307" w14:textId="77777777" w:rsidR="00DC662B" w:rsidRPr="0064357E" w:rsidRDefault="00DC662B" w:rsidP="00DC662B">
      <w:pPr>
        <w:pStyle w:val="Heading4"/>
      </w:pPr>
    </w:p>
    <w:p w14:paraId="3D1E4C30" w14:textId="77777777" w:rsidR="00DC662B" w:rsidRPr="0064357E" w:rsidRDefault="00DC662B" w:rsidP="00DC662B">
      <w:pPr>
        <w:pStyle w:val="Heading4"/>
      </w:pPr>
    </w:p>
    <w:p w14:paraId="4E5DB390" w14:textId="77777777" w:rsidR="00DC662B" w:rsidRPr="0064357E" w:rsidRDefault="00DC662B" w:rsidP="00DC662B">
      <w:pPr>
        <w:pStyle w:val="Heading4"/>
      </w:pPr>
    </w:p>
    <w:p w14:paraId="7BBE8B41" w14:textId="77777777" w:rsidR="00DC662B" w:rsidRPr="0064357E" w:rsidRDefault="00DC662B" w:rsidP="00DC662B">
      <w:pPr>
        <w:pStyle w:val="Heading4"/>
      </w:pPr>
    </w:p>
    <w:p w14:paraId="57F124B0" w14:textId="77777777" w:rsidR="00DC662B" w:rsidRPr="0064357E" w:rsidRDefault="00DC662B" w:rsidP="00DC662B">
      <w:pPr>
        <w:pStyle w:val="Heading4"/>
      </w:pPr>
    </w:p>
    <w:p w14:paraId="59195950" w14:textId="77777777" w:rsidR="00DC662B" w:rsidRPr="0064357E" w:rsidRDefault="00DC662B" w:rsidP="00DC662B">
      <w:pPr>
        <w:pStyle w:val="Heading4"/>
      </w:pPr>
    </w:p>
    <w:p w14:paraId="5937A463" w14:textId="31FC483E" w:rsidR="00DC662B" w:rsidRPr="0064357E" w:rsidRDefault="004E1AA5" w:rsidP="00DC662B">
      <w:pPr>
        <w:pStyle w:val="Heading4"/>
      </w:pPr>
      <w:r w:rsidRPr="0064357E">
        <w:t>8</w:t>
      </w:r>
      <w:r w:rsidR="00DC662B" w:rsidRPr="0064357E">
        <w:t xml:space="preserve">.  Income Payer Response Only </w:t>
      </w:r>
    </w:p>
    <w:p w14:paraId="46AA618D" w14:textId="77777777" w:rsidR="00DC662B" w:rsidRPr="0064357E" w:rsidRDefault="00DC662B" w:rsidP="00DC662B">
      <w:pPr>
        <w:pStyle w:val="BlockLine"/>
      </w:pPr>
    </w:p>
    <w:tbl>
      <w:tblPr>
        <w:tblW w:w="0" w:type="auto"/>
        <w:tblLayout w:type="fixed"/>
        <w:tblLook w:val="0000" w:firstRow="0" w:lastRow="0" w:firstColumn="0" w:lastColumn="0" w:noHBand="0" w:noVBand="0"/>
      </w:tblPr>
      <w:tblGrid>
        <w:gridCol w:w="1728"/>
        <w:gridCol w:w="7740"/>
      </w:tblGrid>
      <w:tr w:rsidR="00DC662B" w:rsidRPr="0064357E" w14:paraId="649BDF1F" w14:textId="77777777" w:rsidTr="00C70CCA">
        <w:trPr>
          <w:cantSplit/>
        </w:trPr>
        <w:tc>
          <w:tcPr>
            <w:tcW w:w="1728" w:type="dxa"/>
          </w:tcPr>
          <w:p w14:paraId="116D342B" w14:textId="77777777" w:rsidR="00DC662B" w:rsidRPr="0064357E" w:rsidRDefault="00DC662B" w:rsidP="00C70CCA">
            <w:pPr>
              <w:pStyle w:val="Heading5"/>
            </w:pPr>
            <w:r w:rsidRPr="0064357E">
              <w:t>Change Date</w:t>
            </w:r>
          </w:p>
        </w:tc>
        <w:tc>
          <w:tcPr>
            <w:tcW w:w="7740" w:type="dxa"/>
          </w:tcPr>
          <w:p w14:paraId="25771636" w14:textId="00B0A579" w:rsidR="00DC662B" w:rsidRPr="0064357E" w:rsidRDefault="0064357E" w:rsidP="0064357E">
            <w:pPr>
              <w:tabs>
                <w:tab w:val="left" w:pos="9360"/>
              </w:tabs>
              <w:ind w:left="-18"/>
            </w:pPr>
            <w:r>
              <w:t>March 30, 2015</w:t>
            </w:r>
          </w:p>
        </w:tc>
      </w:tr>
    </w:tbl>
    <w:p w14:paraId="4ACB895E" w14:textId="77777777" w:rsidR="00DC662B" w:rsidRPr="0064357E" w:rsidRDefault="00DC662B" w:rsidP="00DC662B">
      <w:pPr>
        <w:pStyle w:val="BlockLine"/>
      </w:pPr>
      <w:r w:rsidRPr="0064357E">
        <w:t xml:space="preserve"> </w:t>
      </w:r>
    </w:p>
    <w:tbl>
      <w:tblPr>
        <w:tblW w:w="0" w:type="auto"/>
        <w:tblLayout w:type="fixed"/>
        <w:tblLook w:val="0000" w:firstRow="0" w:lastRow="0" w:firstColumn="0" w:lastColumn="0" w:noHBand="0" w:noVBand="0"/>
      </w:tblPr>
      <w:tblGrid>
        <w:gridCol w:w="1728"/>
        <w:gridCol w:w="7740"/>
      </w:tblGrid>
      <w:tr w:rsidR="00DC662B" w:rsidRPr="0064357E" w14:paraId="05B9D901" w14:textId="77777777" w:rsidTr="00C70CCA">
        <w:trPr>
          <w:cantSplit/>
        </w:trPr>
        <w:tc>
          <w:tcPr>
            <w:tcW w:w="1728" w:type="dxa"/>
          </w:tcPr>
          <w:p w14:paraId="7D61C492" w14:textId="77777777" w:rsidR="00DC662B" w:rsidRPr="0064357E" w:rsidRDefault="00DC662B" w:rsidP="00C70CCA">
            <w:pPr>
              <w:pStyle w:val="Heading5"/>
            </w:pPr>
            <w:proofErr w:type="gramStart"/>
            <w:r w:rsidRPr="0064357E">
              <w:t>a.  Payer’s</w:t>
            </w:r>
            <w:proofErr w:type="gramEnd"/>
            <w:r w:rsidRPr="0064357E">
              <w:t xml:space="preserve"> Report Only</w:t>
            </w:r>
          </w:p>
        </w:tc>
        <w:tc>
          <w:tcPr>
            <w:tcW w:w="7740" w:type="dxa"/>
          </w:tcPr>
          <w:p w14:paraId="2ABF04AF" w14:textId="77777777" w:rsidR="00DC662B" w:rsidRPr="0064357E" w:rsidRDefault="00DC662B" w:rsidP="00C70CCA">
            <w:pPr>
              <w:pStyle w:val="BlockText"/>
            </w:pPr>
            <w:r w:rsidRPr="0064357E">
              <w:t>When the income payer responds, but the recipient does not respond to earned income match query, send a notice of proposed adverse action based on the payer’s report.</w:t>
            </w:r>
          </w:p>
          <w:p w14:paraId="7D2379C6" w14:textId="77777777" w:rsidR="00DC662B" w:rsidRPr="0064357E" w:rsidRDefault="00DC662B" w:rsidP="00C70CCA">
            <w:pPr>
              <w:pStyle w:val="BlockText"/>
            </w:pPr>
          </w:p>
          <w:p w14:paraId="550396B7" w14:textId="796FC384" w:rsidR="00DC662B" w:rsidRPr="0064357E" w:rsidRDefault="00DC662B" w:rsidP="00B1398C">
            <w:pPr>
              <w:pStyle w:val="BlockText"/>
            </w:pPr>
            <w:r w:rsidRPr="0064357E">
              <w:rPr>
                <w:b/>
                <w:i/>
              </w:rPr>
              <w:t>Reference</w:t>
            </w:r>
            <w:r w:rsidRPr="0064357E">
              <w:t>:</w:t>
            </w:r>
            <w:r w:rsidRPr="0064357E">
              <w:rPr>
                <w:b/>
              </w:rPr>
              <w:t xml:space="preserve"> </w:t>
            </w:r>
            <w:r w:rsidRPr="0064357E">
              <w:t xml:space="preserve"> For more information on the efforts to clari</w:t>
            </w:r>
            <w:r w:rsidR="004B002F" w:rsidRPr="0064357E">
              <w:t>fy disputed amounts, see M21-1</w:t>
            </w:r>
            <w:r w:rsidRPr="0064357E">
              <w:t xml:space="preserve">, Part X, </w:t>
            </w:r>
            <w:r w:rsidR="00CD31E2" w:rsidRPr="0064357E">
              <w:t xml:space="preserve">Chapter 9, Section C, </w:t>
            </w:r>
            <w:proofErr w:type="gramStart"/>
            <w:r w:rsidR="00CD31E2" w:rsidRPr="0064357E">
              <w:t>Topic</w:t>
            </w:r>
            <w:proofErr w:type="gramEnd"/>
            <w:r w:rsidR="00CD31E2" w:rsidRPr="0064357E">
              <w:t xml:space="preserve"> 1</w:t>
            </w:r>
            <w:r w:rsidR="00152014" w:rsidRPr="0064357E">
              <w:t>2</w:t>
            </w:r>
            <w:r w:rsidRPr="0064357E">
              <w:t>.</w:t>
            </w:r>
          </w:p>
        </w:tc>
      </w:tr>
    </w:tbl>
    <w:p w14:paraId="329FA604" w14:textId="77777777" w:rsidR="00CA04F2" w:rsidRPr="0064357E" w:rsidRDefault="00CA04F2" w:rsidP="00CE3169"/>
    <w:p w14:paraId="4224406F" w14:textId="77777777" w:rsidR="00DC662B" w:rsidRPr="0064357E" w:rsidRDefault="00DC662B" w:rsidP="00DC662B">
      <w:pPr>
        <w:pStyle w:val="Heading4"/>
      </w:pPr>
    </w:p>
    <w:p w14:paraId="03C8C070" w14:textId="77777777" w:rsidR="00DC662B" w:rsidRPr="0064357E" w:rsidRDefault="00DC662B" w:rsidP="00DC662B">
      <w:pPr>
        <w:pStyle w:val="Heading4"/>
      </w:pPr>
    </w:p>
    <w:p w14:paraId="478B418F" w14:textId="77777777" w:rsidR="00DC662B" w:rsidRPr="0064357E" w:rsidRDefault="00DC662B" w:rsidP="00DC662B">
      <w:pPr>
        <w:pStyle w:val="Heading4"/>
      </w:pPr>
    </w:p>
    <w:p w14:paraId="445EDF9E" w14:textId="77777777" w:rsidR="00DC662B" w:rsidRPr="0064357E" w:rsidRDefault="00DC662B" w:rsidP="00DC662B">
      <w:pPr>
        <w:pStyle w:val="Heading4"/>
      </w:pPr>
    </w:p>
    <w:p w14:paraId="06B593FB" w14:textId="77777777" w:rsidR="00DC662B" w:rsidRPr="0064357E" w:rsidRDefault="00DC662B" w:rsidP="00DC662B">
      <w:pPr>
        <w:pStyle w:val="Heading4"/>
      </w:pPr>
    </w:p>
    <w:p w14:paraId="7EFAC704" w14:textId="77777777" w:rsidR="00DC662B" w:rsidRPr="0064357E" w:rsidRDefault="00DC662B" w:rsidP="00DC662B">
      <w:pPr>
        <w:pStyle w:val="Heading4"/>
      </w:pPr>
    </w:p>
    <w:p w14:paraId="75B1E58D" w14:textId="77777777" w:rsidR="00DC662B" w:rsidRPr="0064357E" w:rsidRDefault="00DC662B" w:rsidP="00DC662B">
      <w:pPr>
        <w:pStyle w:val="Heading4"/>
      </w:pPr>
    </w:p>
    <w:p w14:paraId="44C0513A" w14:textId="77777777" w:rsidR="00DC662B" w:rsidRPr="0064357E" w:rsidRDefault="00DC662B" w:rsidP="00DC662B">
      <w:pPr>
        <w:pStyle w:val="Heading4"/>
      </w:pPr>
    </w:p>
    <w:p w14:paraId="20F8F36A" w14:textId="77777777" w:rsidR="00DC662B" w:rsidRPr="0064357E" w:rsidRDefault="00DC662B" w:rsidP="00DC662B">
      <w:pPr>
        <w:pStyle w:val="Heading4"/>
      </w:pPr>
    </w:p>
    <w:p w14:paraId="099EFF14" w14:textId="77777777" w:rsidR="00DC662B" w:rsidRPr="0064357E" w:rsidRDefault="00DC662B" w:rsidP="00DC662B">
      <w:pPr>
        <w:pStyle w:val="Heading4"/>
      </w:pPr>
    </w:p>
    <w:p w14:paraId="33AC6660" w14:textId="77777777" w:rsidR="00DC662B" w:rsidRPr="0064357E" w:rsidRDefault="00DC662B" w:rsidP="00DC662B">
      <w:pPr>
        <w:pStyle w:val="Heading4"/>
      </w:pPr>
    </w:p>
    <w:p w14:paraId="77E04EFB" w14:textId="77777777" w:rsidR="00DC662B" w:rsidRPr="0064357E" w:rsidRDefault="00DC662B" w:rsidP="00DC662B">
      <w:pPr>
        <w:pStyle w:val="Heading4"/>
      </w:pPr>
    </w:p>
    <w:p w14:paraId="7342F8C7" w14:textId="77777777" w:rsidR="00DC662B" w:rsidRPr="0064357E" w:rsidRDefault="00DC662B" w:rsidP="00DC662B">
      <w:pPr>
        <w:pStyle w:val="Heading4"/>
      </w:pPr>
    </w:p>
    <w:p w14:paraId="6B4EE566" w14:textId="77777777" w:rsidR="00DC662B" w:rsidRPr="0064357E" w:rsidRDefault="00DC662B" w:rsidP="00DC662B">
      <w:pPr>
        <w:pStyle w:val="Heading4"/>
      </w:pPr>
    </w:p>
    <w:p w14:paraId="4CC364AD" w14:textId="77777777" w:rsidR="00DC662B" w:rsidRPr="0064357E" w:rsidRDefault="00DC662B" w:rsidP="00DC662B">
      <w:pPr>
        <w:pStyle w:val="Heading4"/>
      </w:pPr>
    </w:p>
    <w:p w14:paraId="20A42473" w14:textId="366C368F" w:rsidR="00DC662B" w:rsidRPr="0064357E" w:rsidRDefault="004E1AA5" w:rsidP="00DC662B">
      <w:pPr>
        <w:pStyle w:val="Heading4"/>
      </w:pPr>
      <w:r w:rsidRPr="0064357E">
        <w:t>9</w:t>
      </w:r>
      <w:r w:rsidR="00DC662B" w:rsidRPr="0064357E">
        <w:t xml:space="preserve">.  Income Recipient Response Only </w:t>
      </w:r>
    </w:p>
    <w:p w14:paraId="5417165C" w14:textId="77777777" w:rsidR="00DC662B" w:rsidRPr="0064357E" w:rsidRDefault="00DC662B" w:rsidP="00DC662B">
      <w:pPr>
        <w:pStyle w:val="BlockLine"/>
      </w:pPr>
    </w:p>
    <w:tbl>
      <w:tblPr>
        <w:tblW w:w="0" w:type="auto"/>
        <w:tblLayout w:type="fixed"/>
        <w:tblLook w:val="0000" w:firstRow="0" w:lastRow="0" w:firstColumn="0" w:lastColumn="0" w:noHBand="0" w:noVBand="0"/>
      </w:tblPr>
      <w:tblGrid>
        <w:gridCol w:w="1728"/>
        <w:gridCol w:w="7740"/>
      </w:tblGrid>
      <w:tr w:rsidR="00DC662B" w:rsidRPr="0064357E" w14:paraId="78C1F792" w14:textId="77777777" w:rsidTr="00C70CCA">
        <w:trPr>
          <w:cantSplit/>
        </w:trPr>
        <w:tc>
          <w:tcPr>
            <w:tcW w:w="1728" w:type="dxa"/>
          </w:tcPr>
          <w:p w14:paraId="14C1A54F" w14:textId="77777777" w:rsidR="00DC662B" w:rsidRPr="0064357E" w:rsidRDefault="00DC662B" w:rsidP="00C70CCA">
            <w:pPr>
              <w:pStyle w:val="Heading5"/>
            </w:pPr>
            <w:r w:rsidRPr="0064357E">
              <w:t>Change Date</w:t>
            </w:r>
          </w:p>
        </w:tc>
        <w:tc>
          <w:tcPr>
            <w:tcW w:w="7740" w:type="dxa"/>
          </w:tcPr>
          <w:p w14:paraId="63EF9207" w14:textId="16801860" w:rsidR="00DC662B" w:rsidRPr="0064357E" w:rsidRDefault="0064357E" w:rsidP="0064357E">
            <w:pPr>
              <w:tabs>
                <w:tab w:val="left" w:pos="9360"/>
              </w:tabs>
              <w:ind w:left="-18"/>
            </w:pPr>
            <w:r>
              <w:t>March 30, 2015</w:t>
            </w:r>
          </w:p>
        </w:tc>
      </w:tr>
    </w:tbl>
    <w:p w14:paraId="4443A4DC" w14:textId="77777777" w:rsidR="00DC662B" w:rsidRPr="0064357E" w:rsidRDefault="00DC662B" w:rsidP="00DC662B">
      <w:pPr>
        <w:pStyle w:val="BlockLine"/>
      </w:pPr>
      <w:r w:rsidRPr="0064357E">
        <w:t xml:space="preserve"> </w:t>
      </w:r>
    </w:p>
    <w:tbl>
      <w:tblPr>
        <w:tblW w:w="0" w:type="auto"/>
        <w:tblLayout w:type="fixed"/>
        <w:tblLook w:val="0000" w:firstRow="0" w:lastRow="0" w:firstColumn="0" w:lastColumn="0" w:noHBand="0" w:noVBand="0"/>
      </w:tblPr>
      <w:tblGrid>
        <w:gridCol w:w="1728"/>
        <w:gridCol w:w="7740"/>
      </w:tblGrid>
      <w:tr w:rsidR="00DC662B" w:rsidRPr="0064357E" w14:paraId="23E7FC11" w14:textId="77777777" w:rsidTr="00C70CCA">
        <w:trPr>
          <w:cantSplit/>
        </w:trPr>
        <w:tc>
          <w:tcPr>
            <w:tcW w:w="1728" w:type="dxa"/>
          </w:tcPr>
          <w:p w14:paraId="72185952" w14:textId="77777777" w:rsidR="00DC662B" w:rsidRPr="0064357E" w:rsidRDefault="00DC662B" w:rsidP="00C70CCA">
            <w:pPr>
              <w:pStyle w:val="Heading5"/>
            </w:pPr>
            <w:r w:rsidRPr="0064357E">
              <w:t>a.  Response to FTI Match</w:t>
            </w:r>
          </w:p>
        </w:tc>
        <w:tc>
          <w:tcPr>
            <w:tcW w:w="7740" w:type="dxa"/>
          </w:tcPr>
          <w:p w14:paraId="2B2790FB" w14:textId="77777777" w:rsidR="00DC662B" w:rsidRPr="0064357E" w:rsidRDefault="00DC662B" w:rsidP="00C70CCA">
            <w:pPr>
              <w:pStyle w:val="BlockText"/>
            </w:pPr>
            <w:r w:rsidRPr="0064357E">
              <w:t>Use the guidelines in the table below when the income</w:t>
            </w:r>
          </w:p>
          <w:p w14:paraId="27F1C022" w14:textId="77777777" w:rsidR="00DC662B" w:rsidRPr="0064357E" w:rsidRDefault="00DC662B" w:rsidP="00C70CCA">
            <w:pPr>
              <w:pStyle w:val="BlockText"/>
            </w:pPr>
          </w:p>
          <w:p w14:paraId="00648EC1" w14:textId="77777777" w:rsidR="00DC662B" w:rsidRPr="0064357E" w:rsidRDefault="00DC662B" w:rsidP="00BA10C1">
            <w:pPr>
              <w:pStyle w:val="ListParagraph"/>
              <w:numPr>
                <w:ilvl w:val="0"/>
                <w:numId w:val="68"/>
              </w:numPr>
              <w:ind w:left="158" w:hanging="187"/>
            </w:pPr>
            <w:r w:rsidRPr="0064357E">
              <w:t>Recipient, including the spouse of a beneficiary, responds, but</w:t>
            </w:r>
          </w:p>
          <w:p w14:paraId="2CC530A5" w14:textId="77777777" w:rsidR="00DC662B" w:rsidRPr="0064357E" w:rsidRDefault="00DC662B" w:rsidP="00BA10C1">
            <w:pPr>
              <w:pStyle w:val="ListParagraph"/>
              <w:numPr>
                <w:ilvl w:val="0"/>
                <w:numId w:val="69"/>
              </w:numPr>
              <w:ind w:left="158" w:hanging="187"/>
            </w:pPr>
            <w:r w:rsidRPr="0064357E">
              <w:t>payer does not respond to the FTI match query.</w:t>
            </w:r>
          </w:p>
        </w:tc>
      </w:tr>
    </w:tbl>
    <w:p w14:paraId="15BDDD0A" w14:textId="77777777" w:rsidR="00DC662B" w:rsidRPr="0064357E" w:rsidRDefault="00DC662B" w:rsidP="00DC662B"/>
    <w:tbl>
      <w:tblPr>
        <w:tblW w:w="7596" w:type="dxa"/>
        <w:tblInd w:w="1872" w:type="dxa"/>
        <w:tblLayout w:type="fixed"/>
        <w:tblCellMar>
          <w:left w:w="80" w:type="dxa"/>
          <w:right w:w="80" w:type="dxa"/>
        </w:tblCellMar>
        <w:tblLook w:val="0000" w:firstRow="0" w:lastRow="0" w:firstColumn="0" w:lastColumn="0" w:noHBand="0" w:noVBand="0"/>
      </w:tblPr>
      <w:tblGrid>
        <w:gridCol w:w="3426"/>
        <w:gridCol w:w="4170"/>
      </w:tblGrid>
      <w:tr w:rsidR="00DC662B" w:rsidRPr="0064357E" w14:paraId="35CA5CE8" w14:textId="77777777" w:rsidTr="002E686F">
        <w:trPr>
          <w:cantSplit/>
        </w:trPr>
        <w:tc>
          <w:tcPr>
            <w:tcW w:w="3426" w:type="dxa"/>
            <w:tcBorders>
              <w:top w:val="single" w:sz="6" w:space="0" w:color="auto"/>
              <w:left w:val="single" w:sz="6" w:space="0" w:color="auto"/>
              <w:bottom w:val="single" w:sz="6" w:space="0" w:color="auto"/>
              <w:right w:val="single" w:sz="6" w:space="0" w:color="auto"/>
            </w:tcBorders>
          </w:tcPr>
          <w:p w14:paraId="2FD57956" w14:textId="77777777" w:rsidR="00DC662B" w:rsidRPr="0064357E" w:rsidRDefault="00DC662B" w:rsidP="00C70CCA">
            <w:pPr>
              <w:pStyle w:val="TableHeaderText"/>
              <w:jc w:val="left"/>
            </w:pPr>
            <w:r w:rsidRPr="0064357E">
              <w:t>If the income recipient …</w:t>
            </w:r>
          </w:p>
        </w:tc>
        <w:tc>
          <w:tcPr>
            <w:tcW w:w="4170" w:type="dxa"/>
            <w:tcBorders>
              <w:top w:val="single" w:sz="6" w:space="0" w:color="auto"/>
              <w:left w:val="single" w:sz="6" w:space="0" w:color="auto"/>
              <w:bottom w:val="single" w:sz="6" w:space="0" w:color="auto"/>
              <w:right w:val="single" w:sz="6" w:space="0" w:color="auto"/>
            </w:tcBorders>
          </w:tcPr>
          <w:p w14:paraId="2B9CB4A1" w14:textId="77777777" w:rsidR="00DC662B" w:rsidRPr="0064357E" w:rsidRDefault="00DC662B" w:rsidP="00C70CCA">
            <w:pPr>
              <w:pStyle w:val="TableHeaderText"/>
              <w:jc w:val="left"/>
            </w:pPr>
            <w:r w:rsidRPr="0064357E">
              <w:t>Then …</w:t>
            </w:r>
          </w:p>
        </w:tc>
      </w:tr>
      <w:tr w:rsidR="00DC662B" w:rsidRPr="0064357E" w14:paraId="587C018C" w14:textId="77777777" w:rsidTr="002E686F">
        <w:trPr>
          <w:cantSplit/>
        </w:trPr>
        <w:tc>
          <w:tcPr>
            <w:tcW w:w="3426" w:type="dxa"/>
            <w:tcBorders>
              <w:top w:val="single" w:sz="6" w:space="0" w:color="auto"/>
              <w:left w:val="single" w:sz="6" w:space="0" w:color="auto"/>
              <w:bottom w:val="single" w:sz="6" w:space="0" w:color="auto"/>
              <w:right w:val="single" w:sz="6" w:space="0" w:color="auto"/>
            </w:tcBorders>
          </w:tcPr>
          <w:p w14:paraId="2F5AF0A5" w14:textId="633ED68C" w:rsidR="00DC662B" w:rsidRPr="0064357E" w:rsidRDefault="00DC662B" w:rsidP="00BA10C1">
            <w:pPr>
              <w:pStyle w:val="ListParagraph"/>
              <w:numPr>
                <w:ilvl w:val="0"/>
                <w:numId w:val="70"/>
              </w:numPr>
              <w:ind w:left="158" w:hanging="187"/>
            </w:pPr>
            <w:r w:rsidRPr="0064357E">
              <w:t>confirms the match data</w:t>
            </w:r>
          </w:p>
          <w:p w14:paraId="4ECEC4E7" w14:textId="77777777" w:rsidR="00DC662B" w:rsidRPr="0064357E" w:rsidRDefault="00DC662B" w:rsidP="00BA10C1">
            <w:pPr>
              <w:pStyle w:val="ListParagraph"/>
              <w:numPr>
                <w:ilvl w:val="0"/>
                <w:numId w:val="71"/>
              </w:numPr>
              <w:ind w:left="158" w:hanging="187"/>
            </w:pPr>
            <w:r w:rsidRPr="0064357E">
              <w:t xml:space="preserve">reports a lesser amount that would terminate benefits, </w:t>
            </w:r>
            <w:r w:rsidRPr="0064357E">
              <w:rPr>
                <w:b/>
                <w:i/>
              </w:rPr>
              <w:t>or</w:t>
            </w:r>
            <w:r w:rsidRPr="0064357E">
              <w:t xml:space="preserve"> </w:t>
            </w:r>
          </w:p>
          <w:p w14:paraId="6D64BF63" w14:textId="77777777" w:rsidR="00DC662B" w:rsidRPr="0064357E" w:rsidRDefault="00DC662B" w:rsidP="00BA10C1">
            <w:pPr>
              <w:pStyle w:val="ListParagraph"/>
              <w:numPr>
                <w:ilvl w:val="0"/>
                <w:numId w:val="72"/>
              </w:numPr>
              <w:ind w:left="158" w:hanging="187"/>
            </w:pPr>
            <w:r w:rsidRPr="0064357E">
              <w:t>reports more income than was disclosed by the match</w:t>
            </w:r>
          </w:p>
        </w:tc>
        <w:tc>
          <w:tcPr>
            <w:tcW w:w="4170" w:type="dxa"/>
            <w:tcBorders>
              <w:top w:val="single" w:sz="6" w:space="0" w:color="auto"/>
              <w:left w:val="single" w:sz="6" w:space="0" w:color="auto"/>
              <w:bottom w:val="single" w:sz="6" w:space="0" w:color="auto"/>
              <w:right w:val="single" w:sz="6" w:space="0" w:color="auto"/>
            </w:tcBorders>
          </w:tcPr>
          <w:p w14:paraId="4D0F2144" w14:textId="77777777" w:rsidR="00DC662B" w:rsidRPr="0064357E" w:rsidRDefault="00DC662B" w:rsidP="00C70CCA">
            <w:pPr>
              <w:pStyle w:val="TableText"/>
            </w:pPr>
            <w:r w:rsidRPr="0064357E">
              <w:t>send a notice of proposed adverse action based on the income recipient’s report.</w:t>
            </w:r>
          </w:p>
        </w:tc>
      </w:tr>
      <w:tr w:rsidR="00DC662B" w:rsidRPr="0064357E" w14:paraId="4ECBA876" w14:textId="77777777" w:rsidTr="002E686F">
        <w:trPr>
          <w:cantSplit/>
          <w:trHeight w:val="1173"/>
        </w:trPr>
        <w:tc>
          <w:tcPr>
            <w:tcW w:w="3426" w:type="dxa"/>
            <w:tcBorders>
              <w:top w:val="single" w:sz="6" w:space="0" w:color="auto"/>
              <w:left w:val="single" w:sz="6" w:space="0" w:color="auto"/>
              <w:bottom w:val="single" w:sz="6" w:space="0" w:color="auto"/>
              <w:right w:val="single" w:sz="6" w:space="0" w:color="auto"/>
            </w:tcBorders>
          </w:tcPr>
          <w:p w14:paraId="28543B84" w14:textId="153C08CE" w:rsidR="00DC662B" w:rsidRPr="0064357E" w:rsidRDefault="00DC662B" w:rsidP="00BA10C1">
            <w:pPr>
              <w:pStyle w:val="ListParagraph"/>
              <w:numPr>
                <w:ilvl w:val="0"/>
                <w:numId w:val="73"/>
              </w:numPr>
              <w:ind w:left="158" w:hanging="187"/>
            </w:pPr>
            <w:r w:rsidRPr="0064357E">
              <w:t xml:space="preserve">reports less income than the match data and does not provide evidence to support the reported income (for example, incorrect SSN or corrected IRS Form or W-2, etc.), </w:t>
            </w:r>
            <w:r w:rsidRPr="0064357E">
              <w:rPr>
                <w:b/>
                <w:i/>
              </w:rPr>
              <w:t xml:space="preserve">and </w:t>
            </w:r>
          </w:p>
          <w:p w14:paraId="427C00C2" w14:textId="77777777" w:rsidR="00DC662B" w:rsidRPr="0064357E" w:rsidRDefault="00DC662B" w:rsidP="00BA10C1">
            <w:pPr>
              <w:pStyle w:val="ListParagraph"/>
              <w:numPr>
                <w:ilvl w:val="0"/>
                <w:numId w:val="74"/>
              </w:numPr>
              <w:ind w:left="158" w:hanging="187"/>
            </w:pPr>
            <w:r w:rsidRPr="0064357E">
              <w:t>the reported amount will not terminate benefits</w:t>
            </w:r>
          </w:p>
        </w:tc>
        <w:tc>
          <w:tcPr>
            <w:tcW w:w="4170" w:type="dxa"/>
            <w:tcBorders>
              <w:top w:val="single" w:sz="6" w:space="0" w:color="auto"/>
              <w:left w:val="single" w:sz="6" w:space="0" w:color="auto"/>
              <w:bottom w:val="single" w:sz="6" w:space="0" w:color="auto"/>
              <w:right w:val="single" w:sz="6" w:space="0" w:color="auto"/>
            </w:tcBorders>
          </w:tcPr>
          <w:p w14:paraId="2A35E918" w14:textId="77777777" w:rsidR="00DC662B" w:rsidRPr="0064357E" w:rsidRDefault="00DC662B" w:rsidP="00C70CCA">
            <w:pPr>
              <w:pStyle w:val="TableText"/>
            </w:pPr>
            <w:r w:rsidRPr="0064357E">
              <w:t>send a notice of proposed adverse action based on the higher verified payer amount.</w:t>
            </w:r>
          </w:p>
          <w:p w14:paraId="713C16A8" w14:textId="77777777" w:rsidR="00DC662B" w:rsidRPr="0064357E" w:rsidRDefault="00DC662B" w:rsidP="00C70CCA">
            <w:pPr>
              <w:pStyle w:val="TableText"/>
            </w:pPr>
          </w:p>
          <w:p w14:paraId="293E1C2D" w14:textId="77777777" w:rsidR="00DC662B" w:rsidRPr="0064357E" w:rsidRDefault="00DC662B" w:rsidP="00C70CCA">
            <w:pPr>
              <w:pStyle w:val="TableText"/>
            </w:pPr>
            <w:r w:rsidRPr="0064357E">
              <w:rPr>
                <w:b/>
                <w:i/>
              </w:rPr>
              <w:t>Note</w:t>
            </w:r>
            <w:r w:rsidRPr="0064357E">
              <w:t>:</w:t>
            </w:r>
            <w:r w:rsidRPr="0064357E">
              <w:rPr>
                <w:b/>
                <w:i/>
              </w:rPr>
              <w:t xml:space="preserve">  </w:t>
            </w:r>
            <w:r w:rsidRPr="0064357E">
              <w:t>In the notice of proposed adverse action, give the beneficiary the opportunity to provide evidence to support the claim of lower income.</w:t>
            </w:r>
          </w:p>
        </w:tc>
      </w:tr>
      <w:tr w:rsidR="00DC662B" w:rsidRPr="0064357E" w14:paraId="395EC810" w14:textId="77777777" w:rsidTr="002E686F">
        <w:trPr>
          <w:cantSplit/>
        </w:trPr>
        <w:tc>
          <w:tcPr>
            <w:tcW w:w="3426" w:type="dxa"/>
            <w:tcBorders>
              <w:top w:val="single" w:sz="6" w:space="0" w:color="auto"/>
              <w:left w:val="single" w:sz="6" w:space="0" w:color="auto"/>
              <w:bottom w:val="single" w:sz="6" w:space="0" w:color="auto"/>
              <w:right w:val="single" w:sz="6" w:space="0" w:color="auto"/>
            </w:tcBorders>
          </w:tcPr>
          <w:p w14:paraId="760AA6F5" w14:textId="6D7B4F44" w:rsidR="00DC662B" w:rsidRPr="0064357E" w:rsidRDefault="00C26C1C" w:rsidP="008D7966">
            <w:pPr>
              <w:pStyle w:val="ListParagraph"/>
              <w:numPr>
                <w:ilvl w:val="0"/>
                <w:numId w:val="75"/>
              </w:numPr>
              <w:ind w:left="158" w:hanging="187"/>
            </w:pPr>
            <w:r w:rsidRPr="0064357E">
              <w:t>reports</w:t>
            </w:r>
            <w:r w:rsidR="00DC662B" w:rsidRPr="0064357E">
              <w:t xml:space="preserve"> less income than the match data</w:t>
            </w:r>
            <w:r w:rsidR="00322293" w:rsidRPr="0064357E">
              <w:t xml:space="preserve"> and does provide evidence to support the reported income</w:t>
            </w:r>
            <w:r w:rsidR="00DC662B" w:rsidRPr="0064357E">
              <w:t xml:space="preserve">, </w:t>
            </w:r>
            <w:r w:rsidR="00DC662B" w:rsidRPr="0064357E">
              <w:rPr>
                <w:b/>
                <w:i/>
              </w:rPr>
              <w:t>and</w:t>
            </w:r>
            <w:r w:rsidR="00DC662B" w:rsidRPr="0064357E">
              <w:t xml:space="preserve"> </w:t>
            </w:r>
          </w:p>
          <w:p w14:paraId="11B3FB05" w14:textId="6F8F9803" w:rsidR="00DC662B" w:rsidRPr="0064357E" w:rsidRDefault="00322293" w:rsidP="008D7966">
            <w:pPr>
              <w:pStyle w:val="ListParagraph"/>
              <w:numPr>
                <w:ilvl w:val="0"/>
                <w:numId w:val="76"/>
              </w:numPr>
              <w:ind w:left="158" w:hanging="187"/>
            </w:pPr>
            <w:r w:rsidRPr="0064357E">
              <w:t>the reported amount will not terminate benefits</w:t>
            </w:r>
          </w:p>
        </w:tc>
        <w:tc>
          <w:tcPr>
            <w:tcW w:w="4170" w:type="dxa"/>
            <w:tcBorders>
              <w:top w:val="single" w:sz="6" w:space="0" w:color="auto"/>
              <w:left w:val="single" w:sz="6" w:space="0" w:color="auto"/>
              <w:bottom w:val="single" w:sz="6" w:space="0" w:color="auto"/>
              <w:right w:val="single" w:sz="6" w:space="0" w:color="auto"/>
            </w:tcBorders>
          </w:tcPr>
          <w:p w14:paraId="40B1A597" w14:textId="10F5384A" w:rsidR="00DC662B" w:rsidRPr="0064357E" w:rsidRDefault="00322293" w:rsidP="008D7966">
            <w:pPr>
              <w:ind w:left="-29"/>
            </w:pPr>
            <w:proofErr w:type="gramStart"/>
            <w:r w:rsidRPr="0064357E">
              <w:t>send</w:t>
            </w:r>
            <w:proofErr w:type="gramEnd"/>
            <w:r w:rsidRPr="0064357E">
              <w:t xml:space="preserve"> a notice of proposed adverse action based on the income recipient’s report.</w:t>
            </w:r>
            <w:r w:rsidRPr="0064357E" w:rsidDel="00322293">
              <w:t xml:space="preserve"> </w:t>
            </w:r>
          </w:p>
          <w:p w14:paraId="472D8BF3" w14:textId="2A7D358B" w:rsidR="00DC662B" w:rsidRPr="0064357E" w:rsidRDefault="00DC662B" w:rsidP="00322293">
            <w:pPr>
              <w:pStyle w:val="ListParagraph"/>
              <w:ind w:left="158"/>
            </w:pPr>
          </w:p>
        </w:tc>
      </w:tr>
      <w:tr w:rsidR="00C26C1C" w:rsidRPr="0064357E" w14:paraId="29A0A3C4" w14:textId="77777777" w:rsidTr="002E686F">
        <w:trPr>
          <w:cantSplit/>
        </w:trPr>
        <w:tc>
          <w:tcPr>
            <w:tcW w:w="3426" w:type="dxa"/>
            <w:tcBorders>
              <w:top w:val="single" w:sz="6" w:space="0" w:color="auto"/>
              <w:left w:val="single" w:sz="6" w:space="0" w:color="auto"/>
              <w:bottom w:val="single" w:sz="6" w:space="0" w:color="auto"/>
              <w:right w:val="single" w:sz="6" w:space="0" w:color="auto"/>
            </w:tcBorders>
          </w:tcPr>
          <w:p w14:paraId="2B40774B" w14:textId="632D34B6" w:rsidR="00C26C1C" w:rsidRPr="0064357E" w:rsidRDefault="00C26C1C" w:rsidP="00BA10C1">
            <w:pPr>
              <w:pStyle w:val="ListParagraph"/>
              <w:numPr>
                <w:ilvl w:val="0"/>
                <w:numId w:val="79"/>
              </w:numPr>
              <w:ind w:left="158" w:hanging="187"/>
            </w:pPr>
            <w:r w:rsidRPr="0064357E">
              <w:t xml:space="preserve">denies receipt of the income, </w:t>
            </w:r>
            <w:r w:rsidRPr="0064357E">
              <w:rPr>
                <w:b/>
                <w:i/>
              </w:rPr>
              <w:t>and</w:t>
            </w:r>
          </w:p>
          <w:p w14:paraId="13553D8F" w14:textId="584C1A5C" w:rsidR="00C26C1C" w:rsidRPr="0064357E" w:rsidRDefault="00C26C1C" w:rsidP="00BA10C1">
            <w:pPr>
              <w:pStyle w:val="ListParagraph"/>
              <w:numPr>
                <w:ilvl w:val="0"/>
                <w:numId w:val="79"/>
              </w:numPr>
              <w:ind w:left="158" w:hanging="187"/>
            </w:pPr>
            <w:r w:rsidRPr="0064357E">
              <w:t>furnishes proof showing the FTI is incorrect (did not receive the income)</w:t>
            </w:r>
          </w:p>
        </w:tc>
        <w:tc>
          <w:tcPr>
            <w:tcW w:w="4170" w:type="dxa"/>
            <w:tcBorders>
              <w:top w:val="single" w:sz="6" w:space="0" w:color="auto"/>
              <w:left w:val="single" w:sz="6" w:space="0" w:color="auto"/>
              <w:bottom w:val="single" w:sz="6" w:space="0" w:color="auto"/>
              <w:right w:val="single" w:sz="6" w:space="0" w:color="auto"/>
            </w:tcBorders>
          </w:tcPr>
          <w:p w14:paraId="74FE8DBA" w14:textId="77777777" w:rsidR="00C26C1C" w:rsidRPr="0064357E" w:rsidRDefault="00C26C1C" w:rsidP="00BA10C1">
            <w:pPr>
              <w:pStyle w:val="ListParagraph"/>
              <w:numPr>
                <w:ilvl w:val="0"/>
                <w:numId w:val="77"/>
              </w:numPr>
              <w:ind w:left="158" w:hanging="187"/>
            </w:pPr>
            <w:r w:rsidRPr="0064357E">
              <w:t>notify the beneficiary that benefits will not be adjusted</w:t>
            </w:r>
          </w:p>
          <w:p w14:paraId="649008A9" w14:textId="6E628C41" w:rsidR="00C26C1C" w:rsidRPr="0064357E" w:rsidRDefault="00C26C1C" w:rsidP="00BA10C1">
            <w:pPr>
              <w:pStyle w:val="ListParagraph"/>
              <w:numPr>
                <w:ilvl w:val="0"/>
                <w:numId w:val="78"/>
              </w:numPr>
              <w:ind w:left="158" w:hanging="187"/>
            </w:pPr>
            <w:r w:rsidRPr="0064357E">
              <w:t>PCLR EP 154, and</w:t>
            </w:r>
          </w:p>
          <w:p w14:paraId="48276027" w14:textId="04A93169" w:rsidR="00C26C1C" w:rsidRPr="0064357E" w:rsidRDefault="00C26C1C" w:rsidP="00BA10C1">
            <w:pPr>
              <w:pStyle w:val="ListParagraph"/>
              <w:numPr>
                <w:ilvl w:val="0"/>
                <w:numId w:val="127"/>
              </w:numPr>
              <w:ind w:left="158" w:hanging="187"/>
            </w:pPr>
            <w:proofErr w:type="gramStart"/>
            <w:r w:rsidRPr="0064357E">
              <w:t>annotate</w:t>
            </w:r>
            <w:proofErr w:type="gramEnd"/>
            <w:r w:rsidRPr="0064357E">
              <w:t xml:space="preserve"> the file copy of the notification letter to show the EP 154 was taken and the current date.</w:t>
            </w:r>
          </w:p>
        </w:tc>
      </w:tr>
      <w:tr w:rsidR="002E686F" w:rsidRPr="0064357E" w14:paraId="778D255A" w14:textId="77777777" w:rsidTr="002E686F">
        <w:trPr>
          <w:cantSplit/>
        </w:trPr>
        <w:tc>
          <w:tcPr>
            <w:tcW w:w="3426" w:type="dxa"/>
            <w:tcBorders>
              <w:top w:val="single" w:sz="6" w:space="0" w:color="auto"/>
              <w:left w:val="single" w:sz="6" w:space="0" w:color="auto"/>
              <w:bottom w:val="single" w:sz="6" w:space="0" w:color="auto"/>
              <w:right w:val="single" w:sz="6" w:space="0" w:color="auto"/>
            </w:tcBorders>
          </w:tcPr>
          <w:p w14:paraId="7721CC3A" w14:textId="77777777" w:rsidR="002E686F" w:rsidRPr="0064357E" w:rsidRDefault="002E686F" w:rsidP="00BA10C1">
            <w:pPr>
              <w:pStyle w:val="ListParagraph"/>
              <w:numPr>
                <w:ilvl w:val="0"/>
                <w:numId w:val="79"/>
              </w:numPr>
              <w:ind w:left="158" w:hanging="187"/>
            </w:pPr>
            <w:r w:rsidRPr="0064357E">
              <w:t>denies receipt of the income, and</w:t>
            </w:r>
          </w:p>
          <w:p w14:paraId="66A4CBE2" w14:textId="77777777" w:rsidR="002E686F" w:rsidRPr="0064357E" w:rsidRDefault="002E686F" w:rsidP="00BA10C1">
            <w:pPr>
              <w:pStyle w:val="ListParagraph"/>
              <w:numPr>
                <w:ilvl w:val="0"/>
                <w:numId w:val="80"/>
              </w:numPr>
              <w:ind w:left="158" w:hanging="187"/>
            </w:pPr>
            <w:r w:rsidRPr="0064357E">
              <w:t>does not furnish proof to show the report is incorrect</w:t>
            </w:r>
          </w:p>
        </w:tc>
        <w:tc>
          <w:tcPr>
            <w:tcW w:w="4170" w:type="dxa"/>
            <w:tcBorders>
              <w:top w:val="single" w:sz="6" w:space="0" w:color="auto"/>
              <w:left w:val="single" w:sz="6" w:space="0" w:color="auto"/>
              <w:bottom w:val="single" w:sz="6" w:space="0" w:color="auto"/>
              <w:right w:val="single" w:sz="6" w:space="0" w:color="auto"/>
            </w:tcBorders>
          </w:tcPr>
          <w:p w14:paraId="5B2E9A75" w14:textId="5C296DDD" w:rsidR="002E686F" w:rsidRPr="0064357E" w:rsidRDefault="002E686F" w:rsidP="00B1398C">
            <w:pPr>
              <w:pStyle w:val="TableText"/>
            </w:pPr>
            <w:r w:rsidRPr="0064357E">
              <w:t>send a notice of proposed adverse action based on the higher verified payer amount.</w:t>
            </w:r>
          </w:p>
          <w:p w14:paraId="25E84FED" w14:textId="77777777" w:rsidR="002E686F" w:rsidRPr="0064357E" w:rsidRDefault="002E686F" w:rsidP="002E686F">
            <w:pPr>
              <w:pStyle w:val="ListParagraph"/>
              <w:ind w:left="158" w:hanging="187"/>
            </w:pPr>
          </w:p>
          <w:p w14:paraId="1900EB0E" w14:textId="48550A37" w:rsidR="002E686F" w:rsidRPr="0064357E" w:rsidRDefault="002E686F" w:rsidP="00B1398C">
            <w:pPr>
              <w:pStyle w:val="TableText"/>
            </w:pPr>
            <w:r w:rsidRPr="0064357E">
              <w:rPr>
                <w:b/>
                <w:i/>
              </w:rPr>
              <w:t>Note</w:t>
            </w:r>
            <w:r w:rsidRPr="0064357E">
              <w:t>:</w:t>
            </w:r>
            <w:r w:rsidRPr="0064357E">
              <w:rPr>
                <w:b/>
                <w:i/>
              </w:rPr>
              <w:t xml:space="preserve">  </w:t>
            </w:r>
            <w:r w:rsidRPr="0064357E">
              <w:t>In the notice of proposed adverse action, give the beneficiary the opportunity to provide evidence to support the claim of lower income</w:t>
            </w:r>
          </w:p>
          <w:p w14:paraId="55AB7F4A" w14:textId="77777777" w:rsidR="008D7966" w:rsidRPr="0064357E" w:rsidRDefault="008D7966" w:rsidP="00B1398C">
            <w:pPr>
              <w:pStyle w:val="TableText"/>
            </w:pPr>
          </w:p>
          <w:p w14:paraId="5AF1566B" w14:textId="4FAC9CD5" w:rsidR="002E686F" w:rsidRPr="0064357E" w:rsidRDefault="002E686F" w:rsidP="00B1398C">
            <w:pPr>
              <w:pStyle w:val="ListParagraph"/>
              <w:ind w:left="12" w:hanging="12"/>
            </w:pPr>
            <w:r w:rsidRPr="0064357E">
              <w:rPr>
                <w:b/>
                <w:i/>
              </w:rPr>
              <w:t>Reference</w:t>
            </w:r>
            <w:r w:rsidRPr="0064357E">
              <w:t>:</w:t>
            </w:r>
            <w:r w:rsidRPr="0064357E">
              <w:rPr>
                <w:b/>
              </w:rPr>
              <w:t xml:space="preserve"> </w:t>
            </w:r>
            <w:r w:rsidRPr="0064357E">
              <w:t xml:space="preserve"> For more information on the efforts to clarify disputed a</w:t>
            </w:r>
            <w:r w:rsidR="004B002F" w:rsidRPr="0064357E">
              <w:t>mounts, see M21-1</w:t>
            </w:r>
            <w:r w:rsidR="00CD31E2" w:rsidRPr="0064357E">
              <w:t>, Part X, 9. Section C, Topic 1</w:t>
            </w:r>
            <w:r w:rsidR="00D23F5D" w:rsidRPr="0064357E">
              <w:t>2</w:t>
            </w:r>
            <w:r w:rsidR="00CD31E2" w:rsidRPr="0064357E">
              <w:t>.</w:t>
            </w:r>
          </w:p>
        </w:tc>
      </w:tr>
    </w:tbl>
    <w:p w14:paraId="042DDF0A" w14:textId="77777777" w:rsidR="00DC662B" w:rsidRPr="0064357E" w:rsidRDefault="00DC662B" w:rsidP="00DC662B"/>
    <w:p w14:paraId="6ED23236" w14:textId="77777777" w:rsidR="00DC662B" w:rsidRPr="0064357E" w:rsidRDefault="00DC662B" w:rsidP="00DC662B"/>
    <w:p w14:paraId="2C068F72" w14:textId="77777777" w:rsidR="00BA10C1" w:rsidRPr="0064357E" w:rsidRDefault="00BA10C1">
      <w:pPr>
        <w:spacing w:after="200" w:line="276" w:lineRule="auto"/>
        <w:rPr>
          <w:rFonts w:ascii="Arial" w:hAnsi="Arial"/>
          <w:b/>
          <w:sz w:val="32"/>
          <w:szCs w:val="20"/>
        </w:rPr>
      </w:pPr>
      <w:r w:rsidRPr="0064357E">
        <w:br w:type="page"/>
      </w:r>
    </w:p>
    <w:p w14:paraId="459E9ECE" w14:textId="12B9C5C9" w:rsidR="002E686F" w:rsidRPr="0064357E" w:rsidRDefault="004E1AA5" w:rsidP="002E686F">
      <w:pPr>
        <w:pStyle w:val="Heading4"/>
      </w:pPr>
      <w:r w:rsidRPr="0064357E">
        <w:t>10</w:t>
      </w:r>
      <w:r w:rsidR="002E686F" w:rsidRPr="0064357E">
        <w:t xml:space="preserve">.  No Response </w:t>
      </w:r>
      <w:proofErr w:type="gramStart"/>
      <w:r w:rsidR="002E686F" w:rsidRPr="0064357E">
        <w:t>From</w:t>
      </w:r>
      <w:proofErr w:type="gramEnd"/>
      <w:r w:rsidR="002E686F" w:rsidRPr="0064357E">
        <w:t xml:space="preserve"> Payer or Recipient Within </w:t>
      </w:r>
      <w:r w:rsidR="00C12D70" w:rsidRPr="0064357E">
        <w:t>3</w:t>
      </w:r>
      <w:r w:rsidR="002E686F" w:rsidRPr="0064357E">
        <w:t xml:space="preserve">0-Day Period </w:t>
      </w:r>
    </w:p>
    <w:p w14:paraId="713F25A4" w14:textId="77777777" w:rsidR="002E686F" w:rsidRPr="0064357E" w:rsidRDefault="002E686F" w:rsidP="002E686F">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2E686F" w:rsidRPr="0064357E" w14:paraId="5DE492C7" w14:textId="77777777" w:rsidTr="00C70CCA">
        <w:trPr>
          <w:cantSplit/>
        </w:trPr>
        <w:tc>
          <w:tcPr>
            <w:tcW w:w="1728" w:type="dxa"/>
          </w:tcPr>
          <w:p w14:paraId="1E93F87F" w14:textId="77777777" w:rsidR="002E686F" w:rsidRPr="0064357E" w:rsidRDefault="002E686F" w:rsidP="00C70CCA">
            <w:pPr>
              <w:pStyle w:val="Heading5"/>
            </w:pPr>
            <w:r w:rsidRPr="0064357E">
              <w:t>Introduction</w:t>
            </w:r>
          </w:p>
        </w:tc>
        <w:tc>
          <w:tcPr>
            <w:tcW w:w="7740" w:type="dxa"/>
          </w:tcPr>
          <w:p w14:paraId="2DB0D39D" w14:textId="7A5CC677" w:rsidR="002E686F" w:rsidRPr="0064357E" w:rsidRDefault="002E686F" w:rsidP="00C70CCA">
            <w:pPr>
              <w:pStyle w:val="BlockText"/>
            </w:pPr>
            <w:r w:rsidRPr="0064357E">
              <w:t xml:space="preserve">This topic contains information on handling no response from payer or recipient within the </w:t>
            </w:r>
            <w:r w:rsidR="00C12D70" w:rsidRPr="0064357E">
              <w:t>3</w:t>
            </w:r>
            <w:r w:rsidRPr="0064357E">
              <w:t xml:space="preserve">0-day period including when </w:t>
            </w:r>
          </w:p>
          <w:p w14:paraId="73B2FFB4" w14:textId="77777777" w:rsidR="002E686F" w:rsidRPr="0064357E" w:rsidRDefault="002E686F" w:rsidP="00C70CCA">
            <w:pPr>
              <w:pStyle w:val="BlockText"/>
            </w:pPr>
          </w:p>
          <w:p w14:paraId="35089C25" w14:textId="77777777" w:rsidR="002E686F" w:rsidRPr="0064357E" w:rsidRDefault="002E686F" w:rsidP="00BA10C1">
            <w:pPr>
              <w:pStyle w:val="ListParagraph"/>
              <w:numPr>
                <w:ilvl w:val="0"/>
                <w:numId w:val="81"/>
              </w:numPr>
              <w:ind w:left="158" w:hanging="187"/>
            </w:pPr>
            <w:r w:rsidRPr="0064357E">
              <w:t>to take adverse action</w:t>
            </w:r>
          </w:p>
          <w:p w14:paraId="265B05BE" w14:textId="77777777" w:rsidR="002E686F" w:rsidRPr="0064357E" w:rsidRDefault="002E686F" w:rsidP="00BA10C1">
            <w:pPr>
              <w:pStyle w:val="ListParagraph"/>
              <w:numPr>
                <w:ilvl w:val="0"/>
                <w:numId w:val="82"/>
              </w:numPr>
              <w:ind w:left="158" w:hanging="187"/>
            </w:pPr>
            <w:r w:rsidRPr="0064357E">
              <w:t>the payer will not furnish the information</w:t>
            </w:r>
          </w:p>
          <w:p w14:paraId="0CF81CBF" w14:textId="77777777" w:rsidR="002E686F" w:rsidRPr="0064357E" w:rsidRDefault="002E686F" w:rsidP="00BA10C1">
            <w:pPr>
              <w:pStyle w:val="ListParagraph"/>
              <w:numPr>
                <w:ilvl w:val="0"/>
                <w:numId w:val="83"/>
              </w:numPr>
              <w:ind w:left="158" w:hanging="187"/>
            </w:pPr>
            <w:r w:rsidRPr="0064357E">
              <w:t>the verification process complete, and</w:t>
            </w:r>
          </w:p>
          <w:p w14:paraId="2573933F" w14:textId="77777777" w:rsidR="002E686F" w:rsidRPr="0064357E" w:rsidRDefault="002E686F" w:rsidP="00BA10C1">
            <w:pPr>
              <w:pStyle w:val="ListParagraph"/>
              <w:numPr>
                <w:ilvl w:val="0"/>
                <w:numId w:val="84"/>
              </w:numPr>
              <w:ind w:left="158" w:hanging="187"/>
            </w:pPr>
            <w:r w:rsidRPr="0064357E">
              <w:t>the beneficiary responds.</w:t>
            </w:r>
          </w:p>
        </w:tc>
      </w:tr>
    </w:tbl>
    <w:p w14:paraId="24DFD3A8" w14:textId="77777777" w:rsidR="002E686F" w:rsidRPr="0064357E" w:rsidRDefault="002E686F" w:rsidP="002E686F">
      <w:pPr>
        <w:pStyle w:val="BlockLine"/>
      </w:pPr>
    </w:p>
    <w:tbl>
      <w:tblPr>
        <w:tblW w:w="0" w:type="auto"/>
        <w:tblLayout w:type="fixed"/>
        <w:tblLook w:val="0000" w:firstRow="0" w:lastRow="0" w:firstColumn="0" w:lastColumn="0" w:noHBand="0" w:noVBand="0"/>
      </w:tblPr>
      <w:tblGrid>
        <w:gridCol w:w="1728"/>
        <w:gridCol w:w="7740"/>
      </w:tblGrid>
      <w:tr w:rsidR="002E686F" w:rsidRPr="0064357E" w14:paraId="1E4FCA28" w14:textId="77777777" w:rsidTr="00C70CCA">
        <w:trPr>
          <w:cantSplit/>
        </w:trPr>
        <w:tc>
          <w:tcPr>
            <w:tcW w:w="1728" w:type="dxa"/>
          </w:tcPr>
          <w:p w14:paraId="39C79512" w14:textId="77777777" w:rsidR="002E686F" w:rsidRPr="0064357E" w:rsidRDefault="002E686F" w:rsidP="00C70CCA">
            <w:pPr>
              <w:pStyle w:val="Heading5"/>
            </w:pPr>
            <w:r w:rsidRPr="0064357E">
              <w:t>Change Date</w:t>
            </w:r>
          </w:p>
        </w:tc>
        <w:tc>
          <w:tcPr>
            <w:tcW w:w="7740" w:type="dxa"/>
          </w:tcPr>
          <w:p w14:paraId="38AEA07E" w14:textId="1CC3DCD7" w:rsidR="002E686F" w:rsidRPr="0064357E" w:rsidRDefault="0064357E" w:rsidP="0064357E">
            <w:pPr>
              <w:tabs>
                <w:tab w:val="left" w:pos="9360"/>
              </w:tabs>
              <w:ind w:left="-18"/>
            </w:pPr>
            <w:r>
              <w:t>March 30, 2015</w:t>
            </w:r>
          </w:p>
        </w:tc>
      </w:tr>
    </w:tbl>
    <w:p w14:paraId="760B25D6" w14:textId="77777777" w:rsidR="002E686F" w:rsidRPr="0064357E" w:rsidRDefault="002E686F" w:rsidP="002E686F">
      <w:pPr>
        <w:pStyle w:val="BlockLine"/>
      </w:pPr>
      <w:r w:rsidRPr="0064357E">
        <w:t xml:space="preserve"> </w:t>
      </w:r>
    </w:p>
    <w:tbl>
      <w:tblPr>
        <w:tblW w:w="0" w:type="auto"/>
        <w:tblLayout w:type="fixed"/>
        <w:tblLook w:val="0000" w:firstRow="0" w:lastRow="0" w:firstColumn="0" w:lastColumn="0" w:noHBand="0" w:noVBand="0"/>
      </w:tblPr>
      <w:tblGrid>
        <w:gridCol w:w="1728"/>
        <w:gridCol w:w="7740"/>
      </w:tblGrid>
      <w:tr w:rsidR="002E686F" w:rsidRPr="0064357E" w14:paraId="32BD26AA" w14:textId="77777777" w:rsidTr="00C70CCA">
        <w:trPr>
          <w:cantSplit/>
        </w:trPr>
        <w:tc>
          <w:tcPr>
            <w:tcW w:w="1728" w:type="dxa"/>
          </w:tcPr>
          <w:p w14:paraId="24B7839F" w14:textId="77777777" w:rsidR="002E686F" w:rsidRPr="0064357E" w:rsidRDefault="002E686F" w:rsidP="00C70CCA">
            <w:pPr>
              <w:pStyle w:val="Heading5"/>
            </w:pPr>
            <w:r w:rsidRPr="0064357E">
              <w:t>a.  When to Take Adverse Action</w:t>
            </w:r>
          </w:p>
        </w:tc>
        <w:tc>
          <w:tcPr>
            <w:tcW w:w="7740" w:type="dxa"/>
          </w:tcPr>
          <w:p w14:paraId="2F412E6C" w14:textId="77777777" w:rsidR="002E686F" w:rsidRPr="0064357E" w:rsidRDefault="002E686F" w:rsidP="00C70CCA">
            <w:pPr>
              <w:pStyle w:val="BlockText"/>
            </w:pPr>
            <w:r w:rsidRPr="0064357E">
              <w:t xml:space="preserve">Do not take adverse action until a reasonable income verification process is completed.  </w:t>
            </w:r>
          </w:p>
          <w:p w14:paraId="729EBFE5" w14:textId="77777777" w:rsidR="002E686F" w:rsidRPr="0064357E" w:rsidRDefault="002E686F" w:rsidP="00C70CCA">
            <w:pPr>
              <w:pStyle w:val="BlockText"/>
            </w:pPr>
          </w:p>
          <w:p w14:paraId="4F34AC27" w14:textId="77777777" w:rsidR="002E686F" w:rsidRPr="0064357E" w:rsidRDefault="002E686F" w:rsidP="00C70CCA">
            <w:pPr>
              <w:pStyle w:val="BlockText"/>
            </w:pPr>
            <w:r w:rsidRPr="0064357E">
              <w:t xml:space="preserve">If VA has made a good faith effort with </w:t>
            </w:r>
            <w:r w:rsidRPr="0064357E">
              <w:rPr>
                <w:i/>
              </w:rPr>
              <w:t>no response</w:t>
            </w:r>
            <w:r w:rsidRPr="0064357E">
              <w:t xml:space="preserve"> from payer or recipient, the verification process is considered completed under the conditions described in the table below.</w:t>
            </w:r>
          </w:p>
        </w:tc>
      </w:tr>
    </w:tbl>
    <w:p w14:paraId="1D812113" w14:textId="77777777" w:rsidR="002E686F" w:rsidRPr="0064357E" w:rsidRDefault="002E686F" w:rsidP="002E686F"/>
    <w:tbl>
      <w:tblPr>
        <w:tblW w:w="7596" w:type="dxa"/>
        <w:tblInd w:w="1872" w:type="dxa"/>
        <w:tblLayout w:type="fixed"/>
        <w:tblCellMar>
          <w:left w:w="80" w:type="dxa"/>
          <w:right w:w="80" w:type="dxa"/>
        </w:tblCellMar>
        <w:tblLook w:val="0000" w:firstRow="0" w:lastRow="0" w:firstColumn="0" w:lastColumn="0" w:noHBand="0" w:noVBand="0"/>
      </w:tblPr>
      <w:tblGrid>
        <w:gridCol w:w="3227"/>
        <w:gridCol w:w="18"/>
        <w:gridCol w:w="4351"/>
      </w:tblGrid>
      <w:tr w:rsidR="002E686F" w:rsidRPr="0064357E" w14:paraId="11F73A2C" w14:textId="77777777" w:rsidTr="00C70CCA">
        <w:trPr>
          <w:cantSplit/>
        </w:trPr>
        <w:tc>
          <w:tcPr>
            <w:tcW w:w="3245" w:type="dxa"/>
            <w:gridSpan w:val="2"/>
            <w:tcBorders>
              <w:top w:val="single" w:sz="6" w:space="0" w:color="auto"/>
              <w:left w:val="single" w:sz="6" w:space="0" w:color="auto"/>
              <w:bottom w:val="single" w:sz="6" w:space="0" w:color="auto"/>
              <w:right w:val="single" w:sz="6" w:space="0" w:color="auto"/>
            </w:tcBorders>
          </w:tcPr>
          <w:p w14:paraId="7DDE9D28" w14:textId="77777777" w:rsidR="002E686F" w:rsidRPr="0064357E" w:rsidRDefault="002E686F" w:rsidP="00C70CCA">
            <w:pPr>
              <w:pStyle w:val="TableHeaderText"/>
              <w:jc w:val="left"/>
            </w:pPr>
            <w:r w:rsidRPr="0064357E">
              <w:t>When …</w:t>
            </w:r>
          </w:p>
        </w:tc>
        <w:tc>
          <w:tcPr>
            <w:tcW w:w="4351" w:type="dxa"/>
            <w:tcBorders>
              <w:top w:val="single" w:sz="6" w:space="0" w:color="auto"/>
              <w:left w:val="single" w:sz="6" w:space="0" w:color="auto"/>
              <w:bottom w:val="single" w:sz="6" w:space="0" w:color="auto"/>
              <w:right w:val="single" w:sz="6" w:space="0" w:color="auto"/>
            </w:tcBorders>
          </w:tcPr>
          <w:p w14:paraId="603FFDC4" w14:textId="77777777" w:rsidR="002E686F" w:rsidRPr="0064357E" w:rsidRDefault="002E686F" w:rsidP="00C70CCA">
            <w:pPr>
              <w:pStyle w:val="TableHeaderText"/>
              <w:jc w:val="left"/>
            </w:pPr>
            <w:r w:rsidRPr="0064357E">
              <w:t>Then the verification process is complete when …</w:t>
            </w:r>
          </w:p>
        </w:tc>
      </w:tr>
      <w:tr w:rsidR="002E686F" w:rsidRPr="0064357E" w14:paraId="5EF86B7E" w14:textId="77777777" w:rsidTr="00C70CCA">
        <w:trPr>
          <w:cantSplit/>
        </w:trPr>
        <w:tc>
          <w:tcPr>
            <w:tcW w:w="3245" w:type="dxa"/>
            <w:gridSpan w:val="2"/>
            <w:tcBorders>
              <w:top w:val="single" w:sz="6" w:space="0" w:color="auto"/>
              <w:left w:val="single" w:sz="6" w:space="0" w:color="auto"/>
              <w:bottom w:val="single" w:sz="6" w:space="0" w:color="auto"/>
              <w:right w:val="single" w:sz="6" w:space="0" w:color="auto"/>
            </w:tcBorders>
          </w:tcPr>
          <w:p w14:paraId="547F6806" w14:textId="77777777" w:rsidR="002E686F" w:rsidRPr="0064357E" w:rsidRDefault="002E686F" w:rsidP="00C70CCA">
            <w:pPr>
              <w:pStyle w:val="TableText"/>
            </w:pPr>
            <w:r w:rsidRPr="0064357E">
              <w:t>the income recipient is not the beneficiary</w:t>
            </w:r>
          </w:p>
        </w:tc>
        <w:tc>
          <w:tcPr>
            <w:tcW w:w="4351" w:type="dxa"/>
            <w:tcBorders>
              <w:top w:val="single" w:sz="6" w:space="0" w:color="auto"/>
              <w:left w:val="single" w:sz="6" w:space="0" w:color="auto"/>
              <w:bottom w:val="single" w:sz="6" w:space="0" w:color="auto"/>
              <w:right w:val="single" w:sz="6" w:space="0" w:color="auto"/>
            </w:tcBorders>
          </w:tcPr>
          <w:p w14:paraId="36C6974E" w14:textId="77777777" w:rsidR="002E686F" w:rsidRPr="0064357E" w:rsidRDefault="002E686F" w:rsidP="00BA10C1">
            <w:pPr>
              <w:pStyle w:val="ListParagraph"/>
              <w:numPr>
                <w:ilvl w:val="0"/>
                <w:numId w:val="85"/>
              </w:numPr>
              <w:ind w:left="158" w:hanging="187"/>
            </w:pPr>
            <w:r w:rsidRPr="0064357E">
              <w:t xml:space="preserve">a verification letter is sent to the recipient </w:t>
            </w:r>
            <w:r w:rsidRPr="0064357E">
              <w:rPr>
                <w:i/>
              </w:rPr>
              <w:t>or</w:t>
            </w:r>
            <w:r w:rsidRPr="0064357E">
              <w:t xml:space="preserve"> to each of the recipient's income payers, and</w:t>
            </w:r>
          </w:p>
          <w:p w14:paraId="7BA75F1A" w14:textId="1FF09835" w:rsidR="002E686F" w:rsidRPr="0064357E" w:rsidRDefault="002E686F" w:rsidP="00BA10C1">
            <w:pPr>
              <w:pStyle w:val="ListParagraph"/>
              <w:numPr>
                <w:ilvl w:val="0"/>
                <w:numId w:val="86"/>
              </w:numPr>
              <w:ind w:left="158" w:hanging="187"/>
            </w:pPr>
            <w:proofErr w:type="gramStart"/>
            <w:r w:rsidRPr="0064357E">
              <w:t>the</w:t>
            </w:r>
            <w:proofErr w:type="gramEnd"/>
            <w:r w:rsidRPr="0064357E">
              <w:t xml:space="preserve"> </w:t>
            </w:r>
            <w:r w:rsidR="00C12D70" w:rsidRPr="0064357E">
              <w:t>3</w:t>
            </w:r>
            <w:r w:rsidRPr="0064357E">
              <w:t>0-day response period has expired.</w:t>
            </w:r>
          </w:p>
        </w:tc>
      </w:tr>
      <w:tr w:rsidR="002E686F" w:rsidRPr="0064357E" w14:paraId="691B531F" w14:textId="77777777" w:rsidTr="00C70CCA">
        <w:trPr>
          <w:cantSplit/>
        </w:trPr>
        <w:tc>
          <w:tcPr>
            <w:tcW w:w="3245" w:type="dxa"/>
            <w:gridSpan w:val="2"/>
            <w:tcBorders>
              <w:top w:val="single" w:sz="6" w:space="0" w:color="auto"/>
              <w:left w:val="single" w:sz="6" w:space="0" w:color="auto"/>
              <w:bottom w:val="single" w:sz="6" w:space="0" w:color="auto"/>
              <w:right w:val="single" w:sz="6" w:space="0" w:color="auto"/>
            </w:tcBorders>
          </w:tcPr>
          <w:p w14:paraId="7B40B522" w14:textId="77777777" w:rsidR="002E686F" w:rsidRPr="0064357E" w:rsidRDefault="002E686F" w:rsidP="00C70CCA">
            <w:pPr>
              <w:pStyle w:val="TableText"/>
            </w:pPr>
            <w:r w:rsidRPr="0064357E">
              <w:t>the income recipient is the beneficiary</w:t>
            </w:r>
          </w:p>
        </w:tc>
        <w:tc>
          <w:tcPr>
            <w:tcW w:w="4351" w:type="dxa"/>
            <w:tcBorders>
              <w:top w:val="single" w:sz="6" w:space="0" w:color="auto"/>
              <w:left w:val="single" w:sz="6" w:space="0" w:color="auto"/>
              <w:bottom w:val="single" w:sz="6" w:space="0" w:color="auto"/>
              <w:right w:val="single" w:sz="6" w:space="0" w:color="auto"/>
            </w:tcBorders>
          </w:tcPr>
          <w:p w14:paraId="7C71DCEC" w14:textId="77777777" w:rsidR="002E686F" w:rsidRPr="0064357E" w:rsidRDefault="002E686F" w:rsidP="00BA10C1">
            <w:pPr>
              <w:pStyle w:val="ListParagraph"/>
              <w:numPr>
                <w:ilvl w:val="0"/>
                <w:numId w:val="87"/>
              </w:numPr>
              <w:ind w:left="158" w:hanging="187"/>
            </w:pPr>
            <w:r w:rsidRPr="0064357E">
              <w:t xml:space="preserve">a verification letter is sent to each of the recipient’s income payers, and </w:t>
            </w:r>
          </w:p>
          <w:p w14:paraId="37354870" w14:textId="6C0BFC46" w:rsidR="002E686F" w:rsidRPr="0064357E" w:rsidRDefault="002E686F" w:rsidP="00BA10C1">
            <w:pPr>
              <w:pStyle w:val="ListParagraph"/>
              <w:numPr>
                <w:ilvl w:val="0"/>
                <w:numId w:val="88"/>
              </w:numPr>
              <w:ind w:left="158" w:hanging="187"/>
            </w:pPr>
            <w:proofErr w:type="gramStart"/>
            <w:r w:rsidRPr="0064357E">
              <w:t>the</w:t>
            </w:r>
            <w:proofErr w:type="gramEnd"/>
            <w:r w:rsidRPr="0064357E">
              <w:t xml:space="preserve"> </w:t>
            </w:r>
            <w:r w:rsidR="00C12D70" w:rsidRPr="0064357E">
              <w:t>3</w:t>
            </w:r>
            <w:r w:rsidRPr="0064357E">
              <w:t>0-day response period has expired.</w:t>
            </w:r>
          </w:p>
          <w:p w14:paraId="1228D086" w14:textId="77777777" w:rsidR="002E686F" w:rsidRPr="0064357E" w:rsidRDefault="002E686F" w:rsidP="00C70CCA">
            <w:pPr>
              <w:pStyle w:val="TableText"/>
            </w:pPr>
          </w:p>
          <w:p w14:paraId="42D4645E" w14:textId="77777777" w:rsidR="002E686F" w:rsidRPr="0064357E" w:rsidRDefault="002E686F" w:rsidP="00C70CCA">
            <w:pPr>
              <w:pStyle w:val="TableText"/>
            </w:pPr>
            <w:r w:rsidRPr="0064357E">
              <w:rPr>
                <w:b/>
                <w:i/>
              </w:rPr>
              <w:t>Note</w:t>
            </w:r>
            <w:r w:rsidRPr="0064357E">
              <w:t>:  Sending a verification letter only to the beneficiary does not meet the reasonable income verification criteria.</w:t>
            </w:r>
          </w:p>
        </w:tc>
      </w:tr>
      <w:tr w:rsidR="002E686F" w:rsidRPr="0064357E" w14:paraId="58FB8BC9" w14:textId="77777777" w:rsidTr="00C70CCA">
        <w:trPr>
          <w:cantSplit/>
        </w:trPr>
        <w:tc>
          <w:tcPr>
            <w:tcW w:w="3227" w:type="dxa"/>
            <w:tcBorders>
              <w:top w:val="single" w:sz="6" w:space="0" w:color="auto"/>
              <w:left w:val="single" w:sz="6" w:space="0" w:color="auto"/>
              <w:bottom w:val="single" w:sz="6" w:space="0" w:color="auto"/>
              <w:right w:val="single" w:sz="6" w:space="0" w:color="auto"/>
            </w:tcBorders>
          </w:tcPr>
          <w:p w14:paraId="5850B875" w14:textId="77777777" w:rsidR="002E686F" w:rsidRPr="0064357E" w:rsidRDefault="002E686F" w:rsidP="00C70CCA">
            <w:pPr>
              <w:pStyle w:val="TableText"/>
            </w:pPr>
            <w:r w:rsidRPr="0064357E">
              <w:t>both the beneficiary and his or her spouse are income recipients</w:t>
            </w:r>
          </w:p>
        </w:tc>
        <w:tc>
          <w:tcPr>
            <w:tcW w:w="4369" w:type="dxa"/>
            <w:gridSpan w:val="2"/>
            <w:tcBorders>
              <w:top w:val="single" w:sz="6" w:space="0" w:color="auto"/>
              <w:left w:val="single" w:sz="6" w:space="0" w:color="auto"/>
              <w:bottom w:val="single" w:sz="6" w:space="0" w:color="auto"/>
              <w:right w:val="single" w:sz="6" w:space="0" w:color="auto"/>
            </w:tcBorders>
          </w:tcPr>
          <w:p w14:paraId="2BC1456F" w14:textId="77777777" w:rsidR="002E686F" w:rsidRPr="0064357E" w:rsidRDefault="002E686F" w:rsidP="00BA10C1">
            <w:pPr>
              <w:pStyle w:val="ListParagraph"/>
              <w:numPr>
                <w:ilvl w:val="0"/>
                <w:numId w:val="89"/>
              </w:numPr>
              <w:ind w:left="158" w:hanging="187"/>
            </w:pPr>
            <w:r w:rsidRPr="0064357E">
              <w:t>a verification letter is sent to the recipients and to the recipients’ income payers, and</w:t>
            </w:r>
          </w:p>
          <w:p w14:paraId="30918080" w14:textId="22D9ED29" w:rsidR="002E686F" w:rsidRPr="0064357E" w:rsidRDefault="002E686F" w:rsidP="00BA10C1">
            <w:pPr>
              <w:pStyle w:val="ListParagraph"/>
              <w:numPr>
                <w:ilvl w:val="0"/>
                <w:numId w:val="90"/>
              </w:numPr>
              <w:ind w:left="158" w:hanging="187"/>
              <w:rPr>
                <w:b/>
              </w:rPr>
            </w:pPr>
            <w:proofErr w:type="gramStart"/>
            <w:r w:rsidRPr="0064357E">
              <w:t>the</w:t>
            </w:r>
            <w:proofErr w:type="gramEnd"/>
            <w:r w:rsidRPr="0064357E">
              <w:t xml:space="preserve"> </w:t>
            </w:r>
            <w:r w:rsidR="00C12D70" w:rsidRPr="0064357E">
              <w:t>3</w:t>
            </w:r>
            <w:r w:rsidRPr="0064357E">
              <w:t>0-day response period has expired.</w:t>
            </w:r>
          </w:p>
        </w:tc>
      </w:tr>
    </w:tbl>
    <w:p w14:paraId="452E7D54" w14:textId="69C69E21" w:rsidR="002E686F" w:rsidRPr="0064357E" w:rsidRDefault="002E686F" w:rsidP="00DA4DD0"/>
    <w:p w14:paraId="3A21054B" w14:textId="77777777" w:rsidR="00D45EDE" w:rsidRPr="0064357E" w:rsidRDefault="00D45EDE" w:rsidP="00BA10C1">
      <w:pPr>
        <w:pStyle w:val="BlockLine"/>
        <w:spacing w:before="0"/>
      </w:pPr>
    </w:p>
    <w:tbl>
      <w:tblPr>
        <w:tblW w:w="0" w:type="auto"/>
        <w:tblLayout w:type="fixed"/>
        <w:tblLook w:val="0000" w:firstRow="0" w:lastRow="0" w:firstColumn="0" w:lastColumn="0" w:noHBand="0" w:noVBand="0"/>
      </w:tblPr>
      <w:tblGrid>
        <w:gridCol w:w="1708"/>
        <w:gridCol w:w="7652"/>
      </w:tblGrid>
      <w:tr w:rsidR="002E686F" w:rsidRPr="0064357E" w14:paraId="5CF64801" w14:textId="77777777" w:rsidTr="00C70CCA">
        <w:trPr>
          <w:cantSplit/>
        </w:trPr>
        <w:tc>
          <w:tcPr>
            <w:tcW w:w="1708" w:type="dxa"/>
          </w:tcPr>
          <w:p w14:paraId="3ADB173F" w14:textId="77777777" w:rsidR="002E686F" w:rsidRPr="0064357E" w:rsidRDefault="002E686F" w:rsidP="00C70CCA">
            <w:pPr>
              <w:pStyle w:val="Heading5"/>
            </w:pPr>
            <w:proofErr w:type="gramStart"/>
            <w:r w:rsidRPr="0064357E">
              <w:t>b.  Payer</w:t>
            </w:r>
            <w:proofErr w:type="gramEnd"/>
            <w:r w:rsidRPr="0064357E">
              <w:t xml:space="preserve"> Will Not Furnish the Information</w:t>
            </w:r>
          </w:p>
        </w:tc>
        <w:tc>
          <w:tcPr>
            <w:tcW w:w="7652" w:type="dxa"/>
          </w:tcPr>
          <w:p w14:paraId="02178FDA" w14:textId="2F93CD68" w:rsidR="002E686F" w:rsidRPr="0064357E" w:rsidRDefault="002E686F" w:rsidP="00C70CCA">
            <w:pPr>
              <w:pStyle w:val="BlockText"/>
            </w:pPr>
            <w:r w:rsidRPr="0064357E">
              <w:t>If a response is received that indicates that the payer will not furnish the information, consider the verification process complete and adjudicate the claim based on the evidence of record.</w:t>
            </w:r>
          </w:p>
        </w:tc>
      </w:tr>
    </w:tbl>
    <w:p w14:paraId="1106A63A" w14:textId="77777777" w:rsidR="00BF01A1" w:rsidRPr="0064357E" w:rsidRDefault="00BF01A1" w:rsidP="00BF01A1">
      <w:pPr>
        <w:pStyle w:val="BlockLine"/>
      </w:pPr>
    </w:p>
    <w:tbl>
      <w:tblPr>
        <w:tblW w:w="0" w:type="auto"/>
        <w:tblLayout w:type="fixed"/>
        <w:tblLook w:val="0000" w:firstRow="0" w:lastRow="0" w:firstColumn="0" w:lastColumn="0" w:noHBand="0" w:noVBand="0"/>
      </w:tblPr>
      <w:tblGrid>
        <w:gridCol w:w="1708"/>
        <w:gridCol w:w="7652"/>
      </w:tblGrid>
      <w:tr w:rsidR="002E686F" w:rsidRPr="0064357E" w14:paraId="65B5E514" w14:textId="77777777" w:rsidTr="00C70CCA">
        <w:trPr>
          <w:cantSplit/>
        </w:trPr>
        <w:tc>
          <w:tcPr>
            <w:tcW w:w="1708" w:type="dxa"/>
          </w:tcPr>
          <w:p w14:paraId="675F6407" w14:textId="77777777" w:rsidR="002E686F" w:rsidRPr="0064357E" w:rsidRDefault="002E686F" w:rsidP="00C70CCA">
            <w:pPr>
              <w:pStyle w:val="Heading5"/>
            </w:pPr>
            <w:r w:rsidRPr="0064357E">
              <w:t>c.  Verification Process Complete</w:t>
            </w:r>
          </w:p>
        </w:tc>
        <w:tc>
          <w:tcPr>
            <w:tcW w:w="7652" w:type="dxa"/>
          </w:tcPr>
          <w:p w14:paraId="518D422C" w14:textId="77777777" w:rsidR="002E686F" w:rsidRPr="0064357E" w:rsidRDefault="002E686F" w:rsidP="00C70CCA">
            <w:pPr>
              <w:pStyle w:val="BlockText"/>
            </w:pPr>
            <w:r w:rsidRPr="0064357E">
              <w:t>Once the verification process is complete</w:t>
            </w:r>
          </w:p>
          <w:p w14:paraId="333085D3" w14:textId="77777777" w:rsidR="002E686F" w:rsidRPr="0064357E" w:rsidRDefault="002E686F" w:rsidP="00C70CCA">
            <w:pPr>
              <w:pStyle w:val="BlockText"/>
            </w:pPr>
          </w:p>
          <w:p w14:paraId="678AC272" w14:textId="77777777" w:rsidR="002E686F" w:rsidRPr="0064357E" w:rsidRDefault="002E686F" w:rsidP="00BA10C1">
            <w:pPr>
              <w:pStyle w:val="ListParagraph"/>
              <w:numPr>
                <w:ilvl w:val="0"/>
                <w:numId w:val="91"/>
              </w:numPr>
              <w:ind w:left="158" w:hanging="187"/>
            </w:pPr>
            <w:r w:rsidRPr="0064357E">
              <w:t>send a notice of proposed adverse action based on the match amount, giving the beneficiary an opportunity to provide evidence to show that the information is incorrect, and</w:t>
            </w:r>
          </w:p>
          <w:p w14:paraId="5152849A" w14:textId="77777777" w:rsidR="002E686F" w:rsidRPr="0064357E" w:rsidRDefault="002E686F" w:rsidP="00BA10C1">
            <w:pPr>
              <w:pStyle w:val="ListParagraph"/>
              <w:numPr>
                <w:ilvl w:val="0"/>
                <w:numId w:val="92"/>
              </w:numPr>
              <w:ind w:left="158" w:hanging="187"/>
            </w:pPr>
            <w:r w:rsidRPr="0064357E">
              <w:t>inform the beneficiary that if no evidence is furnished to challenge this income information, VA will adjust or terminate benefits as indicated.</w:t>
            </w:r>
          </w:p>
        </w:tc>
      </w:tr>
    </w:tbl>
    <w:p w14:paraId="5B86DB7B" w14:textId="77777777" w:rsidR="00BF01A1" w:rsidRPr="0064357E" w:rsidRDefault="00BF01A1" w:rsidP="00BF01A1">
      <w:pPr>
        <w:pStyle w:val="BlockLine"/>
      </w:pPr>
    </w:p>
    <w:tbl>
      <w:tblPr>
        <w:tblW w:w="0" w:type="auto"/>
        <w:tblLayout w:type="fixed"/>
        <w:tblLook w:val="0000" w:firstRow="0" w:lastRow="0" w:firstColumn="0" w:lastColumn="0" w:noHBand="0" w:noVBand="0"/>
      </w:tblPr>
      <w:tblGrid>
        <w:gridCol w:w="1708"/>
        <w:gridCol w:w="7652"/>
      </w:tblGrid>
      <w:tr w:rsidR="002E686F" w:rsidRPr="0064357E" w14:paraId="70EE8707" w14:textId="77777777" w:rsidTr="00C70CCA">
        <w:trPr>
          <w:cantSplit/>
        </w:trPr>
        <w:tc>
          <w:tcPr>
            <w:tcW w:w="1708" w:type="dxa"/>
          </w:tcPr>
          <w:p w14:paraId="4F656BE1" w14:textId="77777777" w:rsidR="002E686F" w:rsidRPr="0064357E" w:rsidRDefault="002E686F" w:rsidP="00C70CCA">
            <w:pPr>
              <w:pStyle w:val="Heading5"/>
            </w:pPr>
            <w:r w:rsidRPr="0064357E">
              <w:t>d.  Beneficiary Responds</w:t>
            </w:r>
          </w:p>
        </w:tc>
        <w:tc>
          <w:tcPr>
            <w:tcW w:w="7652" w:type="dxa"/>
          </w:tcPr>
          <w:p w14:paraId="00E87574" w14:textId="77777777" w:rsidR="002E686F" w:rsidRPr="0064357E" w:rsidRDefault="002E686F" w:rsidP="00C70CCA">
            <w:pPr>
              <w:pStyle w:val="BlockText"/>
            </w:pPr>
            <w:r w:rsidRPr="0064357E">
              <w:t>Use the table below to determine what action to take once the beneficiary responds.</w:t>
            </w:r>
          </w:p>
        </w:tc>
      </w:tr>
    </w:tbl>
    <w:p w14:paraId="09BF17FA" w14:textId="77777777" w:rsidR="002E686F" w:rsidRPr="0064357E" w:rsidRDefault="002E686F" w:rsidP="002E686F"/>
    <w:tbl>
      <w:tblPr>
        <w:tblW w:w="7596" w:type="dxa"/>
        <w:tblInd w:w="1872" w:type="dxa"/>
        <w:tblLayout w:type="fixed"/>
        <w:tblCellMar>
          <w:left w:w="80" w:type="dxa"/>
          <w:right w:w="80" w:type="dxa"/>
        </w:tblCellMar>
        <w:tblLook w:val="0000" w:firstRow="0" w:lastRow="0" w:firstColumn="0" w:lastColumn="0" w:noHBand="0" w:noVBand="0"/>
      </w:tblPr>
      <w:tblGrid>
        <w:gridCol w:w="3791"/>
        <w:gridCol w:w="3805"/>
      </w:tblGrid>
      <w:tr w:rsidR="002E686F" w:rsidRPr="0064357E" w14:paraId="38238E1B" w14:textId="77777777" w:rsidTr="008D7966">
        <w:trPr>
          <w:cantSplit/>
        </w:trPr>
        <w:tc>
          <w:tcPr>
            <w:tcW w:w="3791" w:type="dxa"/>
            <w:tcBorders>
              <w:top w:val="single" w:sz="6" w:space="0" w:color="auto"/>
              <w:left w:val="single" w:sz="6" w:space="0" w:color="auto"/>
              <w:bottom w:val="single" w:sz="6" w:space="0" w:color="auto"/>
              <w:right w:val="single" w:sz="6" w:space="0" w:color="auto"/>
            </w:tcBorders>
          </w:tcPr>
          <w:p w14:paraId="03077737" w14:textId="77777777" w:rsidR="002E686F" w:rsidRPr="0064357E" w:rsidRDefault="002E686F" w:rsidP="00C70CCA">
            <w:pPr>
              <w:pStyle w:val="TableHeaderText"/>
              <w:jc w:val="left"/>
            </w:pPr>
            <w:r w:rsidRPr="0064357E">
              <w:t>If the beneficiary reports a …</w:t>
            </w:r>
          </w:p>
        </w:tc>
        <w:tc>
          <w:tcPr>
            <w:tcW w:w="3805" w:type="dxa"/>
            <w:tcBorders>
              <w:top w:val="single" w:sz="6" w:space="0" w:color="auto"/>
              <w:left w:val="single" w:sz="6" w:space="0" w:color="auto"/>
              <w:bottom w:val="single" w:sz="6" w:space="0" w:color="auto"/>
              <w:right w:val="single" w:sz="6" w:space="0" w:color="auto"/>
            </w:tcBorders>
          </w:tcPr>
          <w:p w14:paraId="50751E98" w14:textId="77777777" w:rsidR="002E686F" w:rsidRPr="0064357E" w:rsidRDefault="002E686F" w:rsidP="00C70CCA">
            <w:pPr>
              <w:pStyle w:val="TableHeaderText"/>
              <w:jc w:val="left"/>
            </w:pPr>
            <w:r w:rsidRPr="0064357E">
              <w:t>Then …</w:t>
            </w:r>
          </w:p>
        </w:tc>
      </w:tr>
      <w:tr w:rsidR="002E686F" w:rsidRPr="0064357E" w14:paraId="2A360663" w14:textId="77777777" w:rsidTr="008D7966">
        <w:trPr>
          <w:cantSplit/>
        </w:trPr>
        <w:tc>
          <w:tcPr>
            <w:tcW w:w="3791" w:type="dxa"/>
            <w:tcBorders>
              <w:top w:val="single" w:sz="6" w:space="0" w:color="auto"/>
              <w:left w:val="single" w:sz="6" w:space="0" w:color="auto"/>
              <w:bottom w:val="single" w:sz="6" w:space="0" w:color="auto"/>
              <w:right w:val="single" w:sz="6" w:space="0" w:color="auto"/>
            </w:tcBorders>
          </w:tcPr>
          <w:p w14:paraId="77485AA2" w14:textId="256A5C06" w:rsidR="008261D5" w:rsidRPr="0064357E" w:rsidRDefault="002E686F" w:rsidP="00B34456">
            <w:pPr>
              <w:pStyle w:val="TableText"/>
              <w:numPr>
                <w:ilvl w:val="0"/>
                <w:numId w:val="160"/>
              </w:numPr>
              <w:ind w:left="198" w:hanging="198"/>
            </w:pPr>
            <w:r w:rsidRPr="0064357E">
              <w:t>lower level of income with acceptable supporting evidence or confirms the match income</w:t>
            </w:r>
            <w:r w:rsidR="008261D5" w:rsidRPr="0064357E">
              <w:t xml:space="preserve"> </w:t>
            </w:r>
          </w:p>
          <w:p w14:paraId="6F4BD0F4" w14:textId="7C592712" w:rsidR="002E686F" w:rsidRPr="0064357E" w:rsidRDefault="008261D5" w:rsidP="00B34456">
            <w:pPr>
              <w:pStyle w:val="TableText"/>
              <w:numPr>
                <w:ilvl w:val="0"/>
                <w:numId w:val="160"/>
              </w:numPr>
              <w:ind w:left="198" w:hanging="198"/>
            </w:pPr>
            <w:r w:rsidRPr="0064357E">
              <w:t>lower level of income that results in termination of benefits</w:t>
            </w:r>
          </w:p>
          <w:p w14:paraId="470F66F8" w14:textId="43354CB2" w:rsidR="008D7966" w:rsidRPr="0064357E" w:rsidRDefault="008D7966" w:rsidP="00B34456">
            <w:pPr>
              <w:pStyle w:val="TableText"/>
              <w:numPr>
                <w:ilvl w:val="0"/>
                <w:numId w:val="160"/>
              </w:numPr>
              <w:ind w:left="198" w:hanging="198"/>
            </w:pPr>
            <w:r w:rsidRPr="0064357E">
              <w:t>higher level of income</w:t>
            </w:r>
          </w:p>
        </w:tc>
        <w:tc>
          <w:tcPr>
            <w:tcW w:w="3805" w:type="dxa"/>
            <w:tcBorders>
              <w:top w:val="single" w:sz="6" w:space="0" w:color="auto"/>
              <w:left w:val="single" w:sz="6" w:space="0" w:color="auto"/>
              <w:bottom w:val="single" w:sz="6" w:space="0" w:color="auto"/>
              <w:right w:val="single" w:sz="6" w:space="0" w:color="auto"/>
            </w:tcBorders>
          </w:tcPr>
          <w:p w14:paraId="34EE04AC" w14:textId="4EDDBC60" w:rsidR="002E686F" w:rsidRPr="0064357E" w:rsidRDefault="002E686F" w:rsidP="00C70CCA">
            <w:pPr>
              <w:pStyle w:val="TableText"/>
            </w:pPr>
            <w:proofErr w:type="gramStart"/>
            <w:r w:rsidRPr="0064357E">
              <w:t>take</w:t>
            </w:r>
            <w:proofErr w:type="gramEnd"/>
            <w:r w:rsidRPr="0064357E">
              <w:t xml:space="preserve"> award action based on the beneficiary's evidence</w:t>
            </w:r>
            <w:r w:rsidR="008261D5" w:rsidRPr="0064357E">
              <w:t xml:space="preserve"> and/or report</w:t>
            </w:r>
            <w:r w:rsidRPr="0064357E">
              <w:t>.</w:t>
            </w:r>
          </w:p>
        </w:tc>
      </w:tr>
      <w:tr w:rsidR="002E686F" w:rsidRPr="0064357E" w14:paraId="6CCAB8EE" w14:textId="77777777" w:rsidTr="008D7966">
        <w:trPr>
          <w:cantSplit/>
        </w:trPr>
        <w:tc>
          <w:tcPr>
            <w:tcW w:w="3791" w:type="dxa"/>
            <w:tcBorders>
              <w:top w:val="single" w:sz="6" w:space="0" w:color="auto"/>
              <w:left w:val="single" w:sz="6" w:space="0" w:color="auto"/>
              <w:bottom w:val="single" w:sz="6" w:space="0" w:color="auto"/>
              <w:right w:val="single" w:sz="6" w:space="0" w:color="auto"/>
            </w:tcBorders>
          </w:tcPr>
          <w:p w14:paraId="03AEB0B3" w14:textId="77777777" w:rsidR="002E686F" w:rsidRPr="0064357E" w:rsidRDefault="002E686F" w:rsidP="00BA10C1">
            <w:pPr>
              <w:pStyle w:val="ListParagraph"/>
              <w:numPr>
                <w:ilvl w:val="0"/>
                <w:numId w:val="93"/>
              </w:numPr>
              <w:ind w:left="158" w:hanging="187"/>
            </w:pPr>
            <w:r w:rsidRPr="0064357E">
              <w:t>lower level of income not resulting in termination, and</w:t>
            </w:r>
          </w:p>
          <w:p w14:paraId="5FBD8723" w14:textId="77777777" w:rsidR="002E686F" w:rsidRPr="0064357E" w:rsidRDefault="002E686F" w:rsidP="00BA10C1">
            <w:pPr>
              <w:pStyle w:val="ListParagraph"/>
              <w:numPr>
                <w:ilvl w:val="0"/>
                <w:numId w:val="94"/>
              </w:numPr>
              <w:ind w:left="158" w:hanging="187"/>
            </w:pPr>
            <w:r w:rsidRPr="0064357E">
              <w:t>does not provide supporting evidence</w:t>
            </w:r>
          </w:p>
        </w:tc>
        <w:tc>
          <w:tcPr>
            <w:tcW w:w="3805" w:type="dxa"/>
            <w:tcBorders>
              <w:top w:val="single" w:sz="6" w:space="0" w:color="auto"/>
              <w:left w:val="single" w:sz="6" w:space="0" w:color="auto"/>
              <w:bottom w:val="single" w:sz="6" w:space="0" w:color="auto"/>
              <w:right w:val="single" w:sz="6" w:space="0" w:color="auto"/>
            </w:tcBorders>
          </w:tcPr>
          <w:p w14:paraId="4DF5E122" w14:textId="387529FC" w:rsidR="002E686F" w:rsidRPr="0064357E" w:rsidRDefault="002E686F" w:rsidP="00B40101">
            <w:pPr>
              <w:pStyle w:val="TableText"/>
            </w:pPr>
            <w:proofErr w:type="gramStart"/>
            <w:r w:rsidRPr="0064357E">
              <w:t>take</w:t>
            </w:r>
            <w:proofErr w:type="gramEnd"/>
            <w:r w:rsidRPr="0064357E">
              <w:t xml:space="preserve"> </w:t>
            </w:r>
            <w:r w:rsidR="00B40101" w:rsidRPr="0064357E">
              <w:t>award</w:t>
            </w:r>
            <w:r w:rsidRPr="0064357E">
              <w:t xml:space="preserve"> act</w:t>
            </w:r>
            <w:r w:rsidR="00360440" w:rsidRPr="0064357E">
              <w:t xml:space="preserve">ion </w:t>
            </w:r>
            <w:r w:rsidR="00B40101" w:rsidRPr="0064357E">
              <w:t xml:space="preserve">based on the </w:t>
            </w:r>
            <w:r w:rsidR="008261D5" w:rsidRPr="0064357E">
              <w:t>FTI and</w:t>
            </w:r>
            <w:r w:rsidR="008D7966" w:rsidRPr="0064357E">
              <w:t xml:space="preserve"> send a</w:t>
            </w:r>
            <w:r w:rsidR="008261D5" w:rsidRPr="0064357E">
              <w:t xml:space="preserve"> notice of proposed adverse action letter</w:t>
            </w:r>
            <w:r w:rsidR="00B40101" w:rsidRPr="0064357E">
              <w:t>.</w:t>
            </w:r>
          </w:p>
        </w:tc>
      </w:tr>
    </w:tbl>
    <w:p w14:paraId="10DD2892" w14:textId="77777777" w:rsidR="00DC662B" w:rsidRPr="0064357E" w:rsidRDefault="00DC662B" w:rsidP="00DC662B"/>
    <w:p w14:paraId="0F6A328C" w14:textId="77777777" w:rsidR="00DC662B" w:rsidRPr="0064357E" w:rsidRDefault="00DC662B" w:rsidP="00DC662B"/>
    <w:p w14:paraId="7821DF9A" w14:textId="77777777" w:rsidR="00DC662B" w:rsidRPr="0064357E" w:rsidRDefault="00DC662B" w:rsidP="00DC662B"/>
    <w:p w14:paraId="468C005F" w14:textId="77777777" w:rsidR="00DC662B" w:rsidRPr="0064357E" w:rsidRDefault="00DC662B" w:rsidP="00DC662B"/>
    <w:p w14:paraId="03F705DF" w14:textId="77777777" w:rsidR="00DC662B" w:rsidRPr="0064357E" w:rsidRDefault="00DC662B" w:rsidP="00DC662B"/>
    <w:p w14:paraId="36A8E8D2" w14:textId="77777777" w:rsidR="00DC662B" w:rsidRPr="0064357E" w:rsidRDefault="00DC662B" w:rsidP="00DC662B"/>
    <w:p w14:paraId="08F88B98" w14:textId="77777777" w:rsidR="00DC662B" w:rsidRPr="0064357E" w:rsidRDefault="00DC662B" w:rsidP="00DC662B"/>
    <w:p w14:paraId="42100EC0" w14:textId="77777777" w:rsidR="00DC662B" w:rsidRPr="0064357E" w:rsidRDefault="00DC662B" w:rsidP="00DC662B"/>
    <w:p w14:paraId="7D12AEFE" w14:textId="77777777" w:rsidR="00DC662B" w:rsidRPr="0064357E" w:rsidRDefault="00DC662B" w:rsidP="00DC662B"/>
    <w:p w14:paraId="50D03EE8" w14:textId="77777777" w:rsidR="00DC662B" w:rsidRPr="0064357E" w:rsidRDefault="00DC662B" w:rsidP="00DC662B"/>
    <w:p w14:paraId="600A350D" w14:textId="77777777" w:rsidR="00DC662B" w:rsidRPr="0064357E" w:rsidRDefault="00DC662B" w:rsidP="00DC662B"/>
    <w:p w14:paraId="4583F608" w14:textId="77777777" w:rsidR="00DC662B" w:rsidRPr="0064357E" w:rsidRDefault="00DC662B" w:rsidP="00DC662B"/>
    <w:p w14:paraId="329FA605" w14:textId="77777777" w:rsidR="00CA04F2" w:rsidRPr="0064357E" w:rsidRDefault="00CA04F2" w:rsidP="00CE3169"/>
    <w:p w14:paraId="329FA606" w14:textId="77777777" w:rsidR="00CA04F2" w:rsidRPr="0064357E" w:rsidRDefault="00CA04F2" w:rsidP="00CE3169"/>
    <w:p w14:paraId="0D269417" w14:textId="77777777" w:rsidR="00D45EDE" w:rsidRPr="0064357E" w:rsidRDefault="00D45EDE">
      <w:pPr>
        <w:spacing w:after="200" w:line="276" w:lineRule="auto"/>
        <w:rPr>
          <w:rFonts w:ascii="Arial" w:hAnsi="Arial"/>
          <w:b/>
          <w:sz w:val="32"/>
          <w:szCs w:val="20"/>
        </w:rPr>
      </w:pPr>
      <w:r w:rsidRPr="0064357E">
        <w:br w:type="page"/>
      </w:r>
    </w:p>
    <w:p w14:paraId="329FA61D" w14:textId="256ACC26" w:rsidR="00CA04F2" w:rsidRPr="0064357E" w:rsidRDefault="00887589" w:rsidP="00CA04F2">
      <w:pPr>
        <w:pStyle w:val="Heading4"/>
      </w:pPr>
      <w:r w:rsidRPr="0064357E">
        <w:t>1</w:t>
      </w:r>
      <w:r w:rsidR="004E1AA5" w:rsidRPr="0064357E">
        <w:t>1</w:t>
      </w:r>
      <w:r w:rsidR="00CA04F2" w:rsidRPr="0064357E">
        <w:t>.  Recipient Claims Income Belongs to Someone Else</w:t>
      </w:r>
    </w:p>
    <w:p w14:paraId="329FA61E" w14:textId="77777777" w:rsidR="00CA04F2" w:rsidRPr="0064357E" w:rsidRDefault="00CA04F2" w:rsidP="00CA04F2">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CA04F2" w:rsidRPr="0064357E" w14:paraId="329FA627" w14:textId="77777777" w:rsidTr="00827000">
        <w:trPr>
          <w:cantSplit/>
        </w:trPr>
        <w:tc>
          <w:tcPr>
            <w:tcW w:w="1728" w:type="dxa"/>
          </w:tcPr>
          <w:p w14:paraId="329FA61F" w14:textId="77777777" w:rsidR="00CA04F2" w:rsidRPr="0064357E" w:rsidRDefault="00CA04F2" w:rsidP="00827000">
            <w:pPr>
              <w:pStyle w:val="Heading5"/>
            </w:pPr>
            <w:r w:rsidRPr="0064357E">
              <w:t>Introduction</w:t>
            </w:r>
          </w:p>
        </w:tc>
        <w:tc>
          <w:tcPr>
            <w:tcW w:w="7740" w:type="dxa"/>
          </w:tcPr>
          <w:p w14:paraId="329FA620" w14:textId="77777777" w:rsidR="00CA04F2" w:rsidRPr="0064357E" w:rsidRDefault="00CA04F2" w:rsidP="00827000">
            <w:pPr>
              <w:pStyle w:val="BlockText"/>
            </w:pPr>
            <w:r w:rsidRPr="0064357E">
              <w:t>This topic contains information on recipient claims that income belongs to someone else, including</w:t>
            </w:r>
          </w:p>
          <w:p w14:paraId="329FA621" w14:textId="77777777" w:rsidR="00CA04F2" w:rsidRPr="0064357E" w:rsidRDefault="00CA04F2" w:rsidP="00827000">
            <w:pPr>
              <w:pStyle w:val="BlockText"/>
            </w:pPr>
          </w:p>
          <w:p w14:paraId="329FA622" w14:textId="77777777" w:rsidR="00CA04F2" w:rsidRPr="0064357E" w:rsidRDefault="00CA04F2" w:rsidP="00BA10C1">
            <w:pPr>
              <w:pStyle w:val="ListParagraph"/>
              <w:numPr>
                <w:ilvl w:val="0"/>
                <w:numId w:val="63"/>
              </w:numPr>
              <w:ind w:left="158" w:hanging="187"/>
            </w:pPr>
            <w:r w:rsidRPr="0064357E">
              <w:t>the income statement</w:t>
            </w:r>
          </w:p>
          <w:p w14:paraId="329FA623" w14:textId="77777777" w:rsidR="00CA04F2" w:rsidRPr="0064357E" w:rsidRDefault="00CA04F2" w:rsidP="00BA10C1">
            <w:pPr>
              <w:pStyle w:val="ListParagraph"/>
              <w:numPr>
                <w:ilvl w:val="0"/>
                <w:numId w:val="64"/>
              </w:numPr>
              <w:ind w:left="158" w:hanging="187"/>
            </w:pPr>
            <w:r w:rsidRPr="0064357E">
              <w:t>when there is no response within 60 days</w:t>
            </w:r>
          </w:p>
          <w:p w14:paraId="329FA624" w14:textId="77777777" w:rsidR="00CA04F2" w:rsidRPr="0064357E" w:rsidRDefault="00CA04F2" w:rsidP="00BA10C1">
            <w:pPr>
              <w:pStyle w:val="ListParagraph"/>
              <w:numPr>
                <w:ilvl w:val="0"/>
                <w:numId w:val="65"/>
              </w:numPr>
              <w:ind w:left="158" w:hanging="187"/>
            </w:pPr>
            <w:r w:rsidRPr="0064357E">
              <w:t>jointly owned property</w:t>
            </w:r>
          </w:p>
          <w:p w14:paraId="329FA625" w14:textId="77777777" w:rsidR="00CA04F2" w:rsidRPr="0064357E" w:rsidRDefault="00CA04F2" w:rsidP="00BA10C1">
            <w:pPr>
              <w:pStyle w:val="ListParagraph"/>
              <w:numPr>
                <w:ilvl w:val="0"/>
                <w:numId w:val="66"/>
              </w:numPr>
              <w:ind w:left="158" w:hanging="187"/>
            </w:pPr>
            <w:r w:rsidRPr="0064357E">
              <w:t>funds paid or credited to the recipient, and</w:t>
            </w:r>
          </w:p>
          <w:p w14:paraId="329FA626" w14:textId="0E3396AE" w:rsidR="00CA04F2" w:rsidRPr="0064357E" w:rsidRDefault="00CA04F2" w:rsidP="00BA10C1">
            <w:pPr>
              <w:pStyle w:val="ListParagraph"/>
              <w:numPr>
                <w:ilvl w:val="0"/>
                <w:numId w:val="67"/>
              </w:numPr>
              <w:ind w:left="158" w:hanging="187"/>
            </w:pPr>
            <w:r w:rsidRPr="0064357E">
              <w:t>handling reports of identity theft</w:t>
            </w:r>
            <w:r w:rsidR="00360440" w:rsidRPr="0064357E">
              <w:t>.</w:t>
            </w:r>
          </w:p>
        </w:tc>
      </w:tr>
    </w:tbl>
    <w:p w14:paraId="329FA628" w14:textId="77777777" w:rsidR="00CA04F2" w:rsidRPr="0064357E" w:rsidRDefault="00CA04F2" w:rsidP="00CA04F2">
      <w:pPr>
        <w:pStyle w:val="BlockLine"/>
      </w:pPr>
    </w:p>
    <w:tbl>
      <w:tblPr>
        <w:tblW w:w="0" w:type="auto"/>
        <w:tblLayout w:type="fixed"/>
        <w:tblLook w:val="0000" w:firstRow="0" w:lastRow="0" w:firstColumn="0" w:lastColumn="0" w:noHBand="0" w:noVBand="0"/>
      </w:tblPr>
      <w:tblGrid>
        <w:gridCol w:w="1728"/>
        <w:gridCol w:w="7740"/>
      </w:tblGrid>
      <w:tr w:rsidR="00CA04F2" w:rsidRPr="0064357E" w14:paraId="329FA62B" w14:textId="77777777" w:rsidTr="00827000">
        <w:trPr>
          <w:cantSplit/>
        </w:trPr>
        <w:tc>
          <w:tcPr>
            <w:tcW w:w="1728" w:type="dxa"/>
          </w:tcPr>
          <w:p w14:paraId="329FA629" w14:textId="77777777" w:rsidR="00CA04F2" w:rsidRPr="0064357E" w:rsidRDefault="00CA04F2" w:rsidP="00827000">
            <w:pPr>
              <w:pStyle w:val="Heading5"/>
            </w:pPr>
            <w:r w:rsidRPr="0064357E">
              <w:t>Change Date</w:t>
            </w:r>
          </w:p>
        </w:tc>
        <w:tc>
          <w:tcPr>
            <w:tcW w:w="7740" w:type="dxa"/>
          </w:tcPr>
          <w:p w14:paraId="329FA62A" w14:textId="7B8F7E02" w:rsidR="00CA04F2" w:rsidRPr="0064357E" w:rsidRDefault="0064357E" w:rsidP="0064357E">
            <w:pPr>
              <w:tabs>
                <w:tab w:val="left" w:pos="9360"/>
              </w:tabs>
              <w:ind w:left="-18"/>
            </w:pPr>
            <w:r>
              <w:t>March 30, 2015</w:t>
            </w:r>
          </w:p>
        </w:tc>
      </w:tr>
    </w:tbl>
    <w:p w14:paraId="7FE3B145" w14:textId="77777777" w:rsidR="00B550AF" w:rsidRPr="0064357E" w:rsidRDefault="00B550AF" w:rsidP="00B550AF">
      <w:pPr>
        <w:tabs>
          <w:tab w:val="left" w:pos="9360"/>
        </w:tabs>
        <w:ind w:left="1714"/>
      </w:pPr>
      <w:r w:rsidRPr="0064357E">
        <w:rPr>
          <w:u w:val="single"/>
        </w:rPr>
        <w:tab/>
      </w:r>
    </w:p>
    <w:p w14:paraId="2FD4D213" w14:textId="4F0BAAAD" w:rsidR="00360440" w:rsidRPr="0064357E" w:rsidRDefault="003604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60440" w:rsidRPr="0064357E" w14:paraId="776221C5" w14:textId="77777777" w:rsidTr="00B1398C">
        <w:tc>
          <w:tcPr>
            <w:tcW w:w="1728" w:type="dxa"/>
            <w:shd w:val="clear" w:color="auto" w:fill="auto"/>
          </w:tcPr>
          <w:p w14:paraId="1E7DB4E3" w14:textId="0DE56D7F" w:rsidR="00360440" w:rsidRPr="0064357E" w:rsidRDefault="00360440" w:rsidP="00360440">
            <w:pPr>
              <w:rPr>
                <w:b/>
                <w:sz w:val="22"/>
              </w:rPr>
            </w:pPr>
            <w:r w:rsidRPr="0064357E">
              <w:rPr>
                <w:b/>
                <w:sz w:val="22"/>
              </w:rPr>
              <w:t>a.  Income Statement</w:t>
            </w:r>
          </w:p>
        </w:tc>
        <w:tc>
          <w:tcPr>
            <w:tcW w:w="7740" w:type="dxa"/>
            <w:shd w:val="clear" w:color="auto" w:fill="auto"/>
          </w:tcPr>
          <w:p w14:paraId="35A669F8" w14:textId="77777777" w:rsidR="00360440" w:rsidRPr="0064357E" w:rsidRDefault="00360440" w:rsidP="00360440">
            <w:r w:rsidRPr="0064357E">
              <w:t>Instances may arise where the income recipient indicates that income identified by the match was</w:t>
            </w:r>
          </w:p>
          <w:p w14:paraId="386BC7FC" w14:textId="77777777" w:rsidR="00360440" w:rsidRPr="0064357E" w:rsidRDefault="00360440" w:rsidP="00360440"/>
          <w:p w14:paraId="71C19443" w14:textId="77777777" w:rsidR="00360440" w:rsidRPr="0064357E" w:rsidRDefault="00360440" w:rsidP="00BA10C1">
            <w:pPr>
              <w:pStyle w:val="ListParagraph"/>
              <w:numPr>
                <w:ilvl w:val="0"/>
                <w:numId w:val="113"/>
              </w:numPr>
              <w:ind w:left="158" w:hanging="187"/>
            </w:pPr>
            <w:r w:rsidRPr="0064357E">
              <w:t>the income of another person, possibly a relative, or</w:t>
            </w:r>
          </w:p>
          <w:p w14:paraId="059F37DA" w14:textId="77777777" w:rsidR="00360440" w:rsidRPr="0064357E" w:rsidRDefault="00360440" w:rsidP="00BA10C1">
            <w:pPr>
              <w:pStyle w:val="ListParagraph"/>
              <w:numPr>
                <w:ilvl w:val="0"/>
                <w:numId w:val="113"/>
              </w:numPr>
              <w:ind w:left="158" w:hanging="187"/>
            </w:pPr>
            <w:r w:rsidRPr="0064357E">
              <w:t>shared jointly between the recipient and the other person.</w:t>
            </w:r>
          </w:p>
          <w:p w14:paraId="326CED1A" w14:textId="77777777" w:rsidR="00360440" w:rsidRPr="0064357E" w:rsidRDefault="00360440" w:rsidP="00B1398C">
            <w:pPr>
              <w:pStyle w:val="ListParagraph"/>
              <w:ind w:left="0"/>
            </w:pPr>
          </w:p>
          <w:p w14:paraId="7FEB62BF" w14:textId="1BA9EDDF" w:rsidR="00360440" w:rsidRPr="0064357E" w:rsidRDefault="00360440" w:rsidP="00360440">
            <w:pPr>
              <w:pStyle w:val="BlockText"/>
            </w:pPr>
            <w:r w:rsidRPr="0064357E">
              <w:t>In these situations, ask the income recipient to furnish a statement from the</w:t>
            </w:r>
            <w:r w:rsidR="00E90645" w:rsidRPr="0064357E">
              <w:t xml:space="preserve"> Financial Institution (</w:t>
            </w:r>
            <w:r w:rsidRPr="0064357E">
              <w:t>FI</w:t>
            </w:r>
            <w:r w:rsidR="00E90645" w:rsidRPr="0064357E">
              <w:t>)</w:t>
            </w:r>
            <w:r w:rsidRPr="0064357E">
              <w:t xml:space="preserve"> or other source of the income.  The statement should show the names of the owner or owners of the funds or property which generated the income during the time frames in question.</w:t>
            </w:r>
          </w:p>
          <w:p w14:paraId="043826C9" w14:textId="77777777" w:rsidR="00360440" w:rsidRPr="0064357E" w:rsidRDefault="00360440" w:rsidP="00B1398C">
            <w:pPr>
              <w:pStyle w:val="ListParagraph"/>
              <w:ind w:left="0"/>
            </w:pPr>
          </w:p>
          <w:p w14:paraId="57912C6C" w14:textId="7934A7FC" w:rsidR="00360440" w:rsidRPr="0064357E" w:rsidRDefault="00360440" w:rsidP="00B1398C">
            <w:pPr>
              <w:pStyle w:val="ListParagraph"/>
              <w:ind w:left="0"/>
            </w:pPr>
            <w:r w:rsidRPr="0064357E">
              <w:t>Provide 60 days for a response.</w:t>
            </w:r>
          </w:p>
        </w:tc>
      </w:tr>
    </w:tbl>
    <w:p w14:paraId="7D48A646" w14:textId="77777777"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60440" w:rsidRPr="0064357E" w14:paraId="002DF209" w14:textId="77777777" w:rsidTr="00B1398C">
        <w:tc>
          <w:tcPr>
            <w:tcW w:w="1728" w:type="dxa"/>
            <w:shd w:val="clear" w:color="auto" w:fill="auto"/>
          </w:tcPr>
          <w:p w14:paraId="46034350" w14:textId="7DAAF039" w:rsidR="00360440" w:rsidRPr="0064357E" w:rsidRDefault="00360440" w:rsidP="00360440">
            <w:pPr>
              <w:rPr>
                <w:b/>
                <w:sz w:val="22"/>
              </w:rPr>
            </w:pPr>
            <w:r w:rsidRPr="0064357E">
              <w:rPr>
                <w:b/>
                <w:sz w:val="22"/>
              </w:rPr>
              <w:t>b.  When There Is No Response Within 60 Days</w:t>
            </w:r>
          </w:p>
        </w:tc>
        <w:tc>
          <w:tcPr>
            <w:tcW w:w="7740" w:type="dxa"/>
            <w:shd w:val="clear" w:color="auto" w:fill="auto"/>
          </w:tcPr>
          <w:p w14:paraId="063A2870" w14:textId="12CE5DAA" w:rsidR="00360440" w:rsidRPr="0064357E" w:rsidRDefault="00360440" w:rsidP="00360440">
            <w:r w:rsidRPr="0064357E">
              <w:t>If no response is received within 60 days, treat the income as that of the income recipient.</w:t>
            </w:r>
          </w:p>
        </w:tc>
      </w:tr>
    </w:tbl>
    <w:p w14:paraId="636F52A2" w14:textId="77777777"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60440" w:rsidRPr="0064357E" w14:paraId="531FE75A" w14:textId="77777777" w:rsidTr="00B1398C">
        <w:tc>
          <w:tcPr>
            <w:tcW w:w="1728" w:type="dxa"/>
            <w:shd w:val="clear" w:color="auto" w:fill="auto"/>
          </w:tcPr>
          <w:p w14:paraId="1A224C9A" w14:textId="09FB4AAE" w:rsidR="00360440" w:rsidRPr="0064357E" w:rsidRDefault="00360440" w:rsidP="00360440">
            <w:pPr>
              <w:rPr>
                <w:b/>
                <w:sz w:val="22"/>
              </w:rPr>
            </w:pPr>
            <w:r w:rsidRPr="0064357E">
              <w:rPr>
                <w:b/>
                <w:sz w:val="22"/>
              </w:rPr>
              <w:t>c.  Jointly Owned Property</w:t>
            </w:r>
          </w:p>
        </w:tc>
        <w:tc>
          <w:tcPr>
            <w:tcW w:w="7740" w:type="dxa"/>
            <w:shd w:val="clear" w:color="auto" w:fill="auto"/>
          </w:tcPr>
          <w:p w14:paraId="5591C403" w14:textId="77777777" w:rsidR="00360440" w:rsidRPr="0064357E" w:rsidRDefault="00360440" w:rsidP="00360440">
            <w:pPr>
              <w:pStyle w:val="BlockText"/>
            </w:pPr>
            <w:r w:rsidRPr="0064357E">
              <w:t>If the income recipient submits a statement from the FI or other source of the income showing that the income recipient and another person or persons jointly owned the property generating the income, count only the income recipient’s proportional share of the income on partial transfer of property by a claimant.</w:t>
            </w:r>
          </w:p>
          <w:p w14:paraId="54199190" w14:textId="77777777" w:rsidR="00360440" w:rsidRPr="0064357E" w:rsidRDefault="00360440" w:rsidP="00360440"/>
          <w:p w14:paraId="30E16D03" w14:textId="0BD141EC" w:rsidR="00360440" w:rsidRPr="0064357E" w:rsidRDefault="00360440" w:rsidP="00360440">
            <w:r w:rsidRPr="0064357E">
              <w:rPr>
                <w:b/>
                <w:i/>
              </w:rPr>
              <w:t>Reference:</w:t>
            </w:r>
            <w:r w:rsidRPr="0064357E">
              <w:t xml:space="preserve">  For more information </w:t>
            </w:r>
            <w:r w:rsidR="00E90645" w:rsidRPr="0064357E">
              <w:t xml:space="preserve">on </w:t>
            </w:r>
            <w:r w:rsidRPr="0064357E">
              <w:t>partial transfer of pro</w:t>
            </w:r>
            <w:r w:rsidR="004B002F" w:rsidRPr="0064357E">
              <w:t xml:space="preserve">perty by a claimant, see </w:t>
            </w:r>
            <w:hyperlink r:id="rId11" w:history="1">
              <w:r w:rsidR="009D35AA" w:rsidRPr="0064357E">
                <w:rPr>
                  <w:rStyle w:val="Hyperlink"/>
                  <w:sz w:val="24"/>
                </w:rPr>
                <w:t>M21-1, Part V, Subpart iii.1.I.10</w:t>
              </w:r>
            </w:hyperlink>
            <w:r w:rsidR="005216DB" w:rsidRPr="0064357E">
              <w:t>.</w:t>
            </w:r>
          </w:p>
        </w:tc>
      </w:tr>
    </w:tbl>
    <w:p w14:paraId="2D115FA3" w14:textId="5F96160D" w:rsidR="00360440" w:rsidRPr="0064357E" w:rsidRDefault="00360440" w:rsidP="00360440"/>
    <w:p w14:paraId="11C328F2" w14:textId="77777777" w:rsidR="005216DB" w:rsidRPr="0064357E" w:rsidRDefault="005216DB" w:rsidP="00360440"/>
    <w:p w14:paraId="07068670" w14:textId="77777777" w:rsidR="005216DB" w:rsidRPr="0064357E" w:rsidRDefault="005216DB" w:rsidP="003604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5216DB" w:rsidRPr="0064357E" w14:paraId="560CB29C" w14:textId="77777777" w:rsidTr="00B1398C">
        <w:tc>
          <w:tcPr>
            <w:tcW w:w="1728" w:type="dxa"/>
            <w:shd w:val="clear" w:color="auto" w:fill="auto"/>
          </w:tcPr>
          <w:p w14:paraId="085C7BAE" w14:textId="402CE410" w:rsidR="005216DB" w:rsidRPr="0064357E" w:rsidRDefault="005216DB" w:rsidP="00360440">
            <w:pPr>
              <w:rPr>
                <w:b/>
                <w:sz w:val="22"/>
              </w:rPr>
            </w:pPr>
            <w:r w:rsidRPr="0064357E">
              <w:rPr>
                <w:b/>
                <w:sz w:val="22"/>
              </w:rPr>
              <w:t>d.  Funds Paid or Credited to Recipient</w:t>
            </w:r>
          </w:p>
        </w:tc>
        <w:tc>
          <w:tcPr>
            <w:tcW w:w="7740" w:type="dxa"/>
            <w:shd w:val="clear" w:color="auto" w:fill="auto"/>
          </w:tcPr>
          <w:p w14:paraId="360C2945" w14:textId="77777777" w:rsidR="005216DB" w:rsidRPr="0064357E" w:rsidRDefault="005216DB" w:rsidP="00360440">
            <w:r w:rsidRPr="0064357E">
              <w:t>If funds were paid to the income recipient or credited to the income recipient’s account, the income recipient’s proportional share of the income must be counted in determining eligibility for VA benefits, irrespective of any informal arrangements that might have existed.</w:t>
            </w:r>
          </w:p>
          <w:p w14:paraId="0B9807E6" w14:textId="77777777" w:rsidR="00DF3E03" w:rsidRPr="0064357E" w:rsidRDefault="00DF3E03" w:rsidP="00360440"/>
          <w:p w14:paraId="5F0175AF" w14:textId="60B646A9" w:rsidR="00DF3E03" w:rsidRPr="0064357E" w:rsidRDefault="00DF3E03" w:rsidP="00360440">
            <w:r w:rsidRPr="0064357E">
              <w:rPr>
                <w:b/>
                <w:i/>
              </w:rPr>
              <w:t xml:space="preserve">Reference:  </w:t>
            </w:r>
            <w:r w:rsidRPr="0064357E">
              <w:t xml:space="preserve">For more information on proportional share of income, see </w:t>
            </w:r>
            <w:hyperlink r:id="rId12" w:history="1">
              <w:r w:rsidR="009B0FFC" w:rsidRPr="0064357E">
                <w:rPr>
                  <w:rStyle w:val="Hyperlink"/>
                  <w:sz w:val="24"/>
                </w:rPr>
                <w:t>M21-1, Part V, Subpart iii.1.I.1</w:t>
              </w:r>
            </w:hyperlink>
            <w:r w:rsidRPr="0064357E">
              <w:t>.</w:t>
            </w:r>
          </w:p>
        </w:tc>
      </w:tr>
    </w:tbl>
    <w:p w14:paraId="1379496E" w14:textId="77777777"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5216DB" w:rsidRPr="0064357E" w14:paraId="46B7E3CD" w14:textId="77777777" w:rsidTr="00B1398C">
        <w:tc>
          <w:tcPr>
            <w:tcW w:w="1728" w:type="dxa"/>
            <w:shd w:val="clear" w:color="auto" w:fill="auto"/>
          </w:tcPr>
          <w:p w14:paraId="16E184C9" w14:textId="17AAFC34" w:rsidR="005216DB" w:rsidRPr="0064357E" w:rsidRDefault="005216DB" w:rsidP="00360440">
            <w:pPr>
              <w:rPr>
                <w:b/>
                <w:sz w:val="22"/>
              </w:rPr>
            </w:pPr>
            <w:r w:rsidRPr="0064357E">
              <w:rPr>
                <w:b/>
                <w:sz w:val="22"/>
              </w:rPr>
              <w:t>e.  Handling Reports of Identity Theft</w:t>
            </w:r>
          </w:p>
        </w:tc>
        <w:tc>
          <w:tcPr>
            <w:tcW w:w="7740" w:type="dxa"/>
            <w:shd w:val="clear" w:color="auto" w:fill="auto"/>
          </w:tcPr>
          <w:p w14:paraId="518C89D2" w14:textId="77777777" w:rsidR="005216DB" w:rsidRPr="0064357E" w:rsidRDefault="005216DB" w:rsidP="00360440">
            <w:r w:rsidRPr="0064357E">
              <w:t>Proof of identity theft includes, but is not limited to, the following:</w:t>
            </w:r>
          </w:p>
          <w:p w14:paraId="179016AE" w14:textId="77777777" w:rsidR="005216DB" w:rsidRPr="0064357E" w:rsidRDefault="005216DB" w:rsidP="00360440"/>
          <w:p w14:paraId="25542638" w14:textId="77777777" w:rsidR="005216DB" w:rsidRPr="0064357E" w:rsidRDefault="005216DB" w:rsidP="004E0D2E">
            <w:pPr>
              <w:pStyle w:val="ListParagraph"/>
              <w:numPr>
                <w:ilvl w:val="0"/>
                <w:numId w:val="114"/>
              </w:numPr>
              <w:ind w:left="158" w:hanging="187"/>
            </w:pPr>
            <w:r w:rsidRPr="0064357E">
              <w:t>documentation of the correct income information the claimant wants VA to consider,</w:t>
            </w:r>
          </w:p>
          <w:p w14:paraId="284AF70E" w14:textId="77777777" w:rsidR="005216DB" w:rsidRPr="0064357E" w:rsidRDefault="005216DB" w:rsidP="004E0D2E">
            <w:pPr>
              <w:pStyle w:val="ListParagraph"/>
              <w:numPr>
                <w:ilvl w:val="0"/>
                <w:numId w:val="114"/>
              </w:numPr>
              <w:ind w:left="158" w:hanging="187"/>
            </w:pPr>
            <w:r w:rsidRPr="0064357E">
              <w:t>evidence that he/she placed a Fraud Alert with one of the three major credit reporting companies (Experian, TransUnion, or Equifax),</w:t>
            </w:r>
          </w:p>
          <w:p w14:paraId="69402B9B" w14:textId="77777777" w:rsidR="005216DB" w:rsidRPr="0064357E" w:rsidRDefault="005216DB" w:rsidP="004E0D2E">
            <w:pPr>
              <w:pStyle w:val="ListParagraph"/>
              <w:numPr>
                <w:ilvl w:val="0"/>
                <w:numId w:val="114"/>
              </w:numPr>
              <w:ind w:left="158" w:hanging="187"/>
            </w:pPr>
            <w:r w:rsidRPr="0064357E">
              <w:t>evidence that he/she created an Identity Theft Report with the Federal Trade Commission,</w:t>
            </w:r>
          </w:p>
          <w:p w14:paraId="6FB2EC02" w14:textId="77777777" w:rsidR="005216DB" w:rsidRPr="0064357E" w:rsidRDefault="005216DB" w:rsidP="004E0D2E">
            <w:pPr>
              <w:pStyle w:val="ListParagraph"/>
              <w:numPr>
                <w:ilvl w:val="0"/>
                <w:numId w:val="114"/>
              </w:numPr>
              <w:ind w:left="158" w:hanging="187"/>
            </w:pPr>
            <w:r w:rsidRPr="0064357E">
              <w:t>a police report indicating identity theft,</w:t>
            </w:r>
          </w:p>
          <w:p w14:paraId="489CBD47" w14:textId="77777777" w:rsidR="005216DB" w:rsidRPr="0064357E" w:rsidRDefault="005216DB" w:rsidP="004E0D2E">
            <w:pPr>
              <w:pStyle w:val="ListParagraph"/>
              <w:numPr>
                <w:ilvl w:val="0"/>
                <w:numId w:val="114"/>
              </w:numPr>
              <w:ind w:left="158" w:hanging="187"/>
            </w:pPr>
            <w:r w:rsidRPr="0064357E">
              <w:t>a letter provided by the IRS, including 4491C, alerting the taxpayer that his/her identity may have been compromised, or</w:t>
            </w:r>
          </w:p>
          <w:p w14:paraId="64AFC8D1" w14:textId="2E86F2FF" w:rsidR="005216DB" w:rsidRPr="0064357E" w:rsidRDefault="005216DB" w:rsidP="004E0D2E">
            <w:pPr>
              <w:pStyle w:val="ListParagraph"/>
              <w:numPr>
                <w:ilvl w:val="0"/>
                <w:numId w:val="114"/>
              </w:numPr>
              <w:ind w:left="158" w:hanging="187"/>
            </w:pPr>
            <w:r w:rsidRPr="0064357E">
              <w:t>evidence from the IRS that the taxpayer submitted Form 14039, IRS Identity Theft Affidavit, to the IRS.</w:t>
            </w:r>
          </w:p>
        </w:tc>
      </w:tr>
    </w:tbl>
    <w:p w14:paraId="6C284F06" w14:textId="0D9F925B" w:rsidR="00360440" w:rsidRPr="0064357E" w:rsidRDefault="00360440" w:rsidP="00B1398C">
      <w:pPr>
        <w:pStyle w:val="BlockLine"/>
        <w:tabs>
          <w:tab w:val="right" w:pos="9360"/>
        </w:tabs>
      </w:pPr>
    </w:p>
    <w:p w14:paraId="329FA642" w14:textId="77777777" w:rsidR="00CA04F2" w:rsidRPr="0064357E" w:rsidRDefault="00CA04F2" w:rsidP="00CE3169"/>
    <w:p w14:paraId="329FA643" w14:textId="349E3CFD" w:rsidR="00CA04F2" w:rsidRPr="0064357E" w:rsidRDefault="00CA04F2" w:rsidP="00CA04F2">
      <w:pPr>
        <w:pStyle w:val="Heading4"/>
      </w:pPr>
    </w:p>
    <w:p w14:paraId="3ECB3372" w14:textId="77777777" w:rsidR="00DC2C78" w:rsidRPr="0064357E" w:rsidRDefault="00DC2C78"/>
    <w:p w14:paraId="14816339" w14:textId="77777777" w:rsidR="00DC2C78" w:rsidRPr="0064357E" w:rsidRDefault="00DC2C78"/>
    <w:p w14:paraId="42C84E22" w14:textId="77777777" w:rsidR="00DC2C78" w:rsidRPr="0064357E" w:rsidRDefault="00DC2C78"/>
    <w:p w14:paraId="196A52AF" w14:textId="77777777" w:rsidR="00DC2C78" w:rsidRPr="0064357E" w:rsidRDefault="00DC2C78"/>
    <w:p w14:paraId="1EF2BF5F" w14:textId="77777777" w:rsidR="00DC2C78" w:rsidRPr="0064357E" w:rsidRDefault="00DC2C78"/>
    <w:p w14:paraId="61A4510A" w14:textId="77777777" w:rsidR="00DC2C78" w:rsidRPr="0064357E" w:rsidRDefault="00DC2C78"/>
    <w:p w14:paraId="77C5C8F1" w14:textId="77777777" w:rsidR="00DC2C78" w:rsidRPr="0064357E" w:rsidRDefault="00DC2C78"/>
    <w:p w14:paraId="79BABD5C" w14:textId="77777777" w:rsidR="00DC2C78" w:rsidRPr="0064357E" w:rsidRDefault="00DC2C78"/>
    <w:p w14:paraId="0BFF5D59" w14:textId="77777777" w:rsidR="00DC2C78" w:rsidRPr="0064357E" w:rsidRDefault="00DC2C78"/>
    <w:p w14:paraId="5EACDA99" w14:textId="77777777" w:rsidR="00DC2C78" w:rsidRPr="0064357E" w:rsidRDefault="00DC2C78"/>
    <w:p w14:paraId="284B136C" w14:textId="77777777" w:rsidR="00DC2C78" w:rsidRPr="0064357E" w:rsidRDefault="00DC2C78"/>
    <w:p w14:paraId="6334E907" w14:textId="77777777" w:rsidR="00DC2C78" w:rsidRPr="0064357E" w:rsidRDefault="00DC2C78"/>
    <w:p w14:paraId="7FDCA6BA" w14:textId="77777777" w:rsidR="00DC2C78" w:rsidRPr="0064357E" w:rsidRDefault="00DC2C78"/>
    <w:p w14:paraId="4EF53112" w14:textId="77777777" w:rsidR="00DC2C78" w:rsidRPr="0064357E" w:rsidRDefault="00DC2C78"/>
    <w:p w14:paraId="2F6850FD" w14:textId="77777777" w:rsidR="00DC2C78" w:rsidRPr="0064357E" w:rsidRDefault="00DC2C78"/>
    <w:p w14:paraId="4FF7BE65" w14:textId="77777777" w:rsidR="00DC2C78" w:rsidRPr="0064357E" w:rsidRDefault="00DC2C78"/>
    <w:p w14:paraId="6E500347" w14:textId="77777777" w:rsidR="00DC2C78" w:rsidRPr="0064357E" w:rsidRDefault="00DC2C78"/>
    <w:p w14:paraId="0E9AABCA" w14:textId="77777777" w:rsidR="00DC2C78" w:rsidRPr="0064357E" w:rsidRDefault="00DC2C78"/>
    <w:p w14:paraId="5EBD148F" w14:textId="77777777" w:rsidR="00DC2C78" w:rsidRPr="0064357E" w:rsidRDefault="00DC2C78"/>
    <w:p w14:paraId="16CAAA49" w14:textId="77777777" w:rsidR="00DC2C78" w:rsidRPr="0064357E" w:rsidRDefault="00DC2C78"/>
    <w:p w14:paraId="5773EB3E" w14:textId="685B355B" w:rsidR="00B550AF" w:rsidRPr="0064357E" w:rsidRDefault="004E1AA5" w:rsidP="00B550AF">
      <w:pPr>
        <w:pStyle w:val="Heading4"/>
      </w:pPr>
      <w:r w:rsidRPr="0064357E">
        <w:t>12</w:t>
      </w:r>
      <w:r w:rsidR="00B550AF" w:rsidRPr="0064357E">
        <w:t>.  Efforts to Clarify Disputed Amounts</w:t>
      </w:r>
    </w:p>
    <w:p w14:paraId="15149EDD" w14:textId="77777777" w:rsidR="00B550AF" w:rsidRPr="0064357E" w:rsidRDefault="00B550AF" w:rsidP="00B550AF">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B550AF" w:rsidRPr="0064357E" w14:paraId="60EB2115" w14:textId="77777777" w:rsidTr="00C70CCA">
        <w:trPr>
          <w:cantSplit/>
        </w:trPr>
        <w:tc>
          <w:tcPr>
            <w:tcW w:w="1728" w:type="dxa"/>
          </w:tcPr>
          <w:p w14:paraId="531F48FE" w14:textId="77777777" w:rsidR="00B550AF" w:rsidRPr="0064357E" w:rsidRDefault="00B550AF" w:rsidP="00C70CCA">
            <w:pPr>
              <w:pStyle w:val="Heading5"/>
            </w:pPr>
            <w:r w:rsidRPr="0064357E">
              <w:t>Introduction</w:t>
            </w:r>
          </w:p>
        </w:tc>
        <w:tc>
          <w:tcPr>
            <w:tcW w:w="7740" w:type="dxa"/>
          </w:tcPr>
          <w:p w14:paraId="724027C4" w14:textId="2E1E2EE1" w:rsidR="00B550AF" w:rsidRPr="0064357E" w:rsidRDefault="00B550AF" w:rsidP="00C70CCA">
            <w:pPr>
              <w:pStyle w:val="BlockText"/>
            </w:pPr>
            <w:r w:rsidRPr="0064357E">
              <w:t>This topic contains information on efforts to clarify disputed amounts, including:</w:t>
            </w:r>
          </w:p>
          <w:p w14:paraId="22426ED5" w14:textId="77777777" w:rsidR="00B550AF" w:rsidRPr="0064357E" w:rsidRDefault="00B550AF" w:rsidP="00C70CCA">
            <w:pPr>
              <w:pStyle w:val="BlockText"/>
            </w:pPr>
          </w:p>
          <w:p w14:paraId="69A2B91E" w14:textId="4B933326" w:rsidR="00B550AF" w:rsidRPr="0064357E" w:rsidRDefault="00B550AF" w:rsidP="004E0D2E">
            <w:pPr>
              <w:pStyle w:val="ListParagraph"/>
              <w:numPr>
                <w:ilvl w:val="0"/>
                <w:numId w:val="81"/>
              </w:numPr>
              <w:ind w:left="158" w:hanging="187"/>
            </w:pPr>
            <w:r w:rsidRPr="0064357E">
              <w:t>clarifying disputed amounts</w:t>
            </w:r>
          </w:p>
          <w:p w14:paraId="22A4A8A4" w14:textId="09E74AC7" w:rsidR="00B550AF" w:rsidRPr="0064357E" w:rsidRDefault="00B550AF" w:rsidP="004E0D2E">
            <w:pPr>
              <w:pStyle w:val="ListParagraph"/>
              <w:numPr>
                <w:ilvl w:val="0"/>
                <w:numId w:val="82"/>
              </w:numPr>
              <w:ind w:left="158" w:hanging="187"/>
            </w:pPr>
            <w:r w:rsidRPr="0064357E">
              <w:t>when the information provided does not agree with</w:t>
            </w:r>
            <w:r w:rsidR="004E0D2E" w:rsidRPr="0064357E">
              <w:t xml:space="preserve"> the</w:t>
            </w:r>
            <w:r w:rsidRPr="0064357E">
              <w:t xml:space="preserve"> IRS</w:t>
            </w:r>
          </w:p>
          <w:p w14:paraId="21E64EE8" w14:textId="1A59CE41" w:rsidR="00B550AF" w:rsidRPr="0064357E" w:rsidRDefault="00B550AF" w:rsidP="004E0D2E">
            <w:pPr>
              <w:pStyle w:val="ListParagraph"/>
              <w:numPr>
                <w:ilvl w:val="0"/>
                <w:numId w:val="83"/>
              </w:numPr>
              <w:ind w:left="158" w:hanging="187"/>
            </w:pPr>
            <w:r w:rsidRPr="0064357E">
              <w:t>when the criteria are not met for referral to the Office of Inspector General (OIG)</w:t>
            </w:r>
          </w:p>
          <w:p w14:paraId="6FC73714" w14:textId="77777777" w:rsidR="00B550AF" w:rsidRPr="0064357E" w:rsidRDefault="00B550AF" w:rsidP="004E0D2E">
            <w:pPr>
              <w:pStyle w:val="ListParagraph"/>
              <w:numPr>
                <w:ilvl w:val="0"/>
                <w:numId w:val="84"/>
              </w:numPr>
              <w:ind w:left="158" w:hanging="187"/>
            </w:pPr>
            <w:r w:rsidRPr="0064357E">
              <w:t>when a potential fraud case meets OIG criteria</w:t>
            </w:r>
          </w:p>
          <w:p w14:paraId="2B4FD313" w14:textId="77777777" w:rsidR="00B550AF" w:rsidRPr="0064357E" w:rsidRDefault="00B550AF" w:rsidP="004E0D2E">
            <w:pPr>
              <w:pStyle w:val="ListParagraph"/>
              <w:numPr>
                <w:ilvl w:val="0"/>
                <w:numId w:val="84"/>
              </w:numPr>
              <w:ind w:left="158" w:hanging="187"/>
            </w:pPr>
            <w:r w:rsidRPr="0064357E">
              <w:t>when evidence proving IRS or Social Security Administration (SSA) data is incorrect</w:t>
            </w:r>
          </w:p>
          <w:p w14:paraId="1CC8F8BB" w14:textId="77777777" w:rsidR="00B550AF" w:rsidRPr="0064357E" w:rsidRDefault="00B550AF" w:rsidP="004E0D2E">
            <w:pPr>
              <w:pStyle w:val="ListParagraph"/>
              <w:numPr>
                <w:ilvl w:val="0"/>
                <w:numId w:val="84"/>
              </w:numPr>
              <w:ind w:left="158" w:hanging="187"/>
            </w:pPr>
            <w:r w:rsidRPr="0064357E">
              <w:t>delay of letter, and</w:t>
            </w:r>
          </w:p>
          <w:p w14:paraId="1B6DDE05" w14:textId="0A47A334" w:rsidR="00B550AF" w:rsidRPr="0064357E" w:rsidRDefault="00B550AF" w:rsidP="004E0D2E">
            <w:pPr>
              <w:pStyle w:val="ListParagraph"/>
              <w:numPr>
                <w:ilvl w:val="0"/>
                <w:numId w:val="84"/>
              </w:numPr>
              <w:ind w:left="158" w:hanging="187"/>
            </w:pPr>
            <w:proofErr w:type="gramStart"/>
            <w:r w:rsidRPr="0064357E">
              <w:t>when</w:t>
            </w:r>
            <w:proofErr w:type="gramEnd"/>
            <w:r w:rsidRPr="0064357E">
              <w:t xml:space="preserve"> the EP is pending.</w:t>
            </w:r>
          </w:p>
        </w:tc>
      </w:tr>
    </w:tbl>
    <w:p w14:paraId="37611678" w14:textId="64FADF45" w:rsidR="00B550AF" w:rsidRPr="0064357E" w:rsidRDefault="00B550AF" w:rsidP="00B550AF">
      <w:pPr>
        <w:pStyle w:val="BlockLine"/>
      </w:pPr>
    </w:p>
    <w:tbl>
      <w:tblPr>
        <w:tblW w:w="0" w:type="auto"/>
        <w:tblLayout w:type="fixed"/>
        <w:tblLook w:val="0000" w:firstRow="0" w:lastRow="0" w:firstColumn="0" w:lastColumn="0" w:noHBand="0" w:noVBand="0"/>
      </w:tblPr>
      <w:tblGrid>
        <w:gridCol w:w="1728"/>
        <w:gridCol w:w="7740"/>
      </w:tblGrid>
      <w:tr w:rsidR="00B550AF" w:rsidRPr="0064357E" w14:paraId="5FA8A04D" w14:textId="77777777" w:rsidTr="00C70CCA">
        <w:trPr>
          <w:cantSplit/>
        </w:trPr>
        <w:tc>
          <w:tcPr>
            <w:tcW w:w="1728" w:type="dxa"/>
          </w:tcPr>
          <w:p w14:paraId="22A7CC64" w14:textId="77777777" w:rsidR="00B550AF" w:rsidRPr="0064357E" w:rsidRDefault="00B550AF" w:rsidP="00C70CCA">
            <w:pPr>
              <w:pStyle w:val="Heading5"/>
            </w:pPr>
            <w:r w:rsidRPr="0064357E">
              <w:t>Change Date</w:t>
            </w:r>
          </w:p>
        </w:tc>
        <w:tc>
          <w:tcPr>
            <w:tcW w:w="7740" w:type="dxa"/>
          </w:tcPr>
          <w:p w14:paraId="1A58E728" w14:textId="5E842034" w:rsidR="00B550AF" w:rsidRPr="0064357E" w:rsidRDefault="0064357E" w:rsidP="0064357E">
            <w:pPr>
              <w:tabs>
                <w:tab w:val="left" w:pos="9360"/>
              </w:tabs>
              <w:ind w:left="-18"/>
            </w:pPr>
            <w:r>
              <w:t>March 30, 2015</w:t>
            </w:r>
          </w:p>
        </w:tc>
      </w:tr>
    </w:tbl>
    <w:p w14:paraId="631AA1B5" w14:textId="0E1AD6ED" w:rsidR="00B550AF" w:rsidRPr="0064357E" w:rsidRDefault="00B550AF" w:rsidP="00B550AF">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B550AF" w:rsidRPr="0064357E" w14:paraId="1AC0537E" w14:textId="77777777" w:rsidTr="00B1398C">
        <w:tc>
          <w:tcPr>
            <w:tcW w:w="1728" w:type="dxa"/>
            <w:shd w:val="clear" w:color="auto" w:fill="auto"/>
          </w:tcPr>
          <w:p w14:paraId="1C5E0369" w14:textId="5F4FCDB5" w:rsidR="00B550AF" w:rsidRPr="0064357E" w:rsidRDefault="00B550AF" w:rsidP="00DC2C78">
            <w:pPr>
              <w:rPr>
                <w:b/>
                <w:sz w:val="22"/>
              </w:rPr>
            </w:pPr>
            <w:r w:rsidRPr="0064357E">
              <w:rPr>
                <w:b/>
                <w:sz w:val="22"/>
              </w:rPr>
              <w:t>a.  Clarifying Disputed Amounts</w:t>
            </w:r>
          </w:p>
        </w:tc>
        <w:tc>
          <w:tcPr>
            <w:tcW w:w="7740" w:type="dxa"/>
            <w:shd w:val="clear" w:color="auto" w:fill="auto"/>
          </w:tcPr>
          <w:p w14:paraId="5DB59920" w14:textId="0DBE22A5" w:rsidR="00B550AF" w:rsidRPr="0064357E" w:rsidRDefault="00B550AF" w:rsidP="00DC2C78">
            <w:r w:rsidRPr="0064357E">
              <w:t>If the amount of money reported in the Income Verification Match (IVM) is disputed, either in whole or in part, during the verification process or during due process and that disputed amount will adversely affect the amount of VA benefits payable, further effort</w:t>
            </w:r>
            <w:r w:rsidR="00D073AD" w:rsidRPr="0064357E">
              <w:t>s</w:t>
            </w:r>
            <w:r w:rsidRPr="0064357E">
              <w:t xml:space="preserve"> should be undertaken to clarify the discrepancy.</w:t>
            </w:r>
          </w:p>
        </w:tc>
      </w:tr>
    </w:tbl>
    <w:p w14:paraId="4D63C8B2" w14:textId="77777777"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B550AF" w:rsidRPr="0064357E" w14:paraId="5C4C2BED" w14:textId="77777777" w:rsidTr="00B1398C">
        <w:tc>
          <w:tcPr>
            <w:tcW w:w="1728" w:type="dxa"/>
            <w:shd w:val="clear" w:color="auto" w:fill="auto"/>
          </w:tcPr>
          <w:p w14:paraId="1F5F0B87" w14:textId="713E0241" w:rsidR="00B550AF" w:rsidRPr="0064357E" w:rsidRDefault="00B550AF" w:rsidP="00DC2C78">
            <w:pPr>
              <w:rPr>
                <w:b/>
                <w:sz w:val="22"/>
              </w:rPr>
            </w:pPr>
            <w:r w:rsidRPr="0064357E">
              <w:rPr>
                <w:b/>
                <w:sz w:val="22"/>
              </w:rPr>
              <w:t>b.  When the Information Provided Does Not Agree With the IRS</w:t>
            </w:r>
          </w:p>
        </w:tc>
        <w:tc>
          <w:tcPr>
            <w:tcW w:w="7740" w:type="dxa"/>
            <w:shd w:val="clear" w:color="auto" w:fill="auto"/>
          </w:tcPr>
          <w:p w14:paraId="1A918784" w14:textId="337E9BF1" w:rsidR="00B550AF" w:rsidRPr="0064357E" w:rsidRDefault="00B550AF" w:rsidP="00B550AF">
            <w:pPr>
              <w:pStyle w:val="BlockText"/>
            </w:pPr>
            <w:r w:rsidRPr="0064357E">
              <w:t>VA may notify the payer, income recipient, or both, that the information provided does not agree with information obtained from the IRS and request clarification with supporting documentation.</w:t>
            </w:r>
          </w:p>
          <w:p w14:paraId="5C08981C" w14:textId="77777777" w:rsidR="00B550AF" w:rsidRPr="0064357E" w:rsidRDefault="00B550AF" w:rsidP="00B550AF">
            <w:pPr>
              <w:pStyle w:val="BlockText"/>
            </w:pPr>
          </w:p>
          <w:p w14:paraId="1C49F517" w14:textId="72A67469" w:rsidR="00B550AF" w:rsidRPr="0064357E" w:rsidRDefault="00B550AF" w:rsidP="00FB559D">
            <w:r w:rsidRPr="0064357E">
              <w:t>Likewise, if the income recipient is the spouse, VA may attempt to verify the information with the VA beneficiary.</w:t>
            </w:r>
            <w:r w:rsidR="00FB559D" w:rsidRPr="0064357E">
              <w:t xml:space="preserve">  This could be done by letting the Veteran know the spouse was sent a letter on a given date and that the Veteran should provide information regarding that income.  </w:t>
            </w:r>
          </w:p>
        </w:tc>
      </w:tr>
    </w:tbl>
    <w:p w14:paraId="08FA25DA" w14:textId="52D82240"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B550AF" w:rsidRPr="0064357E" w14:paraId="242D3014" w14:textId="77777777" w:rsidTr="00BA10C1">
        <w:trPr>
          <w:trHeight w:val="1287"/>
        </w:trPr>
        <w:tc>
          <w:tcPr>
            <w:tcW w:w="1728" w:type="dxa"/>
            <w:shd w:val="clear" w:color="auto" w:fill="auto"/>
          </w:tcPr>
          <w:p w14:paraId="1D056E57" w14:textId="29820A03" w:rsidR="00B550AF" w:rsidRPr="0064357E" w:rsidRDefault="004E5AFC" w:rsidP="00DC2C78">
            <w:pPr>
              <w:rPr>
                <w:b/>
                <w:sz w:val="22"/>
              </w:rPr>
            </w:pPr>
            <w:r w:rsidRPr="0064357E">
              <w:rPr>
                <w:b/>
                <w:sz w:val="22"/>
              </w:rPr>
              <w:t>c</w:t>
            </w:r>
            <w:r w:rsidR="00B550AF" w:rsidRPr="0064357E">
              <w:rPr>
                <w:b/>
                <w:sz w:val="22"/>
              </w:rPr>
              <w:t>.  When the Evidence Proving IRS or SSA Data Is Incorrect</w:t>
            </w:r>
          </w:p>
        </w:tc>
        <w:tc>
          <w:tcPr>
            <w:tcW w:w="7740" w:type="dxa"/>
            <w:shd w:val="clear" w:color="auto" w:fill="auto"/>
          </w:tcPr>
          <w:p w14:paraId="7466BB52" w14:textId="3876806F" w:rsidR="00B550AF" w:rsidRPr="0064357E" w:rsidRDefault="00B550AF" w:rsidP="00DC2C78">
            <w:r w:rsidRPr="0064357E">
              <w:t>If evidence is received proving the IRS or Social Security Administration (SSA) data are incorrect, adjudicate the claim based on the evidence of record.</w:t>
            </w:r>
          </w:p>
        </w:tc>
      </w:tr>
    </w:tbl>
    <w:p w14:paraId="7DF9AE18" w14:textId="77777777" w:rsidR="00F9023D" w:rsidRPr="0064357E" w:rsidRDefault="00F9023D" w:rsidP="00BA10C1">
      <w:pPr>
        <w:pStyle w:val="BlockLine"/>
        <w:pBdr>
          <w:top w:val="single" w:sz="6" w:space="13" w:color="auto"/>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72220" w:rsidRPr="0064357E" w14:paraId="05680C80" w14:textId="77777777" w:rsidTr="00B1398C">
        <w:tc>
          <w:tcPr>
            <w:tcW w:w="1728" w:type="dxa"/>
            <w:shd w:val="clear" w:color="auto" w:fill="auto"/>
          </w:tcPr>
          <w:p w14:paraId="7FF5798E" w14:textId="34137E37" w:rsidR="00372220" w:rsidRPr="0064357E" w:rsidRDefault="004E5AFC" w:rsidP="00DC2C78">
            <w:pPr>
              <w:rPr>
                <w:b/>
                <w:sz w:val="22"/>
              </w:rPr>
            </w:pPr>
            <w:r w:rsidRPr="0064357E">
              <w:rPr>
                <w:b/>
                <w:sz w:val="22"/>
              </w:rPr>
              <w:t>d</w:t>
            </w:r>
            <w:r w:rsidR="00372220" w:rsidRPr="0064357E">
              <w:rPr>
                <w:b/>
                <w:sz w:val="22"/>
              </w:rPr>
              <w:t>.  Delay of Letter</w:t>
            </w:r>
          </w:p>
        </w:tc>
        <w:tc>
          <w:tcPr>
            <w:tcW w:w="7740" w:type="dxa"/>
            <w:shd w:val="clear" w:color="auto" w:fill="auto"/>
          </w:tcPr>
          <w:p w14:paraId="27EB1076" w14:textId="77777777" w:rsidR="00372220" w:rsidRPr="0064357E" w:rsidRDefault="00372220" w:rsidP="00372220">
            <w:pPr>
              <w:pStyle w:val="BlockText"/>
            </w:pPr>
            <w:r w:rsidRPr="0064357E">
              <w:t>When it is necessary to clarify a disputed amount, if possible, the notice of proposed adverse action should not be sent until the issue is resolved.</w:t>
            </w:r>
          </w:p>
          <w:p w14:paraId="7FE3521C" w14:textId="77777777" w:rsidR="00372220" w:rsidRPr="0064357E" w:rsidRDefault="00372220" w:rsidP="00372220">
            <w:pPr>
              <w:pStyle w:val="BlockText"/>
            </w:pPr>
          </w:p>
          <w:p w14:paraId="07453752" w14:textId="4ED1F4CE" w:rsidR="00372220" w:rsidRPr="0064357E" w:rsidRDefault="00372220" w:rsidP="00372220">
            <w:r w:rsidRPr="0064357E">
              <w:t>Multiple notices of proposed adverse action, award actions, and final notification letters may confuse the beneficiary.</w:t>
            </w:r>
          </w:p>
        </w:tc>
      </w:tr>
    </w:tbl>
    <w:p w14:paraId="32CAA8C2" w14:textId="77777777"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72220" w:rsidRPr="0064357E" w14:paraId="7121F80D" w14:textId="77777777" w:rsidTr="006A4A84">
        <w:tc>
          <w:tcPr>
            <w:tcW w:w="1728" w:type="dxa"/>
            <w:shd w:val="clear" w:color="auto" w:fill="auto"/>
          </w:tcPr>
          <w:p w14:paraId="32E7E389" w14:textId="474A6760" w:rsidR="00372220" w:rsidRPr="0064357E" w:rsidRDefault="004E5AFC" w:rsidP="00DC2C78">
            <w:pPr>
              <w:rPr>
                <w:b/>
                <w:sz w:val="22"/>
              </w:rPr>
            </w:pPr>
            <w:r w:rsidRPr="0064357E">
              <w:rPr>
                <w:b/>
                <w:sz w:val="22"/>
              </w:rPr>
              <w:t>e</w:t>
            </w:r>
            <w:r w:rsidR="00372220" w:rsidRPr="0064357E">
              <w:rPr>
                <w:b/>
                <w:sz w:val="22"/>
              </w:rPr>
              <w:t>.  When the EP Is Pending</w:t>
            </w:r>
          </w:p>
        </w:tc>
        <w:tc>
          <w:tcPr>
            <w:tcW w:w="7740" w:type="dxa"/>
            <w:shd w:val="clear" w:color="auto" w:fill="auto"/>
          </w:tcPr>
          <w:p w14:paraId="334D53B9" w14:textId="7AFC0E10" w:rsidR="00372220" w:rsidRPr="0064357E" w:rsidRDefault="00372220" w:rsidP="00372220">
            <w:pPr>
              <w:pStyle w:val="BlockText"/>
            </w:pPr>
            <w:r w:rsidRPr="0064357E">
              <w:t>Although the EP must be left pending until the issue is finalized, it should not adversely affect timeliness.</w:t>
            </w:r>
          </w:p>
          <w:p w14:paraId="3891BADF" w14:textId="77777777" w:rsidR="00372220" w:rsidRPr="0064357E" w:rsidRDefault="00372220" w:rsidP="00372220">
            <w:pPr>
              <w:pStyle w:val="BlockText"/>
            </w:pPr>
          </w:p>
          <w:p w14:paraId="49BACE9C" w14:textId="77777777" w:rsidR="00372220" w:rsidRPr="0064357E" w:rsidRDefault="00372220" w:rsidP="00372220">
            <w:pPr>
              <w:pStyle w:val="BlockText"/>
            </w:pPr>
            <w:r w:rsidRPr="0064357E">
              <w:t>If it appears that there will be a long delay while resolving the discrepancy, and the evidence indicates that current benefits are also being overpaid</w:t>
            </w:r>
          </w:p>
          <w:p w14:paraId="1E950918" w14:textId="77777777" w:rsidR="00372220" w:rsidRPr="0064357E" w:rsidRDefault="00372220" w:rsidP="00DC2C78"/>
          <w:p w14:paraId="14CEC032" w14:textId="77777777" w:rsidR="00372220" w:rsidRPr="0064357E" w:rsidRDefault="00372220" w:rsidP="00BA10C1">
            <w:pPr>
              <w:pStyle w:val="ListParagraph"/>
              <w:numPr>
                <w:ilvl w:val="0"/>
                <w:numId w:val="116"/>
              </w:numPr>
              <w:ind w:left="158" w:hanging="187"/>
            </w:pPr>
            <w:r w:rsidRPr="0064357E">
              <w:t>send a notice of proposed adverse action, and</w:t>
            </w:r>
          </w:p>
          <w:p w14:paraId="0510D0AC" w14:textId="2BA20912" w:rsidR="00372220" w:rsidRPr="0064357E" w:rsidRDefault="00372220" w:rsidP="00BA10C1">
            <w:pPr>
              <w:pStyle w:val="ListParagraph"/>
              <w:numPr>
                <w:ilvl w:val="0"/>
                <w:numId w:val="116"/>
              </w:numPr>
              <w:ind w:left="158" w:hanging="187"/>
            </w:pPr>
            <w:r w:rsidRPr="0064357E">
              <w:t>take interim award action on a verified amount pending resolution of any disputed amount.</w:t>
            </w:r>
          </w:p>
        </w:tc>
      </w:tr>
    </w:tbl>
    <w:p w14:paraId="0B2C8CBC" w14:textId="745ACECE" w:rsidR="00BF01A1" w:rsidRPr="0064357E" w:rsidRDefault="00F9023D" w:rsidP="00BF01A1">
      <w:pPr>
        <w:pStyle w:val="BlockLine"/>
      </w:pPr>
      <w:r w:rsidRPr="0064357E">
        <w:t xml:space="preserve"> </w:t>
      </w:r>
      <w:r w:rsidR="00BF01A1" w:rsidRPr="0064357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4E5AFC" w:rsidRPr="0064357E" w14:paraId="132557A7" w14:textId="77777777" w:rsidTr="004E5AFC">
        <w:tc>
          <w:tcPr>
            <w:tcW w:w="1728" w:type="dxa"/>
            <w:shd w:val="clear" w:color="auto" w:fill="auto"/>
          </w:tcPr>
          <w:p w14:paraId="2A011AB4" w14:textId="0C6C9AD4" w:rsidR="004E5AFC" w:rsidRPr="0064357E" w:rsidRDefault="004E5AFC" w:rsidP="00DC2C78">
            <w:pPr>
              <w:rPr>
                <w:b/>
                <w:sz w:val="22"/>
              </w:rPr>
            </w:pPr>
            <w:r w:rsidRPr="0064357E">
              <w:rPr>
                <w:b/>
                <w:sz w:val="22"/>
              </w:rPr>
              <w:t>f.  When the Criteria Are Not Met for Referral to OIG</w:t>
            </w:r>
          </w:p>
        </w:tc>
        <w:tc>
          <w:tcPr>
            <w:tcW w:w="7740" w:type="dxa"/>
            <w:shd w:val="clear" w:color="auto" w:fill="auto"/>
          </w:tcPr>
          <w:p w14:paraId="45D63C2F" w14:textId="77777777" w:rsidR="004E5AFC" w:rsidRPr="0064357E" w:rsidRDefault="004E5AFC" w:rsidP="004E5AFC">
            <w:pPr>
              <w:pStyle w:val="BlockText"/>
            </w:pPr>
            <w:r w:rsidRPr="0064357E">
              <w:t>If the case does not meet the criteria for referral to the Office of Inspector General (OIG), the Veterans Service Representative (VSR) may request that a Field Examiner contact the income recipient and obtain copies of needed income tax returns, supporting documents and any other evidence that might be needed.</w:t>
            </w:r>
          </w:p>
          <w:p w14:paraId="46CFB748" w14:textId="77777777" w:rsidR="004E5AFC" w:rsidRPr="0064357E" w:rsidRDefault="004E5AFC" w:rsidP="004E5AFC"/>
          <w:p w14:paraId="29B727B0" w14:textId="77777777" w:rsidR="004E5AFC" w:rsidRPr="0064357E" w:rsidRDefault="004E5AFC" w:rsidP="004E5AFC">
            <w:r w:rsidRPr="0064357E">
              <w:rPr>
                <w:b/>
                <w:i/>
              </w:rPr>
              <w:t xml:space="preserve">Reference:  </w:t>
            </w:r>
            <w:r w:rsidRPr="0064357E">
              <w:t>For more information on fraud and forfeiture discontinuance provisions, see</w:t>
            </w:r>
          </w:p>
          <w:p w14:paraId="727A5F4E" w14:textId="3A2AB8A4" w:rsidR="004E5AFC" w:rsidRPr="0064357E" w:rsidRDefault="0064357E" w:rsidP="00BA10C1">
            <w:pPr>
              <w:pStyle w:val="ListParagraph"/>
              <w:numPr>
                <w:ilvl w:val="0"/>
                <w:numId w:val="115"/>
              </w:numPr>
              <w:ind w:left="158" w:hanging="187"/>
            </w:pPr>
            <w:hyperlink r:id="rId13" w:history="1">
              <w:r w:rsidR="00D23F5D" w:rsidRPr="0064357E">
                <w:rPr>
                  <w:rStyle w:val="Hyperlink"/>
                  <w:sz w:val="24"/>
                </w:rPr>
                <w:t>M21-1, Part III, Subpart vi, 5.A</w:t>
              </w:r>
            </w:hyperlink>
            <w:r w:rsidR="004E5AFC" w:rsidRPr="0064357E">
              <w:t>, and</w:t>
            </w:r>
          </w:p>
          <w:p w14:paraId="076A46A8" w14:textId="538BE420" w:rsidR="004E5AFC" w:rsidRPr="0064357E" w:rsidRDefault="0064357E" w:rsidP="00BA10C1">
            <w:pPr>
              <w:pStyle w:val="ListParagraph"/>
              <w:numPr>
                <w:ilvl w:val="0"/>
                <w:numId w:val="122"/>
              </w:numPr>
              <w:ind w:left="158" w:hanging="187"/>
            </w:pPr>
            <w:hyperlink r:id="rId14" w:history="1">
              <w:r w:rsidR="00D23F5D" w:rsidRPr="0064357E">
                <w:rPr>
                  <w:rStyle w:val="Hyperlink"/>
                  <w:sz w:val="24"/>
                </w:rPr>
                <w:t xml:space="preserve">M21-1, Part III, Subpart </w:t>
              </w:r>
              <w:proofErr w:type="gramStart"/>
              <w:r w:rsidR="00D23F5D" w:rsidRPr="0064357E">
                <w:rPr>
                  <w:rStyle w:val="Hyperlink"/>
                  <w:sz w:val="24"/>
                </w:rPr>
                <w:t>vi</w:t>
              </w:r>
              <w:proofErr w:type="gramEnd"/>
              <w:r w:rsidR="00D23F5D" w:rsidRPr="0064357E">
                <w:rPr>
                  <w:rStyle w:val="Hyperlink"/>
                  <w:sz w:val="24"/>
                </w:rPr>
                <w:t>, 5.B</w:t>
              </w:r>
            </w:hyperlink>
            <w:r w:rsidR="004E5AFC" w:rsidRPr="0064357E">
              <w:t>.</w:t>
            </w:r>
          </w:p>
        </w:tc>
      </w:tr>
    </w:tbl>
    <w:p w14:paraId="5D200DC7" w14:textId="77777777"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4E5AFC" w:rsidRPr="0064357E" w14:paraId="07A3C5D8" w14:textId="77777777" w:rsidTr="004E5AFC">
        <w:tc>
          <w:tcPr>
            <w:tcW w:w="1728" w:type="dxa"/>
            <w:shd w:val="clear" w:color="auto" w:fill="auto"/>
          </w:tcPr>
          <w:p w14:paraId="29B529B7" w14:textId="70DFD5A9" w:rsidR="004E5AFC" w:rsidRPr="0064357E" w:rsidRDefault="004E5AFC" w:rsidP="00DC2C78">
            <w:pPr>
              <w:rPr>
                <w:b/>
                <w:sz w:val="22"/>
              </w:rPr>
            </w:pPr>
            <w:r w:rsidRPr="0064357E">
              <w:rPr>
                <w:b/>
                <w:sz w:val="22"/>
              </w:rPr>
              <w:t>g.  When a Potential Fraud Case Meets OIG Criteria</w:t>
            </w:r>
          </w:p>
        </w:tc>
        <w:tc>
          <w:tcPr>
            <w:tcW w:w="7740" w:type="dxa"/>
            <w:shd w:val="clear" w:color="auto" w:fill="auto"/>
          </w:tcPr>
          <w:p w14:paraId="08E3185C" w14:textId="77777777" w:rsidR="004E5AFC" w:rsidRPr="0064357E" w:rsidRDefault="004E5AFC" w:rsidP="004E5AFC">
            <w:pPr>
              <w:pStyle w:val="BlockText"/>
            </w:pPr>
            <w:r w:rsidRPr="0064357E">
              <w:t>If the case is a potential fraud case and meets the criteria for referral to the OIG, a field examination could compromise the case as far as the U.S. Attorney or the OIG is concerned.  The Veterans Services Center Manager (VSCM) shall contact the local OIG to see if they would be willing to conduct any needed investigation.</w:t>
            </w:r>
          </w:p>
          <w:p w14:paraId="0B2A495B" w14:textId="77777777" w:rsidR="004E5AFC" w:rsidRPr="0064357E" w:rsidRDefault="004E5AFC" w:rsidP="004E5AFC">
            <w:pPr>
              <w:pStyle w:val="BlockText"/>
            </w:pPr>
          </w:p>
          <w:p w14:paraId="260E24BA" w14:textId="0F3D1349" w:rsidR="004E5AFC" w:rsidRPr="0064357E" w:rsidRDefault="004E5AFC" w:rsidP="00F11B6B">
            <w:r w:rsidRPr="0064357E">
              <w:t>If the OIG chooses not to conduct an investigation, the RO may request a field examination.</w:t>
            </w:r>
          </w:p>
        </w:tc>
      </w:tr>
    </w:tbl>
    <w:p w14:paraId="6C30315C" w14:textId="77777777" w:rsidR="004E5AFC" w:rsidRPr="0064357E" w:rsidRDefault="004E5AFC" w:rsidP="00DC2C78"/>
    <w:p w14:paraId="57AF9B6C" w14:textId="77777777" w:rsidR="00DC2C78" w:rsidRPr="0064357E" w:rsidRDefault="00DC2C78" w:rsidP="00DC2C78"/>
    <w:p w14:paraId="329FA6EF" w14:textId="77777777" w:rsidR="00FF6D0E" w:rsidRPr="0064357E" w:rsidRDefault="00FF6D0E" w:rsidP="006A16B9"/>
    <w:p w14:paraId="329FA6F0" w14:textId="77777777" w:rsidR="00FF6D0E" w:rsidRPr="0064357E" w:rsidRDefault="00FF6D0E" w:rsidP="006A16B9"/>
    <w:p w14:paraId="329FA6F1" w14:textId="77777777" w:rsidR="00FF6D0E" w:rsidRPr="0064357E" w:rsidRDefault="00FF6D0E" w:rsidP="006A16B9"/>
    <w:p w14:paraId="329FA6F2" w14:textId="77777777" w:rsidR="00FF6D0E" w:rsidRPr="0064357E" w:rsidRDefault="00FF6D0E" w:rsidP="006A16B9"/>
    <w:p w14:paraId="329FA6F3" w14:textId="77777777" w:rsidR="00FF6D0E" w:rsidRPr="0064357E" w:rsidRDefault="00FF6D0E" w:rsidP="006A16B9"/>
    <w:p w14:paraId="251B1790" w14:textId="77777777" w:rsidR="0064357E" w:rsidRDefault="0064357E" w:rsidP="00B96E5E">
      <w:pPr>
        <w:pStyle w:val="Heading4"/>
      </w:pPr>
    </w:p>
    <w:p w14:paraId="329FA7AD" w14:textId="3EAF856A" w:rsidR="00FF6D0E" w:rsidRPr="0064357E" w:rsidRDefault="004E1AA5" w:rsidP="00B96E5E">
      <w:pPr>
        <w:pStyle w:val="Heading4"/>
      </w:pPr>
      <w:r w:rsidRPr="0064357E">
        <w:t>13</w:t>
      </w:r>
      <w:r w:rsidR="00FF6D0E" w:rsidRPr="0064357E">
        <w:t>.  Due Process</w:t>
      </w:r>
    </w:p>
    <w:p w14:paraId="329FA7AE" w14:textId="77777777" w:rsidR="00FF6D0E" w:rsidRPr="0064357E" w:rsidRDefault="00FF6D0E" w:rsidP="00FF6D0E">
      <w:pPr>
        <w:pStyle w:val="BlockLine"/>
      </w:pPr>
      <w:r w:rsidRPr="0064357E">
        <w:fldChar w:fldCharType="begin"/>
      </w:r>
      <w:r w:rsidRPr="0064357E">
        <w:instrText xml:space="preserve"> PRIVATE INFOTYPE="OTHER" </w:instrText>
      </w:r>
      <w:r w:rsidRPr="0064357E">
        <w:fldChar w:fldCharType="end"/>
      </w:r>
    </w:p>
    <w:tbl>
      <w:tblPr>
        <w:tblW w:w="0" w:type="auto"/>
        <w:tblLayout w:type="fixed"/>
        <w:tblLook w:val="0000" w:firstRow="0" w:lastRow="0" w:firstColumn="0" w:lastColumn="0" w:noHBand="0" w:noVBand="0"/>
      </w:tblPr>
      <w:tblGrid>
        <w:gridCol w:w="1728"/>
        <w:gridCol w:w="7740"/>
      </w:tblGrid>
      <w:tr w:rsidR="00FF6D0E" w:rsidRPr="0064357E" w14:paraId="329FA7B6" w14:textId="77777777" w:rsidTr="00827000">
        <w:trPr>
          <w:cantSplit/>
        </w:trPr>
        <w:tc>
          <w:tcPr>
            <w:tcW w:w="1728" w:type="dxa"/>
          </w:tcPr>
          <w:p w14:paraId="329FA7AF" w14:textId="77777777" w:rsidR="00FF6D0E" w:rsidRPr="0064357E" w:rsidRDefault="00FF6D0E" w:rsidP="00827000">
            <w:pPr>
              <w:pStyle w:val="Heading5"/>
            </w:pPr>
            <w:r w:rsidRPr="0064357E">
              <w:t>Introduction</w:t>
            </w:r>
          </w:p>
        </w:tc>
        <w:tc>
          <w:tcPr>
            <w:tcW w:w="7740" w:type="dxa"/>
          </w:tcPr>
          <w:p w14:paraId="329FA7B0" w14:textId="77777777" w:rsidR="00FF6D0E" w:rsidRPr="0064357E" w:rsidRDefault="00FF6D0E" w:rsidP="00827000">
            <w:pPr>
              <w:pStyle w:val="BlockText"/>
            </w:pPr>
            <w:r w:rsidRPr="0064357E">
              <w:t>This topic contains information on due process, including</w:t>
            </w:r>
          </w:p>
          <w:p w14:paraId="329FA7B1" w14:textId="77777777" w:rsidR="00FF6D0E" w:rsidRPr="0064357E" w:rsidRDefault="00FF6D0E" w:rsidP="00827000">
            <w:pPr>
              <w:pStyle w:val="BlockText"/>
            </w:pPr>
          </w:p>
          <w:p w14:paraId="329FA7B2" w14:textId="77777777" w:rsidR="00FF6D0E" w:rsidRPr="0064357E" w:rsidRDefault="00FF6D0E" w:rsidP="00B96E5E">
            <w:pPr>
              <w:pStyle w:val="ListParagraph"/>
              <w:numPr>
                <w:ilvl w:val="0"/>
                <w:numId w:val="96"/>
              </w:numPr>
              <w:ind w:left="158" w:hanging="187"/>
            </w:pPr>
            <w:r w:rsidRPr="0064357E">
              <w:t>due process requirements</w:t>
            </w:r>
          </w:p>
          <w:p w14:paraId="329FA7B3" w14:textId="77777777" w:rsidR="00FF6D0E" w:rsidRPr="0064357E" w:rsidRDefault="00FF6D0E" w:rsidP="00B96E5E">
            <w:pPr>
              <w:pStyle w:val="ListParagraph"/>
              <w:numPr>
                <w:ilvl w:val="0"/>
                <w:numId w:val="97"/>
              </w:numPr>
              <w:ind w:left="158" w:hanging="187"/>
            </w:pPr>
            <w:r w:rsidRPr="0064357E">
              <w:t>separate income verification</w:t>
            </w:r>
          </w:p>
          <w:p w14:paraId="329FA7B4" w14:textId="77777777" w:rsidR="00FF6D0E" w:rsidRPr="0064357E" w:rsidRDefault="00FF6D0E" w:rsidP="00B96E5E">
            <w:pPr>
              <w:pStyle w:val="ListParagraph"/>
              <w:numPr>
                <w:ilvl w:val="0"/>
                <w:numId w:val="98"/>
              </w:numPr>
              <w:ind w:left="158" w:hanging="187"/>
            </w:pPr>
            <w:r w:rsidRPr="0064357E">
              <w:t>when pension benefits began during the year of match, and</w:t>
            </w:r>
          </w:p>
          <w:p w14:paraId="329FA7B5" w14:textId="77777777" w:rsidR="00FF6D0E" w:rsidRPr="0064357E" w:rsidRDefault="00FF6D0E" w:rsidP="00B96E5E">
            <w:pPr>
              <w:pStyle w:val="ListParagraph"/>
              <w:numPr>
                <w:ilvl w:val="0"/>
                <w:numId w:val="99"/>
              </w:numPr>
              <w:ind w:left="158" w:hanging="187"/>
            </w:pPr>
            <w:r w:rsidRPr="0064357E">
              <w:t>an example of due process.</w:t>
            </w:r>
          </w:p>
        </w:tc>
      </w:tr>
    </w:tbl>
    <w:p w14:paraId="329FA7B7" w14:textId="77777777" w:rsidR="00FF6D0E" w:rsidRPr="0064357E" w:rsidRDefault="00FF6D0E" w:rsidP="00FF6D0E">
      <w:pPr>
        <w:pStyle w:val="BlockLine"/>
      </w:pPr>
    </w:p>
    <w:tbl>
      <w:tblPr>
        <w:tblW w:w="0" w:type="auto"/>
        <w:tblLayout w:type="fixed"/>
        <w:tblLook w:val="0000" w:firstRow="0" w:lastRow="0" w:firstColumn="0" w:lastColumn="0" w:noHBand="0" w:noVBand="0"/>
      </w:tblPr>
      <w:tblGrid>
        <w:gridCol w:w="1728"/>
        <w:gridCol w:w="7740"/>
      </w:tblGrid>
      <w:tr w:rsidR="00FF6D0E" w:rsidRPr="0064357E" w14:paraId="329FA7BA" w14:textId="77777777" w:rsidTr="00827000">
        <w:trPr>
          <w:cantSplit/>
        </w:trPr>
        <w:tc>
          <w:tcPr>
            <w:tcW w:w="1728" w:type="dxa"/>
          </w:tcPr>
          <w:p w14:paraId="329FA7B8" w14:textId="77777777" w:rsidR="00FF6D0E" w:rsidRPr="0064357E" w:rsidRDefault="00FF6D0E" w:rsidP="00827000">
            <w:pPr>
              <w:pStyle w:val="Heading5"/>
            </w:pPr>
            <w:r w:rsidRPr="0064357E">
              <w:t>Change Date</w:t>
            </w:r>
          </w:p>
        </w:tc>
        <w:tc>
          <w:tcPr>
            <w:tcW w:w="7740" w:type="dxa"/>
          </w:tcPr>
          <w:p w14:paraId="329FA7B9" w14:textId="5A5A3AAE" w:rsidR="00FF6D0E" w:rsidRPr="0064357E" w:rsidRDefault="0064357E" w:rsidP="0064357E">
            <w:pPr>
              <w:tabs>
                <w:tab w:val="left" w:pos="9360"/>
              </w:tabs>
              <w:ind w:left="-18"/>
            </w:pPr>
            <w:r>
              <w:t>March 30, 2015</w:t>
            </w:r>
          </w:p>
        </w:tc>
      </w:tr>
    </w:tbl>
    <w:p w14:paraId="10027E42" w14:textId="77777777" w:rsidR="00372220" w:rsidRPr="0064357E" w:rsidRDefault="00372220" w:rsidP="00372220">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72220" w:rsidRPr="0064357E" w14:paraId="2B234FDB" w14:textId="77777777" w:rsidTr="006A4A84">
        <w:tc>
          <w:tcPr>
            <w:tcW w:w="1728" w:type="dxa"/>
            <w:shd w:val="clear" w:color="auto" w:fill="auto"/>
          </w:tcPr>
          <w:p w14:paraId="6BA32338" w14:textId="04BB4DEB" w:rsidR="00372220" w:rsidRPr="0064357E" w:rsidRDefault="00372220" w:rsidP="006A16B9">
            <w:pPr>
              <w:rPr>
                <w:b/>
                <w:sz w:val="22"/>
              </w:rPr>
            </w:pPr>
            <w:r w:rsidRPr="0064357E">
              <w:rPr>
                <w:b/>
                <w:sz w:val="22"/>
              </w:rPr>
              <w:t>a.  Due Process Requirements</w:t>
            </w:r>
          </w:p>
        </w:tc>
        <w:tc>
          <w:tcPr>
            <w:tcW w:w="7740" w:type="dxa"/>
            <w:shd w:val="clear" w:color="auto" w:fill="auto"/>
          </w:tcPr>
          <w:p w14:paraId="0939F904" w14:textId="77777777" w:rsidR="00372220" w:rsidRPr="0064357E" w:rsidRDefault="00372220" w:rsidP="00372220">
            <w:pPr>
              <w:pStyle w:val="BlockText"/>
            </w:pPr>
            <w:r w:rsidRPr="0064357E">
              <w:t xml:space="preserve">After the income is verified, due process procedures require VA to give the beneficiary a 60-day opportunity period to submit evidence to show why a reduction or termination should not be made.  </w:t>
            </w:r>
          </w:p>
          <w:p w14:paraId="1012D6FD" w14:textId="77777777" w:rsidR="00372220" w:rsidRPr="0064357E" w:rsidRDefault="00372220" w:rsidP="006A16B9"/>
          <w:p w14:paraId="6C8AFD46" w14:textId="2EB0156F" w:rsidR="00372220" w:rsidRPr="0064357E" w:rsidRDefault="00372220" w:rsidP="006A16B9">
            <w:r w:rsidRPr="0064357E">
              <w:rPr>
                <w:b/>
                <w:i/>
              </w:rPr>
              <w:t xml:space="preserve">Reference:  </w:t>
            </w:r>
            <w:r w:rsidRPr="0064357E">
              <w:t xml:space="preserve">For more information on due process, see </w:t>
            </w:r>
            <w:hyperlink r:id="rId15" w:history="1">
              <w:r w:rsidR="00D23F5D" w:rsidRPr="0064357E">
                <w:rPr>
                  <w:rStyle w:val="Hyperlink"/>
                  <w:sz w:val="24"/>
                </w:rPr>
                <w:t>M21-1, Part I.2.A</w:t>
              </w:r>
            </w:hyperlink>
            <w:r w:rsidRPr="0064357E">
              <w:t>.</w:t>
            </w:r>
          </w:p>
        </w:tc>
      </w:tr>
    </w:tbl>
    <w:p w14:paraId="1D7975FD" w14:textId="77777777"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72220" w:rsidRPr="0064357E" w14:paraId="41B35D22" w14:textId="77777777" w:rsidTr="006A4A84">
        <w:tc>
          <w:tcPr>
            <w:tcW w:w="1728" w:type="dxa"/>
            <w:shd w:val="clear" w:color="auto" w:fill="auto"/>
          </w:tcPr>
          <w:p w14:paraId="16B9E0FF" w14:textId="7E5B5FF8" w:rsidR="00372220" w:rsidRPr="0064357E" w:rsidRDefault="00372220" w:rsidP="006A16B9">
            <w:pPr>
              <w:rPr>
                <w:b/>
                <w:sz w:val="22"/>
              </w:rPr>
            </w:pPr>
            <w:r w:rsidRPr="0064357E">
              <w:rPr>
                <w:b/>
                <w:sz w:val="22"/>
              </w:rPr>
              <w:t>b.  Separate Income Verification</w:t>
            </w:r>
          </w:p>
        </w:tc>
        <w:tc>
          <w:tcPr>
            <w:tcW w:w="7740" w:type="dxa"/>
            <w:shd w:val="clear" w:color="auto" w:fill="auto"/>
          </w:tcPr>
          <w:p w14:paraId="27527EB0" w14:textId="77777777" w:rsidR="00372220" w:rsidRPr="0064357E" w:rsidRDefault="00372220" w:rsidP="00372220">
            <w:pPr>
              <w:pStyle w:val="BlockText"/>
            </w:pPr>
            <w:r w:rsidRPr="0064357E">
              <w:t>Separate income verification by the income recipient, who is also the VA beneficiary, does not eliminate the need for due process.  VA’s agreement with the IRS and SSA states that VA shall provide a notice of proposed adverse action in all cases, no matter who provides the separate verification.</w:t>
            </w:r>
          </w:p>
          <w:p w14:paraId="22D2E747" w14:textId="77777777" w:rsidR="00372220" w:rsidRPr="0064357E" w:rsidRDefault="00372220" w:rsidP="00372220">
            <w:pPr>
              <w:pStyle w:val="BlockText"/>
            </w:pPr>
          </w:p>
          <w:p w14:paraId="73F96562" w14:textId="0FFF5142" w:rsidR="00372220" w:rsidRPr="0064357E" w:rsidRDefault="00372220" w:rsidP="00372220">
            <w:r w:rsidRPr="0064357E">
              <w:t>This is an exception to the normal rule that a notice of proposed adverse action is not required if the adjustment is based on self-reported information.</w:t>
            </w:r>
          </w:p>
        </w:tc>
      </w:tr>
    </w:tbl>
    <w:p w14:paraId="3BE70FF2" w14:textId="77777777" w:rsidR="00F9023D" w:rsidRPr="0064357E" w:rsidRDefault="00F9023D" w:rsidP="00F9023D">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72220" w:rsidRPr="0064357E" w14:paraId="79BDFD71" w14:textId="77777777" w:rsidTr="006A4A84">
        <w:tc>
          <w:tcPr>
            <w:tcW w:w="1728" w:type="dxa"/>
            <w:shd w:val="clear" w:color="auto" w:fill="auto"/>
          </w:tcPr>
          <w:p w14:paraId="7671A6AC" w14:textId="08B0C97F" w:rsidR="00372220" w:rsidRPr="0064357E" w:rsidRDefault="00372220" w:rsidP="006A16B9">
            <w:pPr>
              <w:rPr>
                <w:b/>
                <w:sz w:val="22"/>
              </w:rPr>
            </w:pPr>
            <w:r w:rsidRPr="0064357E">
              <w:rPr>
                <w:b/>
                <w:sz w:val="22"/>
              </w:rPr>
              <w:t>c.  When Pension Benefits Began During Year of Match</w:t>
            </w:r>
          </w:p>
        </w:tc>
        <w:tc>
          <w:tcPr>
            <w:tcW w:w="7740" w:type="dxa"/>
            <w:shd w:val="clear" w:color="auto" w:fill="auto"/>
          </w:tcPr>
          <w:p w14:paraId="0CD9C3A7" w14:textId="77777777" w:rsidR="00372220" w:rsidRPr="0064357E" w:rsidRDefault="00372220" w:rsidP="00372220">
            <w:pPr>
              <w:pStyle w:val="BlockText"/>
            </w:pPr>
            <w:r w:rsidRPr="0064357E">
              <w:t>In cases where pension benefits began during the year of the match, the notice of proposed adverse action must inform the beneficiary that, in the absence of information to the contrary, the income will be annualized over the entire year.</w:t>
            </w:r>
          </w:p>
          <w:p w14:paraId="1933A109" w14:textId="77777777" w:rsidR="00372220" w:rsidRPr="0064357E" w:rsidRDefault="00372220" w:rsidP="00372220">
            <w:pPr>
              <w:pStyle w:val="BlockText"/>
            </w:pPr>
          </w:p>
          <w:p w14:paraId="6CB585B0" w14:textId="77777777" w:rsidR="00372220" w:rsidRPr="0064357E" w:rsidRDefault="00372220" w:rsidP="00372220">
            <w:pPr>
              <w:pStyle w:val="BlockText"/>
            </w:pPr>
            <w:r w:rsidRPr="0064357E">
              <w:t xml:space="preserve">The letter also will inform the beneficiary that if the income terminated prior to the effective date of the award, or the amount varied from month to month, the beneficiary should provide evidence to explain the </w:t>
            </w:r>
          </w:p>
          <w:p w14:paraId="0AD6A112" w14:textId="77777777" w:rsidR="00372220" w:rsidRPr="0064357E" w:rsidRDefault="00372220" w:rsidP="006A16B9"/>
          <w:p w14:paraId="57C3248C" w14:textId="77777777" w:rsidR="00372220" w:rsidRPr="0064357E" w:rsidRDefault="00372220" w:rsidP="00B96E5E">
            <w:pPr>
              <w:pStyle w:val="ListParagraph"/>
              <w:numPr>
                <w:ilvl w:val="0"/>
                <w:numId w:val="117"/>
              </w:numPr>
              <w:ind w:left="158" w:hanging="187"/>
            </w:pPr>
            <w:r w:rsidRPr="0064357E">
              <w:t>income termination date, or</w:t>
            </w:r>
          </w:p>
          <w:p w14:paraId="01141032" w14:textId="40937EB1" w:rsidR="00372220" w:rsidRPr="0064357E" w:rsidRDefault="00372220" w:rsidP="00B96E5E">
            <w:pPr>
              <w:pStyle w:val="ListParagraph"/>
              <w:numPr>
                <w:ilvl w:val="0"/>
                <w:numId w:val="117"/>
              </w:numPr>
              <w:ind w:left="158" w:hanging="187"/>
            </w:pPr>
            <w:r w:rsidRPr="0064357E">
              <w:t>monthly income variation.</w:t>
            </w:r>
          </w:p>
        </w:tc>
      </w:tr>
    </w:tbl>
    <w:p w14:paraId="5C39E81D" w14:textId="77777777" w:rsidR="00F9023D" w:rsidRPr="0064357E" w:rsidRDefault="00F9023D" w:rsidP="00F9023D">
      <w:pPr>
        <w:pStyle w:val="BlockLine"/>
      </w:pPr>
    </w:p>
    <w:p w14:paraId="7D3A4332" w14:textId="77777777" w:rsidR="00D45EDE" w:rsidRPr="0064357E" w:rsidRDefault="00D45EDE">
      <w:r w:rsidRPr="0064357E">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372220" w:rsidRPr="0064357E" w14:paraId="091B5610" w14:textId="77777777" w:rsidTr="006A4A84">
        <w:tc>
          <w:tcPr>
            <w:tcW w:w="1728" w:type="dxa"/>
            <w:shd w:val="clear" w:color="auto" w:fill="auto"/>
          </w:tcPr>
          <w:p w14:paraId="576B3BC2" w14:textId="117CD669" w:rsidR="00372220" w:rsidRPr="0064357E" w:rsidRDefault="00372220" w:rsidP="006A16B9">
            <w:pPr>
              <w:rPr>
                <w:b/>
                <w:sz w:val="22"/>
              </w:rPr>
            </w:pPr>
            <w:r w:rsidRPr="0064357E">
              <w:rPr>
                <w:b/>
                <w:sz w:val="22"/>
              </w:rPr>
              <w:t>d.  Example: Due Process</w:t>
            </w:r>
          </w:p>
        </w:tc>
        <w:tc>
          <w:tcPr>
            <w:tcW w:w="7740" w:type="dxa"/>
            <w:shd w:val="clear" w:color="auto" w:fill="auto"/>
          </w:tcPr>
          <w:p w14:paraId="0C9213FB" w14:textId="572F9123" w:rsidR="00372220" w:rsidRPr="0064357E" w:rsidRDefault="002748E7" w:rsidP="006A16B9">
            <w:pPr>
              <w:rPr>
                <w:b/>
                <w:i/>
              </w:rPr>
            </w:pPr>
            <w:r w:rsidRPr="0064357E">
              <w:rPr>
                <w:b/>
                <w:i/>
              </w:rPr>
              <w:t>Situation:</w:t>
            </w:r>
          </w:p>
          <w:p w14:paraId="63FE0B6A" w14:textId="5EFA076D" w:rsidR="002748E7" w:rsidRPr="0064357E" w:rsidRDefault="002748E7" w:rsidP="00B96E5E">
            <w:pPr>
              <w:pStyle w:val="ListParagraph"/>
              <w:numPr>
                <w:ilvl w:val="0"/>
                <w:numId w:val="118"/>
              </w:numPr>
              <w:ind w:left="158" w:hanging="187"/>
            </w:pPr>
            <w:r w:rsidRPr="0064357E">
              <w:t xml:space="preserve">September 1, 2007:  Veteran is awarded </w:t>
            </w:r>
            <w:r w:rsidR="00C62824" w:rsidRPr="0064357E">
              <w:t>Veterans Pension</w:t>
            </w:r>
            <w:r w:rsidRPr="0064357E">
              <w:t xml:space="preserve"> benefits and shows no interest income.</w:t>
            </w:r>
          </w:p>
          <w:p w14:paraId="7E86914F" w14:textId="0027CAA3" w:rsidR="002748E7" w:rsidRPr="0064357E" w:rsidRDefault="002748E7" w:rsidP="00B96E5E">
            <w:pPr>
              <w:pStyle w:val="ListParagraph"/>
              <w:numPr>
                <w:ilvl w:val="0"/>
                <w:numId w:val="118"/>
              </w:numPr>
              <w:ind w:left="158" w:hanging="187"/>
            </w:pPr>
            <w:r w:rsidRPr="0064357E">
              <w:t>The</w:t>
            </w:r>
            <w:r w:rsidR="00B96E5E" w:rsidRPr="0064357E">
              <w:t xml:space="preserve"> 2009</w:t>
            </w:r>
            <w:r w:rsidRPr="0064357E">
              <w:t xml:space="preserve"> IVM</w:t>
            </w:r>
            <w:r w:rsidR="00B96E5E" w:rsidRPr="0064357E">
              <w:t>, for tax year 2007,</w:t>
            </w:r>
            <w:r w:rsidRPr="0064357E">
              <w:t xml:space="preserve"> indicates that the beneficiary received $1,500 in interest income.</w:t>
            </w:r>
          </w:p>
          <w:p w14:paraId="725EAC2C" w14:textId="2C7A3591" w:rsidR="002748E7" w:rsidRPr="0064357E" w:rsidRDefault="00B96E5E" w:rsidP="00B96E5E">
            <w:pPr>
              <w:pStyle w:val="ListParagraph"/>
              <w:numPr>
                <w:ilvl w:val="0"/>
                <w:numId w:val="118"/>
              </w:numPr>
              <w:ind w:left="158" w:hanging="187"/>
            </w:pPr>
            <w:r w:rsidRPr="0064357E">
              <w:t>In 2009, t</w:t>
            </w:r>
            <w:r w:rsidR="002748E7" w:rsidRPr="0064357E">
              <w:t xml:space="preserve">he beneficiary signs VA Form 21-0159, </w:t>
            </w:r>
            <w:r w:rsidR="002748E7" w:rsidRPr="0064357E">
              <w:rPr>
                <w:i/>
              </w:rPr>
              <w:t xml:space="preserve">Income Certification, </w:t>
            </w:r>
            <w:r w:rsidR="002748E7" w:rsidRPr="0064357E">
              <w:t>confirming receipt of $1,500 interest</w:t>
            </w:r>
            <w:r w:rsidRPr="0064357E">
              <w:t>, confirming receipt of the interest income</w:t>
            </w:r>
            <w:r w:rsidR="002748E7" w:rsidRPr="0064357E">
              <w:t>.</w:t>
            </w:r>
          </w:p>
          <w:p w14:paraId="56EA7168" w14:textId="77777777" w:rsidR="002748E7" w:rsidRPr="0064357E" w:rsidRDefault="002748E7" w:rsidP="006A4A84">
            <w:pPr>
              <w:pStyle w:val="ListParagraph"/>
              <w:ind w:left="0"/>
            </w:pPr>
          </w:p>
          <w:p w14:paraId="51C89688" w14:textId="77777777" w:rsidR="002748E7" w:rsidRPr="0064357E" w:rsidRDefault="002748E7" w:rsidP="006A4A84">
            <w:pPr>
              <w:pStyle w:val="ListParagraph"/>
              <w:ind w:left="0"/>
            </w:pPr>
            <w:r w:rsidRPr="0064357E">
              <w:rPr>
                <w:b/>
                <w:i/>
              </w:rPr>
              <w:t xml:space="preserve">Result:  </w:t>
            </w:r>
            <w:r w:rsidRPr="0064357E">
              <w:t>The notice of proposed action</w:t>
            </w:r>
          </w:p>
          <w:p w14:paraId="0EA17732" w14:textId="77777777" w:rsidR="002748E7" w:rsidRPr="0064357E" w:rsidRDefault="002748E7" w:rsidP="00B96E5E">
            <w:pPr>
              <w:pStyle w:val="ListParagraph"/>
              <w:numPr>
                <w:ilvl w:val="0"/>
                <w:numId w:val="119"/>
              </w:numPr>
              <w:ind w:left="158" w:hanging="187"/>
            </w:pPr>
            <w:r w:rsidRPr="0064357E">
              <w:t>must include development for the initial year and from all subsequent years to the present, and</w:t>
            </w:r>
          </w:p>
          <w:p w14:paraId="47E075FD" w14:textId="79F5C504" w:rsidR="002748E7" w:rsidRPr="0064357E" w:rsidRDefault="002748E7" w:rsidP="00B96E5E">
            <w:pPr>
              <w:pStyle w:val="ListParagraph"/>
              <w:numPr>
                <w:ilvl w:val="0"/>
                <w:numId w:val="119"/>
              </w:numPr>
              <w:ind w:left="158" w:hanging="187"/>
            </w:pPr>
            <w:r w:rsidRPr="0064357E">
              <w:t>advise the beneficiary that VA will count the income for the initial year and each subsequent year unless he/she provides evidence to support a change.</w:t>
            </w:r>
          </w:p>
        </w:tc>
      </w:tr>
    </w:tbl>
    <w:p w14:paraId="4152F13B" w14:textId="63667E9F" w:rsidR="00372220" w:rsidRPr="0064357E" w:rsidRDefault="00372220" w:rsidP="006A16B9"/>
    <w:p w14:paraId="329FA7E8" w14:textId="77777777" w:rsidR="00FF6D0E" w:rsidRPr="0064357E" w:rsidRDefault="00FF6D0E" w:rsidP="006A16B9"/>
    <w:p w14:paraId="329FA7E9" w14:textId="77777777" w:rsidR="00FF6D0E" w:rsidRPr="0064357E" w:rsidRDefault="00FF6D0E" w:rsidP="006A16B9"/>
    <w:p w14:paraId="329FA7EA" w14:textId="77777777" w:rsidR="00FF6D0E" w:rsidRPr="0064357E" w:rsidRDefault="00FF6D0E" w:rsidP="006A16B9"/>
    <w:p w14:paraId="5008E239" w14:textId="77777777" w:rsidR="00D45EDE" w:rsidRPr="0064357E" w:rsidRDefault="00D45EDE">
      <w:pPr>
        <w:spacing w:after="200" w:line="276" w:lineRule="auto"/>
        <w:rPr>
          <w:rFonts w:ascii="Arial" w:hAnsi="Arial"/>
          <w:b/>
          <w:sz w:val="32"/>
          <w:szCs w:val="20"/>
        </w:rPr>
      </w:pPr>
      <w:r w:rsidRPr="0064357E">
        <w:br w:type="page"/>
      </w:r>
    </w:p>
    <w:p w14:paraId="329FA7FD" w14:textId="3F30D930" w:rsidR="00FF6D0E" w:rsidRPr="0064357E" w:rsidRDefault="004E1AA5" w:rsidP="00FF6D0E">
      <w:pPr>
        <w:pStyle w:val="MapTitleContinued"/>
      </w:pPr>
      <w:r w:rsidRPr="0064357E">
        <w:t>14</w:t>
      </w:r>
      <w:r w:rsidR="00FF6D0E" w:rsidRPr="0064357E">
        <w:t>.  Identification of Overpayments for Reporting Requirements</w:t>
      </w:r>
    </w:p>
    <w:p w14:paraId="329FA7FE" w14:textId="6111DD50" w:rsidR="00FF6D0E" w:rsidRPr="0064357E" w:rsidRDefault="00FF6D0E" w:rsidP="00FF6D0E">
      <w:pPr>
        <w:pStyle w:val="BlockLine"/>
      </w:pPr>
    </w:p>
    <w:tbl>
      <w:tblPr>
        <w:tblW w:w="0" w:type="auto"/>
        <w:tblLayout w:type="fixed"/>
        <w:tblLook w:val="0000" w:firstRow="0" w:lastRow="0" w:firstColumn="0" w:lastColumn="0" w:noHBand="0" w:noVBand="0"/>
      </w:tblPr>
      <w:tblGrid>
        <w:gridCol w:w="1728"/>
        <w:gridCol w:w="7740"/>
      </w:tblGrid>
      <w:tr w:rsidR="00FF6D0E" w:rsidRPr="0064357E" w14:paraId="329FA807" w14:textId="77777777" w:rsidTr="00827000">
        <w:trPr>
          <w:cantSplit/>
        </w:trPr>
        <w:tc>
          <w:tcPr>
            <w:tcW w:w="1728" w:type="dxa"/>
          </w:tcPr>
          <w:p w14:paraId="329FA7FF" w14:textId="77777777" w:rsidR="00FF6D0E" w:rsidRPr="0064357E" w:rsidRDefault="00FF6D0E">
            <w:pPr>
              <w:pStyle w:val="Heading5"/>
            </w:pPr>
            <w:r w:rsidRPr="0064357E">
              <w:t>Introduction</w:t>
            </w:r>
          </w:p>
        </w:tc>
        <w:tc>
          <w:tcPr>
            <w:tcW w:w="7740" w:type="dxa"/>
          </w:tcPr>
          <w:p w14:paraId="329FA800" w14:textId="77777777" w:rsidR="00FF6D0E" w:rsidRPr="0064357E" w:rsidRDefault="00FF6D0E">
            <w:pPr>
              <w:pStyle w:val="BlockText"/>
            </w:pPr>
            <w:r w:rsidRPr="0064357E">
              <w:t>This topic contains information on identification of overpayments for reporting requirements, including</w:t>
            </w:r>
          </w:p>
          <w:p w14:paraId="329FA801" w14:textId="77777777" w:rsidR="00FF6D0E" w:rsidRPr="0064357E" w:rsidRDefault="00FF6D0E">
            <w:pPr>
              <w:pStyle w:val="BlockText"/>
            </w:pPr>
          </w:p>
          <w:p w14:paraId="329FA802" w14:textId="77777777" w:rsidR="00FF6D0E" w:rsidRPr="0064357E" w:rsidRDefault="00FF6D0E" w:rsidP="00B96E5E">
            <w:pPr>
              <w:pStyle w:val="ListParagraph"/>
              <w:numPr>
                <w:ilvl w:val="0"/>
                <w:numId w:val="100"/>
              </w:numPr>
              <w:ind w:left="158" w:hanging="187"/>
            </w:pPr>
            <w:r w:rsidRPr="0064357E">
              <w:t>the savings report</w:t>
            </w:r>
          </w:p>
          <w:p w14:paraId="329FA803" w14:textId="64B706CC" w:rsidR="00FF6D0E" w:rsidRPr="0064357E" w:rsidRDefault="00FF6D0E" w:rsidP="00B96E5E">
            <w:pPr>
              <w:pStyle w:val="ListParagraph"/>
              <w:numPr>
                <w:ilvl w:val="0"/>
                <w:numId w:val="101"/>
              </w:numPr>
              <w:ind w:left="158" w:hanging="187"/>
            </w:pPr>
            <w:r w:rsidRPr="0064357E">
              <w:t>the Debt Management Center’s (DMC’s) responsibility</w:t>
            </w:r>
            <w:r w:rsidR="004B002F" w:rsidRPr="0064357E">
              <w:t>, and</w:t>
            </w:r>
          </w:p>
          <w:p w14:paraId="329FA805" w14:textId="6D56B085" w:rsidR="00FF6D0E" w:rsidRPr="0064357E" w:rsidRDefault="00FF6D0E" w:rsidP="00B96E5E">
            <w:pPr>
              <w:pStyle w:val="ListParagraph"/>
              <w:numPr>
                <w:ilvl w:val="0"/>
                <w:numId w:val="102"/>
              </w:numPr>
              <w:ind w:left="158" w:hanging="187"/>
            </w:pPr>
            <w:proofErr w:type="gramStart"/>
            <w:r w:rsidRPr="0064357E">
              <w:t>fraud</w:t>
            </w:r>
            <w:proofErr w:type="gramEnd"/>
            <w:r w:rsidRPr="0064357E">
              <w:t xml:space="preserve"> cases referred to the OIG</w:t>
            </w:r>
            <w:r w:rsidR="004B002F" w:rsidRPr="0064357E">
              <w:t>.</w:t>
            </w:r>
          </w:p>
          <w:p w14:paraId="329FA806" w14:textId="31BEC27F" w:rsidR="00FF6D0E" w:rsidRPr="0064357E" w:rsidRDefault="00FF6D0E" w:rsidP="002972F0">
            <w:pPr>
              <w:pStyle w:val="ListParagraph"/>
              <w:ind w:left="158"/>
            </w:pPr>
          </w:p>
        </w:tc>
      </w:tr>
    </w:tbl>
    <w:p w14:paraId="329FA808" w14:textId="77777777" w:rsidR="00FF6D0E" w:rsidRPr="0064357E" w:rsidRDefault="00FF6D0E" w:rsidP="002972F0">
      <w:pPr>
        <w:pStyle w:val="BlockLine"/>
        <w:spacing w:before="0"/>
      </w:pPr>
    </w:p>
    <w:tbl>
      <w:tblPr>
        <w:tblW w:w="0" w:type="auto"/>
        <w:tblLayout w:type="fixed"/>
        <w:tblLook w:val="0000" w:firstRow="0" w:lastRow="0" w:firstColumn="0" w:lastColumn="0" w:noHBand="0" w:noVBand="0"/>
      </w:tblPr>
      <w:tblGrid>
        <w:gridCol w:w="1728"/>
        <w:gridCol w:w="7740"/>
      </w:tblGrid>
      <w:tr w:rsidR="00FF6D0E" w:rsidRPr="0064357E" w14:paraId="329FA80B" w14:textId="77777777" w:rsidTr="00827000">
        <w:trPr>
          <w:cantSplit/>
        </w:trPr>
        <w:tc>
          <w:tcPr>
            <w:tcW w:w="1728" w:type="dxa"/>
          </w:tcPr>
          <w:p w14:paraId="329FA809" w14:textId="77777777" w:rsidR="00FF6D0E" w:rsidRPr="0064357E" w:rsidRDefault="00FF6D0E">
            <w:pPr>
              <w:pStyle w:val="Heading5"/>
            </w:pPr>
            <w:r w:rsidRPr="0064357E">
              <w:t>Change Date</w:t>
            </w:r>
          </w:p>
        </w:tc>
        <w:tc>
          <w:tcPr>
            <w:tcW w:w="7740" w:type="dxa"/>
          </w:tcPr>
          <w:p w14:paraId="4EF76987" w14:textId="155D6CA1" w:rsidR="00F9023D" w:rsidRPr="0064357E" w:rsidRDefault="0064357E" w:rsidP="0064357E">
            <w:pPr>
              <w:tabs>
                <w:tab w:val="left" w:pos="9360"/>
              </w:tabs>
              <w:ind w:left="-18"/>
            </w:pPr>
            <w:r>
              <w:t>March 30, 2015</w:t>
            </w:r>
          </w:p>
          <w:p w14:paraId="329FA80A" w14:textId="7E38566D" w:rsidR="00FF6D0E" w:rsidRPr="0064357E" w:rsidRDefault="00FF6D0E">
            <w:pPr>
              <w:pStyle w:val="BlockText"/>
            </w:pPr>
          </w:p>
        </w:tc>
      </w:tr>
    </w:tbl>
    <w:p w14:paraId="329FA83D" w14:textId="215D4BF7" w:rsidR="00FF6D0E" w:rsidRPr="0064357E" w:rsidRDefault="00FF6D0E" w:rsidP="002972F0">
      <w:pPr>
        <w:pStyle w:val="BlockLine"/>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723DE3" w:rsidRPr="0064357E" w14:paraId="0049B620" w14:textId="77777777" w:rsidTr="006A4A84">
        <w:tc>
          <w:tcPr>
            <w:tcW w:w="1728" w:type="dxa"/>
            <w:shd w:val="clear" w:color="auto" w:fill="auto"/>
          </w:tcPr>
          <w:p w14:paraId="3E21685F" w14:textId="0B018742" w:rsidR="00723DE3" w:rsidRPr="0064357E" w:rsidRDefault="00723DE3">
            <w:pPr>
              <w:rPr>
                <w:b/>
                <w:sz w:val="22"/>
              </w:rPr>
            </w:pPr>
            <w:r w:rsidRPr="0064357E">
              <w:rPr>
                <w:b/>
                <w:sz w:val="22"/>
              </w:rPr>
              <w:t>a.  Savings Report</w:t>
            </w:r>
          </w:p>
        </w:tc>
        <w:tc>
          <w:tcPr>
            <w:tcW w:w="7740" w:type="dxa"/>
            <w:shd w:val="clear" w:color="auto" w:fill="auto"/>
          </w:tcPr>
          <w:p w14:paraId="22ADCACC" w14:textId="53A94ACD" w:rsidR="00723DE3" w:rsidRPr="0064357E" w:rsidRDefault="00723DE3">
            <w:r w:rsidRPr="0064357E">
              <w:t xml:space="preserve">Use the </w:t>
            </w:r>
            <w:r w:rsidRPr="0064357E">
              <w:rPr>
                <w:i/>
              </w:rPr>
              <w:t xml:space="preserve">RSC 20-0834 </w:t>
            </w:r>
            <w:r w:rsidRPr="0064357E">
              <w:t>format to report savings on a monthly basis.</w:t>
            </w:r>
          </w:p>
        </w:tc>
      </w:tr>
    </w:tbl>
    <w:p w14:paraId="2EBF3467" w14:textId="77777777" w:rsidR="00F9023D" w:rsidRPr="0064357E" w:rsidRDefault="00F9023D" w:rsidP="00BB6A41">
      <w:pPr>
        <w:pStyle w:val="BlockLine"/>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723DE3" w:rsidRPr="0064357E" w14:paraId="046C25BE" w14:textId="77777777" w:rsidTr="006A4A84">
        <w:tc>
          <w:tcPr>
            <w:tcW w:w="1728" w:type="dxa"/>
            <w:shd w:val="clear" w:color="auto" w:fill="auto"/>
          </w:tcPr>
          <w:p w14:paraId="3CAF9E00" w14:textId="1DCB821B" w:rsidR="00723DE3" w:rsidRPr="0064357E" w:rsidRDefault="00723DE3">
            <w:pPr>
              <w:rPr>
                <w:b/>
                <w:sz w:val="22"/>
              </w:rPr>
            </w:pPr>
            <w:r w:rsidRPr="0064357E">
              <w:rPr>
                <w:b/>
                <w:sz w:val="22"/>
              </w:rPr>
              <w:t>b.  DMC’s Responsibility</w:t>
            </w:r>
          </w:p>
        </w:tc>
        <w:tc>
          <w:tcPr>
            <w:tcW w:w="7740" w:type="dxa"/>
            <w:shd w:val="clear" w:color="auto" w:fill="auto"/>
          </w:tcPr>
          <w:p w14:paraId="613313A8" w14:textId="77777777" w:rsidR="00723DE3" w:rsidRPr="0064357E" w:rsidRDefault="00723DE3">
            <w:pPr>
              <w:pStyle w:val="BlockText"/>
            </w:pPr>
            <w:r w:rsidRPr="0064357E">
              <w:t>The Debt Management Center (DMC) is responsible for generating reports concerning overpayments created and recovered as a result of the IVM computer match.  To identify these cases, select the IVM Adjustment field on the Financial Decisions Detail Screen in Veterans Service Network (VETSNET) Awards.</w:t>
            </w:r>
          </w:p>
          <w:p w14:paraId="7F8600E6" w14:textId="77777777" w:rsidR="00723DE3" w:rsidRPr="0064357E" w:rsidRDefault="00723DE3"/>
          <w:p w14:paraId="48830C49" w14:textId="77777777" w:rsidR="00723DE3" w:rsidRPr="0064357E" w:rsidRDefault="00723DE3">
            <w:r w:rsidRPr="0064357E">
              <w:rPr>
                <w:b/>
                <w:i/>
              </w:rPr>
              <w:t xml:space="preserve">Reference:  </w:t>
            </w:r>
            <w:r w:rsidRPr="0064357E">
              <w:t xml:space="preserve">For more information on processing in VETSNET Awards, see the </w:t>
            </w:r>
            <w:hyperlink r:id="rId16" w:history="1">
              <w:r w:rsidRPr="0064357E">
                <w:rPr>
                  <w:rStyle w:val="Hyperlink"/>
                  <w:sz w:val="24"/>
                </w:rPr>
                <w:t>VETSNET Awards User Guide</w:t>
              </w:r>
            </w:hyperlink>
            <w:r w:rsidRPr="0064357E">
              <w:t>.</w:t>
            </w:r>
          </w:p>
          <w:p w14:paraId="384D3161" w14:textId="6DE1515A" w:rsidR="00BF01A1" w:rsidRPr="0064357E" w:rsidRDefault="00BF01A1"/>
        </w:tc>
      </w:tr>
    </w:tbl>
    <w:p w14:paraId="0038E5F8" w14:textId="77777777" w:rsidR="00F9023D" w:rsidRPr="0064357E" w:rsidRDefault="00F9023D" w:rsidP="00BB6A41">
      <w:pPr>
        <w:pStyle w:val="BlockLine"/>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723DE3" w:rsidRPr="0064357E" w14:paraId="59608718" w14:textId="77777777" w:rsidTr="006A4A84">
        <w:tc>
          <w:tcPr>
            <w:tcW w:w="1728" w:type="dxa"/>
            <w:shd w:val="clear" w:color="auto" w:fill="auto"/>
          </w:tcPr>
          <w:p w14:paraId="6284172B" w14:textId="672B862C" w:rsidR="00723DE3" w:rsidRPr="0064357E" w:rsidRDefault="00723DE3">
            <w:pPr>
              <w:rPr>
                <w:b/>
                <w:sz w:val="22"/>
              </w:rPr>
            </w:pPr>
            <w:r w:rsidRPr="0064357E">
              <w:rPr>
                <w:b/>
                <w:sz w:val="22"/>
              </w:rPr>
              <w:t>c.  Fraud Cases Referred to the OIG</w:t>
            </w:r>
          </w:p>
        </w:tc>
        <w:tc>
          <w:tcPr>
            <w:tcW w:w="7740" w:type="dxa"/>
            <w:shd w:val="clear" w:color="auto" w:fill="auto"/>
          </w:tcPr>
          <w:p w14:paraId="76B712CA" w14:textId="77777777" w:rsidR="00723DE3" w:rsidRPr="0064357E" w:rsidRDefault="00723DE3">
            <w:pPr>
              <w:pStyle w:val="BlockText"/>
            </w:pPr>
            <w:r w:rsidRPr="0064357E">
              <w:t>Select the Potential Fraud field on the Financial Decisions Detail Screen to identify potential fraud cases referred to the OIG.  Once a case has been declined by the OIG, the DMC must be notified.</w:t>
            </w:r>
          </w:p>
          <w:p w14:paraId="6858B7FB" w14:textId="77777777" w:rsidR="00723DE3" w:rsidRPr="0064357E" w:rsidRDefault="00723DE3"/>
          <w:p w14:paraId="30120C95" w14:textId="77777777" w:rsidR="00723DE3" w:rsidRPr="0064357E" w:rsidRDefault="00723DE3" w:rsidP="00B96E5E">
            <w:pPr>
              <w:pStyle w:val="ListParagraph"/>
              <w:numPr>
                <w:ilvl w:val="0"/>
                <w:numId w:val="120"/>
              </w:numPr>
              <w:ind w:left="158" w:hanging="187"/>
            </w:pPr>
            <w:r w:rsidRPr="0064357E">
              <w:t>Notify the finance activity by e-mail or telephone that the case will not be pursued and is now an IVM case.</w:t>
            </w:r>
          </w:p>
          <w:p w14:paraId="201C0AD5" w14:textId="77777777" w:rsidR="00723DE3" w:rsidRPr="0064357E" w:rsidRDefault="00723DE3" w:rsidP="00B96E5E">
            <w:pPr>
              <w:pStyle w:val="ListParagraph"/>
              <w:numPr>
                <w:ilvl w:val="0"/>
                <w:numId w:val="120"/>
              </w:numPr>
              <w:ind w:left="158" w:hanging="187"/>
            </w:pPr>
            <w:r w:rsidRPr="0064357E">
              <w:t>The finance activity will then notify the DMC via e-mail that the case is now an IVM case, permitting the DMC to initiate collection action and include these cases in the monthly reports.</w:t>
            </w:r>
          </w:p>
          <w:p w14:paraId="0079BD51" w14:textId="316486A9" w:rsidR="00BF01A1" w:rsidRPr="0064357E" w:rsidRDefault="00BF01A1" w:rsidP="00BB6A41">
            <w:pPr>
              <w:pStyle w:val="ListParagraph"/>
              <w:ind w:left="158"/>
            </w:pPr>
          </w:p>
        </w:tc>
      </w:tr>
    </w:tbl>
    <w:p w14:paraId="4F99789A" w14:textId="77777777" w:rsidR="00F9023D" w:rsidRPr="0064357E" w:rsidRDefault="00F9023D" w:rsidP="00BB6A41">
      <w:pPr>
        <w:pStyle w:val="BlockLine"/>
        <w:spacing w:before="0"/>
      </w:pPr>
    </w:p>
    <w:p w14:paraId="786AC259" w14:textId="77777777" w:rsidR="00723DE3" w:rsidRPr="0064357E" w:rsidRDefault="00723DE3"/>
    <w:p w14:paraId="75488B3A" w14:textId="77777777" w:rsidR="002E5639" w:rsidRPr="0064357E" w:rsidRDefault="002E5639" w:rsidP="00BB6A41">
      <w:pPr>
        <w:pStyle w:val="Heading4"/>
        <w:spacing w:after="0"/>
      </w:pPr>
      <w:bookmarkStart w:id="6" w:name="_Toc478814468"/>
    </w:p>
    <w:p w14:paraId="7B12281A" w14:textId="77777777" w:rsidR="002E5639" w:rsidRPr="0064357E" w:rsidRDefault="002E5639" w:rsidP="00BB6A41">
      <w:pPr>
        <w:pStyle w:val="Heading4"/>
        <w:spacing w:after="0"/>
      </w:pPr>
    </w:p>
    <w:p w14:paraId="02996D34" w14:textId="77777777" w:rsidR="002E5639" w:rsidRPr="0064357E" w:rsidRDefault="002E5639" w:rsidP="00BB6A41">
      <w:pPr>
        <w:pStyle w:val="Heading4"/>
        <w:spacing w:after="0"/>
      </w:pPr>
    </w:p>
    <w:p w14:paraId="52FF0BD4" w14:textId="77777777" w:rsidR="002E5639" w:rsidRPr="0064357E" w:rsidRDefault="002E5639" w:rsidP="00BB6A41">
      <w:pPr>
        <w:pStyle w:val="Heading4"/>
        <w:spacing w:after="0"/>
      </w:pPr>
    </w:p>
    <w:p w14:paraId="7FD28026" w14:textId="10075B1D" w:rsidR="00BF01A1" w:rsidRPr="0064357E" w:rsidRDefault="00BF01A1">
      <w:pPr>
        <w:spacing w:after="200" w:line="276" w:lineRule="auto"/>
        <w:rPr>
          <w:rFonts w:ascii="Arial" w:hAnsi="Arial"/>
          <w:b/>
          <w:sz w:val="32"/>
          <w:szCs w:val="20"/>
        </w:rPr>
      </w:pPr>
    </w:p>
    <w:p w14:paraId="329FA83E" w14:textId="1B463590" w:rsidR="00FF6D0E" w:rsidRPr="0064357E" w:rsidRDefault="004E1AA5" w:rsidP="00BB6A41">
      <w:pPr>
        <w:pStyle w:val="Heading4"/>
        <w:spacing w:after="0"/>
      </w:pPr>
      <w:r w:rsidRPr="0064357E">
        <w:t>15</w:t>
      </w:r>
      <w:r w:rsidR="00FF6D0E" w:rsidRPr="0064357E">
        <w:t>.  Considering Earnings in Individual Unemployability (IU) and Pension Cases</w:t>
      </w:r>
      <w:bookmarkEnd w:id="6"/>
    </w:p>
    <w:p w14:paraId="5FD96A0A" w14:textId="77777777" w:rsidR="00D45EDE" w:rsidRPr="0064357E" w:rsidRDefault="00D45EDE" w:rsidP="00B96E5E"/>
    <w:p w14:paraId="329FA83F" w14:textId="5AA25C59" w:rsidR="00FF6D0E" w:rsidRPr="0064357E" w:rsidRDefault="00FF6D0E" w:rsidP="00BB6A41">
      <w:pPr>
        <w:pStyle w:val="BlockLine"/>
        <w:spacing w:before="0"/>
      </w:pPr>
    </w:p>
    <w:tbl>
      <w:tblPr>
        <w:tblW w:w="0" w:type="auto"/>
        <w:tblLayout w:type="fixed"/>
        <w:tblLook w:val="0000" w:firstRow="0" w:lastRow="0" w:firstColumn="0" w:lastColumn="0" w:noHBand="0" w:noVBand="0"/>
      </w:tblPr>
      <w:tblGrid>
        <w:gridCol w:w="1708"/>
        <w:gridCol w:w="7652"/>
      </w:tblGrid>
      <w:tr w:rsidR="00FF6D0E" w:rsidRPr="0064357E" w14:paraId="329FA84B" w14:textId="77777777" w:rsidTr="00827000">
        <w:trPr>
          <w:cantSplit/>
        </w:trPr>
        <w:tc>
          <w:tcPr>
            <w:tcW w:w="1708" w:type="dxa"/>
          </w:tcPr>
          <w:p w14:paraId="329FA840" w14:textId="77777777" w:rsidR="00FF6D0E" w:rsidRPr="0064357E" w:rsidRDefault="00FF6D0E">
            <w:pPr>
              <w:pStyle w:val="Heading5"/>
            </w:pPr>
            <w:r w:rsidRPr="0064357E">
              <w:t>Introduction</w:t>
            </w:r>
          </w:p>
        </w:tc>
        <w:tc>
          <w:tcPr>
            <w:tcW w:w="7652" w:type="dxa"/>
          </w:tcPr>
          <w:p w14:paraId="329FA841" w14:textId="77777777" w:rsidR="00FF6D0E" w:rsidRPr="0064357E" w:rsidRDefault="00FF6D0E">
            <w:pPr>
              <w:pStyle w:val="BlockText"/>
            </w:pPr>
            <w:r w:rsidRPr="0064357E">
              <w:t>This topic contains information on considering earnings in IU and pension cases, including</w:t>
            </w:r>
          </w:p>
          <w:p w14:paraId="329FA842" w14:textId="77777777" w:rsidR="00FF6D0E" w:rsidRPr="0064357E" w:rsidRDefault="00FF6D0E">
            <w:pPr>
              <w:pStyle w:val="BlockText"/>
            </w:pPr>
          </w:p>
          <w:p w14:paraId="329FA843" w14:textId="053F3218" w:rsidR="00FF6D0E" w:rsidRPr="0064357E" w:rsidRDefault="00FF6D0E" w:rsidP="00B96E5E">
            <w:pPr>
              <w:pStyle w:val="ListParagraph"/>
              <w:numPr>
                <w:ilvl w:val="0"/>
                <w:numId w:val="103"/>
              </w:numPr>
              <w:ind w:left="158" w:hanging="187"/>
            </w:pPr>
            <w:r w:rsidRPr="0064357E">
              <w:t>referral of IU cases to ROs</w:t>
            </w:r>
          </w:p>
          <w:p w14:paraId="329FA844" w14:textId="77777777" w:rsidR="00FF6D0E" w:rsidRPr="0064357E" w:rsidRDefault="00FF6D0E" w:rsidP="00B96E5E">
            <w:pPr>
              <w:pStyle w:val="ListParagraph"/>
              <w:numPr>
                <w:ilvl w:val="0"/>
                <w:numId w:val="104"/>
              </w:numPr>
              <w:ind w:left="158" w:hanging="187"/>
            </w:pPr>
            <w:r w:rsidRPr="0064357E">
              <w:t>verification of earnings in IU cases</w:t>
            </w:r>
          </w:p>
          <w:p w14:paraId="329FA845" w14:textId="77777777" w:rsidR="00FF6D0E" w:rsidRPr="0064357E" w:rsidRDefault="00FF6D0E" w:rsidP="00B96E5E">
            <w:pPr>
              <w:pStyle w:val="ListParagraph"/>
              <w:numPr>
                <w:ilvl w:val="0"/>
                <w:numId w:val="105"/>
              </w:numPr>
              <w:ind w:left="158" w:hanging="187"/>
            </w:pPr>
            <w:r w:rsidRPr="0064357E">
              <w:t>referral of IU cases to the rating activity</w:t>
            </w:r>
          </w:p>
          <w:p w14:paraId="329FA846" w14:textId="77777777" w:rsidR="00FF6D0E" w:rsidRPr="0064357E" w:rsidRDefault="00FF6D0E" w:rsidP="00B96E5E">
            <w:pPr>
              <w:pStyle w:val="ListParagraph"/>
              <w:numPr>
                <w:ilvl w:val="0"/>
                <w:numId w:val="106"/>
              </w:numPr>
              <w:ind w:left="158" w:hanging="187"/>
            </w:pPr>
            <w:r w:rsidRPr="0064357E">
              <w:t>determining the need for an examination in IU cases</w:t>
            </w:r>
          </w:p>
          <w:p w14:paraId="329FA847" w14:textId="77777777" w:rsidR="00FF6D0E" w:rsidRPr="0064357E" w:rsidRDefault="00FF6D0E" w:rsidP="00B96E5E">
            <w:pPr>
              <w:pStyle w:val="ListParagraph"/>
              <w:numPr>
                <w:ilvl w:val="0"/>
                <w:numId w:val="107"/>
              </w:numPr>
              <w:ind w:left="158" w:hanging="187"/>
            </w:pPr>
            <w:r w:rsidRPr="0064357E">
              <w:t>a rating proposal to reduce benefits in IU cases</w:t>
            </w:r>
          </w:p>
          <w:p w14:paraId="329FA848" w14:textId="77777777" w:rsidR="00FF6D0E" w:rsidRPr="0064357E" w:rsidRDefault="00FF6D0E" w:rsidP="00B96E5E">
            <w:pPr>
              <w:pStyle w:val="ListParagraph"/>
              <w:numPr>
                <w:ilvl w:val="0"/>
                <w:numId w:val="108"/>
              </w:numPr>
              <w:ind w:left="158" w:hanging="187"/>
            </w:pPr>
            <w:r w:rsidRPr="0064357E">
              <w:t>considering protected service-connected (SC) evaluations</w:t>
            </w:r>
          </w:p>
          <w:p w14:paraId="329FA849" w14:textId="77777777" w:rsidR="00FF6D0E" w:rsidRPr="0064357E" w:rsidRDefault="00FF6D0E" w:rsidP="00B96E5E">
            <w:pPr>
              <w:pStyle w:val="ListParagraph"/>
              <w:numPr>
                <w:ilvl w:val="0"/>
                <w:numId w:val="109"/>
              </w:numPr>
              <w:ind w:left="158" w:hanging="187"/>
            </w:pPr>
            <w:r w:rsidRPr="0064357E">
              <w:t>referral of a pension case for a permanent and total (PT) determination, and</w:t>
            </w:r>
          </w:p>
          <w:p w14:paraId="498B305C" w14:textId="77777777" w:rsidR="00FF6D0E" w:rsidRPr="0064357E" w:rsidRDefault="00FF6D0E" w:rsidP="00B96E5E">
            <w:pPr>
              <w:pStyle w:val="ListParagraph"/>
              <w:numPr>
                <w:ilvl w:val="0"/>
                <w:numId w:val="110"/>
              </w:numPr>
              <w:ind w:left="158" w:hanging="187"/>
            </w:pPr>
            <w:r w:rsidRPr="0064357E">
              <w:t>when the pension is terminated without a referral to the rating activity.</w:t>
            </w:r>
          </w:p>
          <w:p w14:paraId="329FA84A" w14:textId="77777777" w:rsidR="00BF01A1" w:rsidRPr="0064357E" w:rsidRDefault="00BF01A1" w:rsidP="00BB6A41">
            <w:pPr>
              <w:pStyle w:val="ListParagraph"/>
              <w:ind w:left="158"/>
            </w:pPr>
          </w:p>
        </w:tc>
      </w:tr>
    </w:tbl>
    <w:p w14:paraId="329FA84C" w14:textId="77777777" w:rsidR="00FF6D0E" w:rsidRPr="0064357E" w:rsidRDefault="00FF6D0E" w:rsidP="00BB6A41">
      <w:pPr>
        <w:pStyle w:val="BlockLine"/>
        <w:spacing w:before="0"/>
      </w:pPr>
    </w:p>
    <w:tbl>
      <w:tblPr>
        <w:tblW w:w="0" w:type="auto"/>
        <w:tblLayout w:type="fixed"/>
        <w:tblLook w:val="0000" w:firstRow="0" w:lastRow="0" w:firstColumn="0" w:lastColumn="0" w:noHBand="0" w:noVBand="0"/>
      </w:tblPr>
      <w:tblGrid>
        <w:gridCol w:w="1708"/>
        <w:gridCol w:w="7652"/>
      </w:tblGrid>
      <w:tr w:rsidR="00FF6D0E" w:rsidRPr="0064357E" w14:paraId="329FA84F" w14:textId="77777777" w:rsidTr="00827000">
        <w:trPr>
          <w:cantSplit/>
        </w:trPr>
        <w:tc>
          <w:tcPr>
            <w:tcW w:w="1708" w:type="dxa"/>
          </w:tcPr>
          <w:p w14:paraId="329FA84D" w14:textId="77777777" w:rsidR="00FF6D0E" w:rsidRPr="0064357E" w:rsidRDefault="00FF6D0E">
            <w:pPr>
              <w:pStyle w:val="Heading5"/>
            </w:pPr>
            <w:r w:rsidRPr="0064357E">
              <w:t>Change Date</w:t>
            </w:r>
          </w:p>
        </w:tc>
        <w:tc>
          <w:tcPr>
            <w:tcW w:w="7652" w:type="dxa"/>
          </w:tcPr>
          <w:p w14:paraId="75ED30FC" w14:textId="408D38D4" w:rsidR="00BF01A1" w:rsidRPr="0064357E" w:rsidRDefault="0064357E" w:rsidP="0064357E">
            <w:pPr>
              <w:tabs>
                <w:tab w:val="left" w:pos="9360"/>
              </w:tabs>
              <w:ind w:left="-18"/>
            </w:pPr>
            <w:r>
              <w:t>March 30, 2015</w:t>
            </w:r>
          </w:p>
          <w:p w14:paraId="329FA84E" w14:textId="21BDA6BD" w:rsidR="00FF6D0E" w:rsidRPr="0064357E" w:rsidRDefault="00FF6D0E">
            <w:pPr>
              <w:pStyle w:val="BlockText"/>
            </w:pPr>
          </w:p>
        </w:tc>
      </w:tr>
    </w:tbl>
    <w:p w14:paraId="329FA850" w14:textId="77777777" w:rsidR="00FF6D0E" w:rsidRPr="0064357E" w:rsidRDefault="00FF6D0E" w:rsidP="00BB6A41">
      <w:pPr>
        <w:pStyle w:val="BlockLine"/>
        <w:spacing w:before="0"/>
      </w:pPr>
      <w:r w:rsidRPr="0064357E">
        <w:t xml:space="preserve"> </w:t>
      </w:r>
    </w:p>
    <w:tbl>
      <w:tblPr>
        <w:tblW w:w="0" w:type="auto"/>
        <w:tblLayout w:type="fixed"/>
        <w:tblLook w:val="0000" w:firstRow="0" w:lastRow="0" w:firstColumn="0" w:lastColumn="0" w:noHBand="0" w:noVBand="0"/>
      </w:tblPr>
      <w:tblGrid>
        <w:gridCol w:w="1708"/>
        <w:gridCol w:w="7652"/>
      </w:tblGrid>
      <w:tr w:rsidR="00FF6D0E" w:rsidRPr="0064357E" w14:paraId="329FA857" w14:textId="77777777" w:rsidTr="00827000">
        <w:trPr>
          <w:cantSplit/>
        </w:trPr>
        <w:tc>
          <w:tcPr>
            <w:tcW w:w="1708" w:type="dxa"/>
          </w:tcPr>
          <w:p w14:paraId="329FA851" w14:textId="77777777" w:rsidR="00FF6D0E" w:rsidRPr="0064357E" w:rsidRDefault="00FF6D0E">
            <w:pPr>
              <w:pStyle w:val="Heading5"/>
            </w:pPr>
            <w:r w:rsidRPr="0064357E">
              <w:t>a.  Referral of IU Cases to ROs</w:t>
            </w:r>
          </w:p>
        </w:tc>
        <w:tc>
          <w:tcPr>
            <w:tcW w:w="7652" w:type="dxa"/>
          </w:tcPr>
          <w:p w14:paraId="329FA852" w14:textId="77777777" w:rsidR="00FF6D0E" w:rsidRPr="0064357E" w:rsidRDefault="00FF6D0E">
            <w:pPr>
              <w:pStyle w:val="BlockText"/>
            </w:pPr>
            <w:r w:rsidRPr="0064357E">
              <w:t>Only IU cases with earned income over the current poverty threshold are referred to ROs.</w:t>
            </w:r>
          </w:p>
          <w:p w14:paraId="329FA853" w14:textId="77777777" w:rsidR="00FF6D0E" w:rsidRPr="0064357E" w:rsidRDefault="00FF6D0E">
            <w:pPr>
              <w:pStyle w:val="BlockText"/>
            </w:pPr>
          </w:p>
          <w:p w14:paraId="329FA854" w14:textId="77777777" w:rsidR="00FF6D0E" w:rsidRPr="0064357E" w:rsidRDefault="00FF6D0E">
            <w:pPr>
              <w:pStyle w:val="BlockText"/>
            </w:pPr>
            <w:r w:rsidRPr="0064357E">
              <w:rPr>
                <w:b/>
                <w:bCs/>
                <w:i/>
                <w:iCs/>
              </w:rPr>
              <w:t>Note</w:t>
            </w:r>
            <w:r w:rsidRPr="0064357E">
              <w:t>:  Amounts received from participation in VHA’s CWT Program are not considered income for IU purposes.</w:t>
            </w:r>
          </w:p>
          <w:p w14:paraId="329FA855" w14:textId="77777777" w:rsidR="00FF6D0E" w:rsidRPr="0064357E" w:rsidRDefault="00FF6D0E">
            <w:pPr>
              <w:pStyle w:val="BlockText"/>
              <w:rPr>
                <w:bCs/>
                <w:iCs/>
              </w:rPr>
            </w:pPr>
          </w:p>
          <w:p w14:paraId="329FA856" w14:textId="504B961A" w:rsidR="00FF6D0E" w:rsidRPr="0064357E" w:rsidRDefault="00FF6D0E">
            <w:pPr>
              <w:pStyle w:val="BlockText"/>
            </w:pPr>
            <w:r w:rsidRPr="0064357E">
              <w:rPr>
                <w:b/>
                <w:i/>
              </w:rPr>
              <w:t>Reference</w:t>
            </w:r>
            <w:r w:rsidRPr="0064357E">
              <w:t xml:space="preserve">:  For more information on the poverty threshold, see </w:t>
            </w:r>
            <w:hyperlink r:id="rId17" w:history="1">
              <w:r w:rsidR="007343F3" w:rsidRPr="0064357E">
                <w:rPr>
                  <w:rStyle w:val="Hyperlink"/>
                  <w:sz w:val="24"/>
                </w:rPr>
                <w:t>M21-1, Part IV, Subpart ii, 2.F.9</w:t>
              </w:r>
            </w:hyperlink>
            <w:r w:rsidRPr="0064357E">
              <w:t xml:space="preserve">. </w:t>
            </w:r>
          </w:p>
        </w:tc>
      </w:tr>
    </w:tbl>
    <w:p w14:paraId="59D642FD" w14:textId="77777777" w:rsidR="00BF01A1" w:rsidRPr="0064357E" w:rsidRDefault="00BF01A1" w:rsidP="00BF01A1">
      <w:pPr>
        <w:pStyle w:val="BlockLine"/>
      </w:pPr>
    </w:p>
    <w:tbl>
      <w:tblPr>
        <w:tblW w:w="0" w:type="auto"/>
        <w:tblLayout w:type="fixed"/>
        <w:tblLook w:val="0000" w:firstRow="0" w:lastRow="0" w:firstColumn="0" w:lastColumn="0" w:noHBand="0" w:noVBand="0"/>
      </w:tblPr>
      <w:tblGrid>
        <w:gridCol w:w="1708"/>
        <w:gridCol w:w="7652"/>
      </w:tblGrid>
      <w:tr w:rsidR="00FF6D0E" w:rsidRPr="0064357E" w14:paraId="329FA85F" w14:textId="77777777" w:rsidTr="00827000">
        <w:trPr>
          <w:cantSplit/>
        </w:trPr>
        <w:tc>
          <w:tcPr>
            <w:tcW w:w="1708" w:type="dxa"/>
          </w:tcPr>
          <w:p w14:paraId="329FA859" w14:textId="77777777" w:rsidR="00FF6D0E" w:rsidRPr="0064357E" w:rsidRDefault="00FF6D0E">
            <w:pPr>
              <w:pStyle w:val="Heading5"/>
            </w:pPr>
            <w:r w:rsidRPr="0064357E">
              <w:t>b.  Verification of Earnings in IU Cases</w:t>
            </w:r>
          </w:p>
        </w:tc>
        <w:tc>
          <w:tcPr>
            <w:tcW w:w="7652" w:type="dxa"/>
          </w:tcPr>
          <w:p w14:paraId="329FA85A" w14:textId="77777777" w:rsidR="00FF6D0E" w:rsidRPr="0064357E" w:rsidRDefault="00FF6D0E">
            <w:pPr>
              <w:pStyle w:val="BlockText"/>
            </w:pPr>
            <w:r w:rsidRPr="0064357E">
              <w:t>If, after initial review, verification of earnings from employment is needed in an IU case, see the references listed below.</w:t>
            </w:r>
          </w:p>
          <w:p w14:paraId="329FA85B" w14:textId="77777777" w:rsidR="00FF6D0E" w:rsidRPr="0064357E" w:rsidRDefault="00FF6D0E">
            <w:pPr>
              <w:pStyle w:val="BlockText"/>
            </w:pPr>
          </w:p>
          <w:p w14:paraId="329FA85C" w14:textId="77777777" w:rsidR="00FF6D0E" w:rsidRPr="0064357E" w:rsidRDefault="00FF6D0E">
            <w:pPr>
              <w:pStyle w:val="BlockText"/>
            </w:pPr>
            <w:r w:rsidRPr="0064357E">
              <w:rPr>
                <w:b/>
                <w:i/>
              </w:rPr>
              <w:t>References</w:t>
            </w:r>
            <w:r w:rsidRPr="0064357E">
              <w:t xml:space="preserve">:  For more information on </w:t>
            </w:r>
          </w:p>
          <w:p w14:paraId="329FA85D" w14:textId="7ECA448D" w:rsidR="00FF6D0E" w:rsidRPr="0064357E" w:rsidRDefault="00FF6D0E" w:rsidP="00B96E5E">
            <w:pPr>
              <w:pStyle w:val="ListParagraph"/>
              <w:numPr>
                <w:ilvl w:val="0"/>
                <w:numId w:val="111"/>
              </w:numPr>
              <w:ind w:left="158" w:hanging="187"/>
            </w:pPr>
            <w:r w:rsidRPr="0064357E">
              <w:t xml:space="preserve">initial reviews, see M21-1, Part X, </w:t>
            </w:r>
            <w:r w:rsidR="00877905" w:rsidRPr="0064357E">
              <w:t xml:space="preserve">Chapter 9, Section C, Topic </w:t>
            </w:r>
            <w:r w:rsidR="00BF64F7" w:rsidRPr="0064357E">
              <w:t>5</w:t>
            </w:r>
          </w:p>
          <w:p w14:paraId="329FA85E" w14:textId="30B4BEA6" w:rsidR="00FF6D0E" w:rsidRPr="0064357E" w:rsidRDefault="00FF6D0E" w:rsidP="00B96E5E">
            <w:pPr>
              <w:pStyle w:val="ListParagraph"/>
              <w:numPr>
                <w:ilvl w:val="0"/>
                <w:numId w:val="112"/>
              </w:numPr>
              <w:ind w:left="158" w:hanging="187"/>
            </w:pPr>
            <w:proofErr w:type="gramStart"/>
            <w:r w:rsidRPr="0064357E">
              <w:t>verifying</w:t>
            </w:r>
            <w:proofErr w:type="gramEnd"/>
            <w:r w:rsidRPr="0064357E">
              <w:t xml:space="preserve"> earnings from employment, see M21-1, Part X, </w:t>
            </w:r>
            <w:r w:rsidR="00B30236" w:rsidRPr="0064357E">
              <w:t>Chapter 9, Section C, Topic</w:t>
            </w:r>
            <w:r w:rsidR="0015001B" w:rsidRPr="0064357E">
              <w:t xml:space="preserve"> </w:t>
            </w:r>
            <w:r w:rsidR="00BF64F7" w:rsidRPr="0064357E">
              <w:t>5</w:t>
            </w:r>
            <w:r w:rsidRPr="0064357E">
              <w:t>.</w:t>
            </w:r>
          </w:p>
        </w:tc>
      </w:tr>
    </w:tbl>
    <w:p w14:paraId="5879C862" w14:textId="480CCF2A" w:rsidR="00BF01A1" w:rsidRPr="0064357E" w:rsidRDefault="00BF01A1" w:rsidP="00BF01A1">
      <w:pPr>
        <w:pStyle w:val="BlockLine"/>
      </w:pPr>
    </w:p>
    <w:tbl>
      <w:tblPr>
        <w:tblW w:w="0" w:type="auto"/>
        <w:tblLayout w:type="fixed"/>
        <w:tblLook w:val="0000" w:firstRow="0" w:lastRow="0" w:firstColumn="0" w:lastColumn="0" w:noHBand="0" w:noVBand="0"/>
      </w:tblPr>
      <w:tblGrid>
        <w:gridCol w:w="1708"/>
        <w:gridCol w:w="7652"/>
      </w:tblGrid>
      <w:tr w:rsidR="00FF6D0E" w:rsidRPr="0064357E" w14:paraId="329FA867" w14:textId="77777777" w:rsidTr="00827000">
        <w:trPr>
          <w:cantSplit/>
        </w:trPr>
        <w:tc>
          <w:tcPr>
            <w:tcW w:w="1708" w:type="dxa"/>
          </w:tcPr>
          <w:p w14:paraId="329FA865" w14:textId="77777777" w:rsidR="00FF6D0E" w:rsidRPr="0064357E" w:rsidRDefault="00FF6D0E">
            <w:pPr>
              <w:pStyle w:val="Heading5"/>
            </w:pPr>
            <w:proofErr w:type="gramStart"/>
            <w:r w:rsidRPr="0064357E">
              <w:t>c.  Referral</w:t>
            </w:r>
            <w:proofErr w:type="gramEnd"/>
            <w:r w:rsidRPr="0064357E">
              <w:t xml:space="preserve"> of IU Cases to Rating Activity</w:t>
            </w:r>
          </w:p>
        </w:tc>
        <w:tc>
          <w:tcPr>
            <w:tcW w:w="7652" w:type="dxa"/>
          </w:tcPr>
          <w:p w14:paraId="329FA866" w14:textId="77777777" w:rsidR="00FF6D0E" w:rsidRPr="0064357E" w:rsidRDefault="00FF6D0E">
            <w:pPr>
              <w:pStyle w:val="BlockText"/>
            </w:pPr>
            <w:r w:rsidRPr="0064357E">
              <w:t xml:space="preserve">When verification is received, or after 60 days if no response from payer or veteran, </w:t>
            </w:r>
            <w:proofErr w:type="gramStart"/>
            <w:r w:rsidRPr="0064357E">
              <w:t>refer</w:t>
            </w:r>
            <w:proofErr w:type="gramEnd"/>
            <w:r w:rsidRPr="0064357E">
              <w:t xml:space="preserve"> the IU case to the rating activity at the RO of jurisdiction to determine the need for a physical examination.</w:t>
            </w:r>
          </w:p>
        </w:tc>
      </w:tr>
    </w:tbl>
    <w:p w14:paraId="4BA0A11F" w14:textId="6D7B589A" w:rsidR="00BF01A1" w:rsidRPr="0064357E" w:rsidRDefault="00BF01A1" w:rsidP="00BF01A1">
      <w:pPr>
        <w:pStyle w:val="BlockLine"/>
      </w:pPr>
    </w:p>
    <w:tbl>
      <w:tblPr>
        <w:tblW w:w="0" w:type="auto"/>
        <w:tblLayout w:type="fixed"/>
        <w:tblLook w:val="0000" w:firstRow="0" w:lastRow="0" w:firstColumn="0" w:lastColumn="0" w:noHBand="0" w:noVBand="0"/>
      </w:tblPr>
      <w:tblGrid>
        <w:gridCol w:w="1708"/>
        <w:gridCol w:w="7652"/>
      </w:tblGrid>
      <w:tr w:rsidR="00FF6D0E" w:rsidRPr="0064357E" w14:paraId="329FA86B" w14:textId="77777777" w:rsidTr="00827000">
        <w:trPr>
          <w:cantSplit/>
        </w:trPr>
        <w:tc>
          <w:tcPr>
            <w:tcW w:w="1708" w:type="dxa"/>
          </w:tcPr>
          <w:p w14:paraId="329FA869" w14:textId="77777777" w:rsidR="00FF6D0E" w:rsidRPr="0064357E" w:rsidRDefault="00FF6D0E">
            <w:pPr>
              <w:pStyle w:val="Heading5"/>
            </w:pPr>
            <w:r w:rsidRPr="0064357E">
              <w:t>d.  Determining the Need for an Examination in IU Cases</w:t>
            </w:r>
          </w:p>
        </w:tc>
        <w:tc>
          <w:tcPr>
            <w:tcW w:w="7652" w:type="dxa"/>
          </w:tcPr>
          <w:p w14:paraId="329FA86A" w14:textId="77777777" w:rsidR="00FF6D0E" w:rsidRPr="0064357E" w:rsidRDefault="00FF6D0E">
            <w:pPr>
              <w:pStyle w:val="BlockText"/>
            </w:pPr>
            <w:r w:rsidRPr="0064357E">
              <w:t xml:space="preserve">To determine the need for an examination in an IU case, the rating activity shall review the information submitted by the veteran and/or the veteran's employer.  If past employment questionnaires, </w:t>
            </w:r>
            <w:r w:rsidRPr="0064357E">
              <w:rPr>
                <w:i/>
              </w:rPr>
              <w:t>VA Form 21-4140</w:t>
            </w:r>
            <w:r w:rsidRPr="0064357E">
              <w:t xml:space="preserve">, </w:t>
            </w:r>
            <w:proofErr w:type="gramStart"/>
            <w:r w:rsidRPr="0064357E">
              <w:t>indicate</w:t>
            </w:r>
            <w:proofErr w:type="gramEnd"/>
            <w:r w:rsidRPr="0064357E">
              <w:t xml:space="preserve"> the veteran reported the earnings and VA failed to take action, it is an administrative error.</w:t>
            </w:r>
          </w:p>
        </w:tc>
      </w:tr>
    </w:tbl>
    <w:p w14:paraId="5A9B5D0E" w14:textId="77777777" w:rsidR="00BF01A1" w:rsidRPr="0064357E" w:rsidRDefault="00BF01A1" w:rsidP="00BF01A1">
      <w:pPr>
        <w:pStyle w:val="Block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740"/>
      </w:tblGrid>
      <w:tr w:rsidR="00BF692F" w:rsidRPr="0064357E" w14:paraId="01EC91D2" w14:textId="77777777" w:rsidTr="00877905">
        <w:tc>
          <w:tcPr>
            <w:tcW w:w="1728" w:type="dxa"/>
            <w:shd w:val="clear" w:color="auto" w:fill="auto"/>
          </w:tcPr>
          <w:p w14:paraId="2B7DE990" w14:textId="6BA2E760" w:rsidR="00BF692F" w:rsidRPr="0064357E" w:rsidRDefault="00BF692F">
            <w:pPr>
              <w:rPr>
                <w:b/>
                <w:sz w:val="22"/>
              </w:rPr>
            </w:pPr>
            <w:r w:rsidRPr="0064357E">
              <w:rPr>
                <w:b/>
                <w:sz w:val="22"/>
              </w:rPr>
              <w:t>e.  Rating Proposal to Reduce Benefits in IU cases</w:t>
            </w:r>
          </w:p>
        </w:tc>
        <w:tc>
          <w:tcPr>
            <w:tcW w:w="7740" w:type="dxa"/>
            <w:shd w:val="clear" w:color="auto" w:fill="auto"/>
          </w:tcPr>
          <w:p w14:paraId="20983273" w14:textId="18F0BAFB" w:rsidR="00BF692F" w:rsidRPr="0064357E" w:rsidRDefault="00BF692F">
            <w:pPr>
              <w:pStyle w:val="BlockText"/>
            </w:pPr>
            <w:r w:rsidRPr="0064357E">
              <w:t xml:space="preserve">After all evidence has been reviewed, the rating activity shall prepare a rating proposing to reduce benefits and refer the IU case to the authorization activity.  If the rating activity proposes to reduce benefits, follow the provisions of </w:t>
            </w:r>
            <w:hyperlink r:id="rId18" w:history="1">
              <w:r w:rsidR="00BF64F7" w:rsidRPr="0064357E">
                <w:rPr>
                  <w:rStyle w:val="Hyperlink"/>
                  <w:sz w:val="24"/>
                </w:rPr>
                <w:t>M21-1, Part I, 2.B</w:t>
              </w:r>
            </w:hyperlink>
            <w:r w:rsidRPr="0064357E">
              <w:t>.</w:t>
            </w:r>
          </w:p>
          <w:p w14:paraId="09D42745" w14:textId="77777777" w:rsidR="00BF692F" w:rsidRPr="0064357E" w:rsidRDefault="00BF692F"/>
          <w:p w14:paraId="1876000C" w14:textId="2DE60A15" w:rsidR="00BF692F" w:rsidRPr="0064357E" w:rsidRDefault="00BF692F">
            <w:r w:rsidRPr="0064357E">
              <w:rPr>
                <w:b/>
                <w:i/>
              </w:rPr>
              <w:t xml:space="preserve">Reference:  </w:t>
            </w:r>
            <w:r w:rsidRPr="0064357E">
              <w:t xml:space="preserve">For more information on handling fraud, see </w:t>
            </w:r>
            <w:hyperlink r:id="rId19" w:history="1">
              <w:r w:rsidR="00BF64F7" w:rsidRPr="0064357E">
                <w:rPr>
                  <w:rStyle w:val="Hyperlink"/>
                  <w:sz w:val="24"/>
                </w:rPr>
                <w:t>M21-1, Part III, Subpart vi, 5.A</w:t>
              </w:r>
            </w:hyperlink>
            <w:r w:rsidRPr="0064357E">
              <w:t>.</w:t>
            </w:r>
          </w:p>
        </w:tc>
      </w:tr>
    </w:tbl>
    <w:p w14:paraId="0300D746" w14:textId="77777777" w:rsidR="00BF01A1" w:rsidRPr="0064357E" w:rsidRDefault="00BF01A1" w:rsidP="00BF01A1">
      <w:pPr>
        <w:pStyle w:val="BlockLine"/>
      </w:pPr>
    </w:p>
    <w:tbl>
      <w:tblPr>
        <w:tblW w:w="0" w:type="auto"/>
        <w:tblLayout w:type="fixed"/>
        <w:tblLook w:val="0000" w:firstRow="0" w:lastRow="0" w:firstColumn="0" w:lastColumn="0" w:noHBand="0" w:noVBand="0"/>
      </w:tblPr>
      <w:tblGrid>
        <w:gridCol w:w="1708"/>
        <w:gridCol w:w="7652"/>
      </w:tblGrid>
      <w:tr w:rsidR="00FF6D0E" w:rsidRPr="0064357E" w14:paraId="329FA877" w14:textId="77777777" w:rsidTr="00827000">
        <w:trPr>
          <w:cantSplit/>
        </w:trPr>
        <w:tc>
          <w:tcPr>
            <w:tcW w:w="1708" w:type="dxa"/>
          </w:tcPr>
          <w:p w14:paraId="329FA873" w14:textId="77777777" w:rsidR="00FF6D0E" w:rsidRPr="0064357E" w:rsidRDefault="00FF6D0E">
            <w:pPr>
              <w:pStyle w:val="Heading5"/>
            </w:pPr>
            <w:r w:rsidRPr="0064357E">
              <w:t>f.  Considering Protected SC Evaluations in IU Cases</w:t>
            </w:r>
          </w:p>
        </w:tc>
        <w:tc>
          <w:tcPr>
            <w:tcW w:w="7652" w:type="dxa"/>
          </w:tcPr>
          <w:p w14:paraId="329FA874" w14:textId="77777777" w:rsidR="00FF6D0E" w:rsidRPr="0064357E" w:rsidRDefault="00FF6D0E">
            <w:pPr>
              <w:pStyle w:val="BlockText"/>
            </w:pPr>
            <w:r w:rsidRPr="0064357E">
              <w:t>Use the table below to determine when service-connected (SC) evaluations are protected in IU cases.</w:t>
            </w:r>
          </w:p>
          <w:p w14:paraId="329FA875" w14:textId="77777777" w:rsidR="00FF6D0E" w:rsidRPr="0064357E" w:rsidRDefault="00FF6D0E">
            <w:pPr>
              <w:pStyle w:val="BlockText"/>
            </w:pPr>
          </w:p>
          <w:p w14:paraId="329FA876" w14:textId="2F833AFB" w:rsidR="00FF6D0E" w:rsidRPr="0064357E" w:rsidRDefault="00FF6D0E">
            <w:pPr>
              <w:pStyle w:val="BlockText"/>
            </w:pPr>
            <w:r w:rsidRPr="0064357E">
              <w:rPr>
                <w:b/>
                <w:bCs/>
                <w:i/>
              </w:rPr>
              <w:t>Reference</w:t>
            </w:r>
            <w:r w:rsidRPr="0064357E">
              <w:t xml:space="preserve">:  For more information on protected evaluations, see </w:t>
            </w:r>
            <w:hyperlink r:id="rId20" w:history="1">
              <w:r w:rsidR="00877905" w:rsidRPr="0064357E">
                <w:rPr>
                  <w:rStyle w:val="Hyperlink"/>
                  <w:sz w:val="24"/>
                </w:rPr>
                <w:t>38 CFR 3.951</w:t>
              </w:r>
            </w:hyperlink>
            <w:r w:rsidRPr="0064357E">
              <w:t>.</w:t>
            </w:r>
          </w:p>
        </w:tc>
      </w:tr>
    </w:tbl>
    <w:p w14:paraId="7C3C8686" w14:textId="77777777" w:rsidR="00BF692F" w:rsidRPr="0064357E" w:rsidRDefault="00BF692F"/>
    <w:tbl>
      <w:tblPr>
        <w:tblW w:w="7596" w:type="dxa"/>
        <w:tblInd w:w="1872" w:type="dxa"/>
        <w:tblLayout w:type="fixed"/>
        <w:tblCellMar>
          <w:left w:w="80" w:type="dxa"/>
          <w:right w:w="80" w:type="dxa"/>
        </w:tblCellMar>
        <w:tblLook w:val="0000" w:firstRow="0" w:lastRow="0" w:firstColumn="0" w:lastColumn="0" w:noHBand="0" w:noVBand="0"/>
      </w:tblPr>
      <w:tblGrid>
        <w:gridCol w:w="2884"/>
        <w:gridCol w:w="4712"/>
      </w:tblGrid>
      <w:tr w:rsidR="00FF6D0E" w:rsidRPr="0064357E" w14:paraId="329FA87B" w14:textId="77777777" w:rsidTr="00BB6A41">
        <w:trPr>
          <w:cantSplit/>
        </w:trPr>
        <w:tc>
          <w:tcPr>
            <w:tcW w:w="2884" w:type="dxa"/>
            <w:tcBorders>
              <w:top w:val="single" w:sz="6" w:space="0" w:color="auto"/>
              <w:left w:val="single" w:sz="6" w:space="0" w:color="auto"/>
              <w:bottom w:val="single" w:sz="6" w:space="0" w:color="auto"/>
              <w:right w:val="single" w:sz="6" w:space="0" w:color="auto"/>
            </w:tcBorders>
          </w:tcPr>
          <w:p w14:paraId="329FA879" w14:textId="77777777" w:rsidR="00FF6D0E" w:rsidRPr="0064357E" w:rsidRDefault="00FF6D0E">
            <w:pPr>
              <w:pStyle w:val="TableHeaderText"/>
              <w:jc w:val="left"/>
            </w:pPr>
            <w:r w:rsidRPr="0064357E">
              <w:t>If earnings began …</w:t>
            </w:r>
          </w:p>
        </w:tc>
        <w:tc>
          <w:tcPr>
            <w:tcW w:w="4712" w:type="dxa"/>
            <w:tcBorders>
              <w:top w:val="single" w:sz="6" w:space="0" w:color="auto"/>
              <w:left w:val="single" w:sz="6" w:space="0" w:color="auto"/>
              <w:bottom w:val="single" w:sz="6" w:space="0" w:color="auto"/>
              <w:right w:val="single" w:sz="6" w:space="0" w:color="auto"/>
            </w:tcBorders>
          </w:tcPr>
          <w:p w14:paraId="329FA87A" w14:textId="77777777" w:rsidR="00FF6D0E" w:rsidRPr="0064357E" w:rsidRDefault="00FF6D0E">
            <w:pPr>
              <w:pStyle w:val="TableHeaderText"/>
              <w:jc w:val="left"/>
            </w:pPr>
            <w:r w:rsidRPr="0064357E">
              <w:t>Then …</w:t>
            </w:r>
          </w:p>
        </w:tc>
      </w:tr>
      <w:tr w:rsidR="00FF6D0E" w:rsidRPr="0064357E" w14:paraId="329FA87E" w14:textId="77777777" w:rsidTr="00BB6A41">
        <w:trPr>
          <w:cantSplit/>
        </w:trPr>
        <w:tc>
          <w:tcPr>
            <w:tcW w:w="2884" w:type="dxa"/>
            <w:tcBorders>
              <w:top w:val="single" w:sz="6" w:space="0" w:color="auto"/>
              <w:left w:val="single" w:sz="6" w:space="0" w:color="auto"/>
              <w:bottom w:val="single" w:sz="6" w:space="0" w:color="auto"/>
              <w:right w:val="single" w:sz="6" w:space="0" w:color="auto"/>
            </w:tcBorders>
          </w:tcPr>
          <w:p w14:paraId="329FA87C" w14:textId="77777777" w:rsidR="00FF6D0E" w:rsidRPr="0064357E" w:rsidRDefault="00FF6D0E">
            <w:pPr>
              <w:pStyle w:val="TableText"/>
            </w:pPr>
            <w:r w:rsidRPr="0064357E">
              <w:t>after protection</w:t>
            </w:r>
          </w:p>
        </w:tc>
        <w:tc>
          <w:tcPr>
            <w:tcW w:w="4712" w:type="dxa"/>
            <w:tcBorders>
              <w:top w:val="single" w:sz="6" w:space="0" w:color="auto"/>
              <w:left w:val="single" w:sz="6" w:space="0" w:color="auto"/>
              <w:bottom w:val="single" w:sz="6" w:space="0" w:color="auto"/>
              <w:right w:val="single" w:sz="6" w:space="0" w:color="auto"/>
            </w:tcBorders>
          </w:tcPr>
          <w:p w14:paraId="329FA87D" w14:textId="77777777" w:rsidR="00FF6D0E" w:rsidRPr="0064357E" w:rsidRDefault="00FF6D0E">
            <w:pPr>
              <w:pStyle w:val="TableText"/>
            </w:pPr>
            <w:r w:rsidRPr="0064357E">
              <w:t>take no further action.</w:t>
            </w:r>
          </w:p>
        </w:tc>
      </w:tr>
      <w:tr w:rsidR="00FF6D0E" w:rsidRPr="0064357E" w14:paraId="329FA883" w14:textId="77777777" w:rsidTr="00BB6A41">
        <w:trPr>
          <w:cantSplit/>
        </w:trPr>
        <w:tc>
          <w:tcPr>
            <w:tcW w:w="2884" w:type="dxa"/>
            <w:tcBorders>
              <w:top w:val="single" w:sz="6" w:space="0" w:color="auto"/>
              <w:left w:val="single" w:sz="6" w:space="0" w:color="auto"/>
              <w:bottom w:val="single" w:sz="6" w:space="0" w:color="auto"/>
              <w:right w:val="single" w:sz="6" w:space="0" w:color="auto"/>
            </w:tcBorders>
          </w:tcPr>
          <w:p w14:paraId="329FA87F" w14:textId="77777777" w:rsidR="00FF6D0E" w:rsidRPr="0064357E" w:rsidRDefault="00FF6D0E">
            <w:pPr>
              <w:pStyle w:val="TableText"/>
            </w:pPr>
            <w:r w:rsidRPr="0064357E">
              <w:t>before protection</w:t>
            </w:r>
          </w:p>
        </w:tc>
        <w:tc>
          <w:tcPr>
            <w:tcW w:w="4712" w:type="dxa"/>
            <w:tcBorders>
              <w:top w:val="single" w:sz="6" w:space="0" w:color="auto"/>
              <w:left w:val="single" w:sz="6" w:space="0" w:color="auto"/>
              <w:bottom w:val="single" w:sz="6" w:space="0" w:color="auto"/>
              <w:right w:val="single" w:sz="6" w:space="0" w:color="auto"/>
            </w:tcBorders>
          </w:tcPr>
          <w:p w14:paraId="329FA880" w14:textId="77777777" w:rsidR="00FF6D0E" w:rsidRPr="0064357E" w:rsidRDefault="00FF6D0E">
            <w:pPr>
              <w:pStyle w:val="TableText"/>
            </w:pPr>
            <w:r w:rsidRPr="0064357E">
              <w:t>complete development is required because benefits are subject to reduction if continuation of the rating is based on fraud or sustained improvement in the SC disability.</w:t>
            </w:r>
          </w:p>
          <w:p w14:paraId="329FA881" w14:textId="77777777" w:rsidR="00FF6D0E" w:rsidRPr="0064357E" w:rsidRDefault="00FF6D0E">
            <w:pPr>
              <w:pStyle w:val="TableText"/>
            </w:pPr>
          </w:p>
          <w:p w14:paraId="329FA882" w14:textId="6109E2EF" w:rsidR="00FF6D0E" w:rsidRPr="0064357E" w:rsidRDefault="00FF6D0E">
            <w:pPr>
              <w:pStyle w:val="TableText"/>
            </w:pPr>
            <w:r w:rsidRPr="0064357E">
              <w:rPr>
                <w:b/>
                <w:i/>
              </w:rPr>
              <w:t>Reference</w:t>
            </w:r>
            <w:r w:rsidRPr="0064357E">
              <w:t xml:space="preserve">:  For more information on fraud, see </w:t>
            </w:r>
            <w:hyperlink r:id="rId21" w:history="1">
              <w:r w:rsidR="00F60190" w:rsidRPr="0064357E">
                <w:rPr>
                  <w:rStyle w:val="Hyperlink"/>
                  <w:sz w:val="24"/>
                </w:rPr>
                <w:t>38 CFR 3.1(aa)(2)</w:t>
              </w:r>
            </w:hyperlink>
            <w:r w:rsidR="00F60190" w:rsidRPr="0064357E">
              <w:t>.</w:t>
            </w:r>
          </w:p>
        </w:tc>
      </w:tr>
    </w:tbl>
    <w:p w14:paraId="329FA888" w14:textId="1FEF66B0" w:rsidR="008D167F" w:rsidRPr="0064357E" w:rsidRDefault="00BF01A1" w:rsidP="00BB6A41">
      <w:pPr>
        <w:pStyle w:val="BlockLine"/>
        <w:rPr>
          <w:szCs w:val="24"/>
        </w:rPr>
      </w:pPr>
      <w:r w:rsidRPr="0064357E">
        <w:t xml:space="preserve"> </w:t>
      </w:r>
    </w:p>
    <w:tbl>
      <w:tblPr>
        <w:tblW w:w="0" w:type="auto"/>
        <w:tblLayout w:type="fixed"/>
        <w:tblLook w:val="0000" w:firstRow="0" w:lastRow="0" w:firstColumn="0" w:lastColumn="0" w:noHBand="0" w:noVBand="0"/>
      </w:tblPr>
      <w:tblGrid>
        <w:gridCol w:w="1708"/>
        <w:gridCol w:w="7652"/>
      </w:tblGrid>
      <w:tr w:rsidR="008D167F" w:rsidRPr="0064357E" w14:paraId="329FA88B" w14:textId="77777777" w:rsidTr="00827000">
        <w:trPr>
          <w:cantSplit/>
        </w:trPr>
        <w:tc>
          <w:tcPr>
            <w:tcW w:w="1708" w:type="dxa"/>
          </w:tcPr>
          <w:p w14:paraId="329FA889" w14:textId="77777777" w:rsidR="008D167F" w:rsidRPr="0064357E" w:rsidRDefault="008D167F">
            <w:pPr>
              <w:pStyle w:val="Heading5"/>
            </w:pPr>
            <w:proofErr w:type="gramStart"/>
            <w:r w:rsidRPr="0064357E">
              <w:t>g.  Referral</w:t>
            </w:r>
            <w:proofErr w:type="gramEnd"/>
            <w:r w:rsidRPr="0064357E">
              <w:t xml:space="preserve"> of a Pension Case for PT Determination </w:t>
            </w:r>
          </w:p>
        </w:tc>
        <w:tc>
          <w:tcPr>
            <w:tcW w:w="7652" w:type="dxa"/>
          </w:tcPr>
          <w:p w14:paraId="538C366D" w14:textId="77777777" w:rsidR="008D167F" w:rsidRPr="0064357E" w:rsidRDefault="008D167F">
            <w:pPr>
              <w:pStyle w:val="BlockText"/>
            </w:pPr>
            <w:r w:rsidRPr="0064357E">
              <w:t>PMC employees have the discretion to decide whether or not to refer a pension case, in which earned income is established, to the rating activity for a determination of continued permanent and total (PT) disability status.</w:t>
            </w:r>
          </w:p>
          <w:p w14:paraId="4510D5E7" w14:textId="77777777" w:rsidR="00CC704B" w:rsidRPr="0064357E" w:rsidRDefault="00CC704B">
            <w:pPr>
              <w:pStyle w:val="BlockText"/>
            </w:pPr>
          </w:p>
          <w:p w14:paraId="329FA88A" w14:textId="050310A8" w:rsidR="00CC704B" w:rsidRPr="0064357E" w:rsidRDefault="00CC704B">
            <w:pPr>
              <w:pStyle w:val="BlockText"/>
            </w:pPr>
            <w:r w:rsidRPr="0064357E">
              <w:rPr>
                <w:b/>
                <w:i/>
              </w:rPr>
              <w:t xml:space="preserve">Note:  </w:t>
            </w:r>
            <w:r w:rsidRPr="0064357E">
              <w:t>Do not refer a Pension case for PT determination if pension can be granted on a presumptive basis for the applicable period in question.</w:t>
            </w:r>
          </w:p>
        </w:tc>
      </w:tr>
    </w:tbl>
    <w:p w14:paraId="2B1FDB50" w14:textId="77777777" w:rsidR="00BF01A1" w:rsidRPr="0064357E" w:rsidRDefault="00BF01A1" w:rsidP="00BF01A1">
      <w:pPr>
        <w:pStyle w:val="BlockLine"/>
      </w:pPr>
    </w:p>
    <w:p w14:paraId="424F32EC" w14:textId="0EC16A7E" w:rsidR="00BF692F" w:rsidRPr="0064357E" w:rsidRDefault="00BF692F"/>
    <w:tbl>
      <w:tblPr>
        <w:tblW w:w="0" w:type="auto"/>
        <w:tblLayout w:type="fixed"/>
        <w:tblLook w:val="0000" w:firstRow="0" w:lastRow="0" w:firstColumn="0" w:lastColumn="0" w:noHBand="0" w:noVBand="0"/>
      </w:tblPr>
      <w:tblGrid>
        <w:gridCol w:w="1708"/>
        <w:gridCol w:w="7652"/>
      </w:tblGrid>
      <w:tr w:rsidR="008D167F" w:rsidRPr="0064357E" w14:paraId="329FA88F" w14:textId="77777777" w:rsidTr="00827000">
        <w:trPr>
          <w:cantSplit/>
        </w:trPr>
        <w:tc>
          <w:tcPr>
            <w:tcW w:w="1708" w:type="dxa"/>
          </w:tcPr>
          <w:p w14:paraId="329FA88D" w14:textId="77777777" w:rsidR="008D167F" w:rsidRPr="0064357E" w:rsidRDefault="008D167F">
            <w:pPr>
              <w:pStyle w:val="Heading5"/>
            </w:pPr>
            <w:r w:rsidRPr="0064357E">
              <w:t>h.  Pension Terminated Without Referral to the Rating Activity</w:t>
            </w:r>
          </w:p>
        </w:tc>
        <w:tc>
          <w:tcPr>
            <w:tcW w:w="7652" w:type="dxa"/>
          </w:tcPr>
          <w:p w14:paraId="61A2AB2F" w14:textId="77777777" w:rsidR="008D167F" w:rsidRPr="0064357E" w:rsidRDefault="008D167F">
            <w:pPr>
              <w:pStyle w:val="BlockText"/>
            </w:pPr>
            <w:r w:rsidRPr="0064357E">
              <w:t>If pension is terminated for earned income and the case is not referred to the rating activity, flash the claims folder for referral in case the veteran files a reopened claim.</w:t>
            </w:r>
          </w:p>
          <w:p w14:paraId="388E2615" w14:textId="77777777" w:rsidR="00CC704B" w:rsidRPr="0064357E" w:rsidRDefault="00CC704B">
            <w:pPr>
              <w:pStyle w:val="BlockText"/>
            </w:pPr>
          </w:p>
          <w:p w14:paraId="329FA88E" w14:textId="20984701" w:rsidR="00CC704B" w:rsidRPr="0064357E" w:rsidRDefault="00CC704B">
            <w:pPr>
              <w:pStyle w:val="BlockText"/>
            </w:pPr>
            <w:r w:rsidRPr="0064357E">
              <w:rPr>
                <w:b/>
                <w:i/>
              </w:rPr>
              <w:t xml:space="preserve">Note:  </w:t>
            </w:r>
            <w:r w:rsidRPr="0064357E">
              <w:t>Do not flash the claims folder for referral if pension can be granted on a presumptive basis for the applicable period in question.</w:t>
            </w:r>
          </w:p>
        </w:tc>
      </w:tr>
    </w:tbl>
    <w:p w14:paraId="47BA67BF" w14:textId="77777777" w:rsidR="00531AF6" w:rsidRPr="0064357E" w:rsidRDefault="00531AF6"/>
    <w:p w14:paraId="552AF529" w14:textId="77777777" w:rsidR="00531AF6" w:rsidRPr="0064357E" w:rsidRDefault="00531AF6"/>
    <w:p w14:paraId="6C0BF983" w14:textId="77777777" w:rsidR="00531AF6" w:rsidRPr="0064357E" w:rsidRDefault="00531AF6"/>
    <w:p w14:paraId="22700BB4" w14:textId="77777777" w:rsidR="00531AF6" w:rsidRPr="0064357E" w:rsidRDefault="00531AF6"/>
    <w:p w14:paraId="3F7DCEA2" w14:textId="77777777" w:rsidR="00531AF6" w:rsidRPr="0064357E" w:rsidRDefault="00531AF6"/>
    <w:p w14:paraId="31E3CFAC" w14:textId="77777777" w:rsidR="00531AF6" w:rsidRPr="0064357E" w:rsidRDefault="00531AF6"/>
    <w:p w14:paraId="09F418CE" w14:textId="77777777" w:rsidR="00D45EDE" w:rsidRPr="0064357E" w:rsidRDefault="00D45EDE">
      <w:pPr>
        <w:spacing w:after="200" w:line="276" w:lineRule="auto"/>
        <w:rPr>
          <w:rFonts w:ascii="Arial" w:hAnsi="Arial"/>
          <w:b/>
          <w:sz w:val="32"/>
          <w:szCs w:val="20"/>
        </w:rPr>
      </w:pPr>
      <w:r w:rsidRPr="0064357E">
        <w:br w:type="page"/>
      </w:r>
    </w:p>
    <w:p w14:paraId="1B1DA065" w14:textId="2A57EB8C" w:rsidR="00531AF6" w:rsidRPr="0064357E" w:rsidRDefault="004E1AA5" w:rsidP="00BB6A41">
      <w:pPr>
        <w:pStyle w:val="Heading4"/>
        <w:spacing w:after="0"/>
      </w:pPr>
      <w:r w:rsidRPr="0064357E">
        <w:t>16</w:t>
      </w:r>
      <w:r w:rsidR="00531AF6" w:rsidRPr="0064357E">
        <w:t>.  Sample IVM Sheet</w:t>
      </w:r>
    </w:p>
    <w:p w14:paraId="36B7A828" w14:textId="77777777" w:rsidR="00363B02" w:rsidRPr="0064357E" w:rsidRDefault="00363B02" w:rsidP="00BB6A41"/>
    <w:p w14:paraId="5A9EF39E" w14:textId="2112D29F" w:rsidR="00531AF6" w:rsidRPr="0064357E" w:rsidRDefault="00531AF6" w:rsidP="00BB6A41">
      <w:pPr>
        <w:pStyle w:val="BlockLine"/>
        <w:spacing w:before="0"/>
      </w:pPr>
      <w:r w:rsidRPr="0064357E">
        <w:fldChar w:fldCharType="begin"/>
      </w:r>
      <w:r w:rsidRPr="0064357E">
        <w:instrText xml:space="preserve"> PRIVATE INFOTYPE="OTHER" </w:instrText>
      </w:r>
      <w:r w:rsidRPr="0064357E">
        <w:fldChar w:fldCharType="end"/>
      </w:r>
      <w:r w:rsidRPr="0064357E">
        <w:t xml:space="preserve"> </w:t>
      </w:r>
    </w:p>
    <w:tbl>
      <w:tblPr>
        <w:tblW w:w="0" w:type="auto"/>
        <w:tblLayout w:type="fixed"/>
        <w:tblLook w:val="0000" w:firstRow="0" w:lastRow="0" w:firstColumn="0" w:lastColumn="0" w:noHBand="0" w:noVBand="0"/>
      </w:tblPr>
      <w:tblGrid>
        <w:gridCol w:w="1708"/>
        <w:gridCol w:w="7652"/>
      </w:tblGrid>
      <w:tr w:rsidR="00531AF6" w:rsidRPr="0064357E" w14:paraId="44E7FB8C" w14:textId="77777777" w:rsidTr="008F51D7">
        <w:trPr>
          <w:cantSplit/>
        </w:trPr>
        <w:tc>
          <w:tcPr>
            <w:tcW w:w="1708" w:type="dxa"/>
          </w:tcPr>
          <w:p w14:paraId="1EF4E5B1" w14:textId="77777777" w:rsidR="00531AF6" w:rsidRPr="0064357E" w:rsidRDefault="00531AF6">
            <w:pPr>
              <w:pStyle w:val="Heading5"/>
            </w:pPr>
            <w:r w:rsidRPr="0064357E">
              <w:t>Introduction</w:t>
            </w:r>
          </w:p>
        </w:tc>
        <w:tc>
          <w:tcPr>
            <w:tcW w:w="7652" w:type="dxa"/>
          </w:tcPr>
          <w:p w14:paraId="341C835B" w14:textId="77777777" w:rsidR="00531AF6" w:rsidRPr="0064357E" w:rsidRDefault="00531AF6">
            <w:pPr>
              <w:pStyle w:val="BlockText"/>
            </w:pPr>
            <w:r w:rsidRPr="0064357E">
              <w:t>This topic contains a sample IVM sheet.</w:t>
            </w:r>
          </w:p>
        </w:tc>
      </w:tr>
      <w:tr w:rsidR="00531AF6" w:rsidRPr="0064357E" w14:paraId="575CAC8C" w14:textId="77777777" w:rsidTr="008F51D7">
        <w:trPr>
          <w:cantSplit/>
        </w:trPr>
        <w:tc>
          <w:tcPr>
            <w:tcW w:w="1708" w:type="dxa"/>
          </w:tcPr>
          <w:p w14:paraId="1DF28BFF" w14:textId="1B2AF6AD" w:rsidR="00531AF6" w:rsidRPr="0064357E" w:rsidRDefault="00531AF6">
            <w:pPr>
              <w:pStyle w:val="Heading5"/>
            </w:pPr>
          </w:p>
        </w:tc>
        <w:tc>
          <w:tcPr>
            <w:tcW w:w="7652" w:type="dxa"/>
          </w:tcPr>
          <w:p w14:paraId="7CF17D31" w14:textId="61EBC0F8" w:rsidR="00531AF6" w:rsidRPr="0064357E" w:rsidRDefault="00531AF6">
            <w:pPr>
              <w:pStyle w:val="BlockText"/>
            </w:pPr>
          </w:p>
        </w:tc>
      </w:tr>
    </w:tbl>
    <w:p w14:paraId="00E5D63C" w14:textId="77777777" w:rsidR="00BF01A1" w:rsidRPr="0064357E" w:rsidRDefault="00BF01A1" w:rsidP="00BF01A1">
      <w:pPr>
        <w:pStyle w:val="BlockLine"/>
        <w:spacing w:before="0"/>
      </w:pPr>
    </w:p>
    <w:tbl>
      <w:tblPr>
        <w:tblW w:w="0" w:type="auto"/>
        <w:tblLayout w:type="fixed"/>
        <w:tblLook w:val="0000" w:firstRow="0" w:lastRow="0" w:firstColumn="0" w:lastColumn="0" w:noHBand="0" w:noVBand="0"/>
      </w:tblPr>
      <w:tblGrid>
        <w:gridCol w:w="1728"/>
        <w:gridCol w:w="7740"/>
      </w:tblGrid>
      <w:tr w:rsidR="00BF01A1" w:rsidRPr="0064357E" w14:paraId="5E25AFAC" w14:textId="77777777" w:rsidTr="00FA4A62">
        <w:trPr>
          <w:cantSplit/>
        </w:trPr>
        <w:tc>
          <w:tcPr>
            <w:tcW w:w="1728" w:type="dxa"/>
          </w:tcPr>
          <w:p w14:paraId="0C5867B5" w14:textId="77777777" w:rsidR="00BF01A1" w:rsidRPr="0064357E" w:rsidRDefault="00BF01A1" w:rsidP="00FA4A62">
            <w:pPr>
              <w:pStyle w:val="Heading5"/>
            </w:pPr>
            <w:r w:rsidRPr="0064357E">
              <w:t>Change Date</w:t>
            </w:r>
          </w:p>
        </w:tc>
        <w:tc>
          <w:tcPr>
            <w:tcW w:w="7740" w:type="dxa"/>
          </w:tcPr>
          <w:p w14:paraId="368F4F2A" w14:textId="50F0B9AC" w:rsidR="00BF01A1" w:rsidRPr="0064357E" w:rsidRDefault="0064357E" w:rsidP="0064357E">
            <w:pPr>
              <w:tabs>
                <w:tab w:val="left" w:pos="9360"/>
              </w:tabs>
              <w:ind w:left="-18"/>
            </w:pPr>
            <w:r>
              <w:t>March 30, 2015</w:t>
            </w:r>
            <w:bookmarkStart w:id="7" w:name="_GoBack"/>
            <w:bookmarkEnd w:id="7"/>
          </w:p>
          <w:p w14:paraId="32DCDD61" w14:textId="77777777" w:rsidR="00BF01A1" w:rsidRPr="0064357E" w:rsidRDefault="00BF01A1" w:rsidP="00FA4A62">
            <w:pPr>
              <w:pStyle w:val="BlockText"/>
            </w:pPr>
          </w:p>
        </w:tc>
      </w:tr>
    </w:tbl>
    <w:p w14:paraId="66D146BA" w14:textId="77777777" w:rsidR="00BF01A1" w:rsidRPr="0064357E" w:rsidRDefault="00BF01A1" w:rsidP="00BF01A1">
      <w:pPr>
        <w:pStyle w:val="BlockLine"/>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20"/>
        <w:gridCol w:w="7632"/>
        <w:gridCol w:w="108"/>
      </w:tblGrid>
      <w:tr w:rsidR="00531AF6" w:rsidRPr="0064357E" w14:paraId="72683C2E" w14:textId="77777777" w:rsidTr="008F51D7">
        <w:tc>
          <w:tcPr>
            <w:tcW w:w="1728" w:type="dxa"/>
            <w:gridSpan w:val="2"/>
            <w:tcBorders>
              <w:top w:val="nil"/>
              <w:left w:val="nil"/>
              <w:bottom w:val="nil"/>
              <w:right w:val="nil"/>
            </w:tcBorders>
          </w:tcPr>
          <w:p w14:paraId="53D3A740" w14:textId="77777777" w:rsidR="00531AF6" w:rsidRPr="0064357E" w:rsidRDefault="00531AF6">
            <w:pPr>
              <w:pStyle w:val="Heading5"/>
            </w:pPr>
            <w:r w:rsidRPr="0064357E">
              <w:t>a.  Sample IVM Sheet Page 1</w:t>
            </w:r>
          </w:p>
        </w:tc>
        <w:tc>
          <w:tcPr>
            <w:tcW w:w="7740" w:type="dxa"/>
            <w:gridSpan w:val="2"/>
            <w:tcBorders>
              <w:top w:val="nil"/>
              <w:left w:val="nil"/>
              <w:bottom w:val="nil"/>
              <w:right w:val="nil"/>
            </w:tcBorders>
          </w:tcPr>
          <w:p w14:paraId="79C4150B" w14:textId="7860C242" w:rsidR="00531AF6" w:rsidRPr="0064357E" w:rsidRDefault="00363B02">
            <w:pPr>
              <w:pStyle w:val="BlockText"/>
            </w:pPr>
            <w:r w:rsidRPr="0064357E">
              <w:rPr>
                <w:noProof/>
              </w:rPr>
              <w:drawing>
                <wp:inline distT="0" distB="0" distL="0" distR="0" wp14:anchorId="33095F14" wp14:editId="1073BF48">
                  <wp:extent cx="4819650" cy="272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41472" cy="2736484"/>
                          </a:xfrm>
                          <a:prstGeom prst="rect">
                            <a:avLst/>
                          </a:prstGeom>
                        </pic:spPr>
                      </pic:pic>
                    </a:graphicData>
                  </a:graphic>
                </wp:inline>
              </w:drawing>
            </w:r>
          </w:p>
        </w:tc>
      </w:tr>
      <w:tr w:rsidR="00531AF6" w14:paraId="3F24CAF1" w14:textId="77777777" w:rsidTr="008F51D7">
        <w:trPr>
          <w:gridAfter w:val="1"/>
          <w:wAfter w:w="108" w:type="dxa"/>
        </w:trPr>
        <w:tc>
          <w:tcPr>
            <w:tcW w:w="1708" w:type="dxa"/>
            <w:tcBorders>
              <w:top w:val="nil"/>
              <w:left w:val="nil"/>
              <w:bottom w:val="nil"/>
              <w:right w:val="nil"/>
            </w:tcBorders>
          </w:tcPr>
          <w:p w14:paraId="34266AA2" w14:textId="77777777" w:rsidR="00363B02" w:rsidRPr="0064357E" w:rsidRDefault="00363B02">
            <w:pPr>
              <w:pStyle w:val="Heading5"/>
            </w:pPr>
          </w:p>
          <w:p w14:paraId="175AAA97" w14:textId="77777777" w:rsidR="00363B02" w:rsidRPr="0064357E" w:rsidRDefault="00363B02">
            <w:pPr>
              <w:pStyle w:val="Heading5"/>
            </w:pPr>
          </w:p>
          <w:p w14:paraId="205EFB31" w14:textId="77777777" w:rsidR="00531AF6" w:rsidRPr="0064357E" w:rsidRDefault="00531AF6">
            <w:pPr>
              <w:pStyle w:val="Heading5"/>
            </w:pPr>
            <w:r w:rsidRPr="0064357E">
              <w:t>b.  Sample IVM Sheet Page 2</w:t>
            </w:r>
          </w:p>
        </w:tc>
        <w:tc>
          <w:tcPr>
            <w:tcW w:w="7652" w:type="dxa"/>
            <w:gridSpan w:val="2"/>
            <w:tcBorders>
              <w:top w:val="nil"/>
              <w:left w:val="nil"/>
              <w:bottom w:val="nil"/>
              <w:right w:val="nil"/>
            </w:tcBorders>
          </w:tcPr>
          <w:p w14:paraId="5AA42D5C" w14:textId="77777777" w:rsidR="00531AF6" w:rsidRPr="0064357E" w:rsidRDefault="00363B02" w:rsidP="00BB6A41">
            <w:pPr>
              <w:pStyle w:val="BlockText"/>
              <w:tabs>
                <w:tab w:val="left" w:pos="9360"/>
              </w:tabs>
            </w:pPr>
            <w:r w:rsidRPr="0064357E">
              <w:rPr>
                <w:u w:val="single"/>
              </w:rPr>
              <w:tab/>
            </w:r>
          </w:p>
          <w:p w14:paraId="5B138824" w14:textId="77777777" w:rsidR="00363B02" w:rsidRPr="0064357E" w:rsidRDefault="00363B02" w:rsidP="00363B02">
            <w:pPr>
              <w:pStyle w:val="BlockText"/>
              <w:ind w:left="1714"/>
            </w:pPr>
          </w:p>
          <w:p w14:paraId="76D75D57" w14:textId="6D6E0EC0" w:rsidR="00363B02" w:rsidRPr="00363B02" w:rsidRDefault="00363B02">
            <w:pPr>
              <w:pStyle w:val="BlockText"/>
            </w:pPr>
            <w:r w:rsidRPr="0064357E">
              <w:rPr>
                <w:noProof/>
              </w:rPr>
              <w:drawing>
                <wp:inline distT="0" distB="0" distL="0" distR="0" wp14:anchorId="3238C939" wp14:editId="0C67C21C">
                  <wp:extent cx="4829175" cy="18948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38718" cy="1898613"/>
                          </a:xfrm>
                          <a:prstGeom prst="rect">
                            <a:avLst/>
                          </a:prstGeom>
                        </pic:spPr>
                      </pic:pic>
                    </a:graphicData>
                  </a:graphic>
                </wp:inline>
              </w:drawing>
            </w:r>
          </w:p>
        </w:tc>
      </w:tr>
    </w:tbl>
    <w:p w14:paraId="169EDB87" w14:textId="77777777" w:rsidR="00363B02" w:rsidRDefault="00363B02"/>
    <w:p w14:paraId="675884DC" w14:textId="77777777" w:rsidR="00363B02" w:rsidRDefault="00363B02"/>
    <w:p w14:paraId="49EDDC50" w14:textId="77777777" w:rsidR="00363B02" w:rsidRDefault="00363B02"/>
    <w:p w14:paraId="329FA892" w14:textId="77777777" w:rsidR="00FF6D0E" w:rsidRPr="006A16B9" w:rsidRDefault="00FF6D0E"/>
    <w:sectPr w:rsidR="00FF6D0E" w:rsidRPr="006A16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B7734" w14:textId="77777777" w:rsidR="003F7D00" w:rsidRDefault="003F7D00" w:rsidP="00827000">
      <w:r>
        <w:separator/>
      </w:r>
    </w:p>
  </w:endnote>
  <w:endnote w:type="continuationSeparator" w:id="0">
    <w:p w14:paraId="1AE16470" w14:textId="77777777" w:rsidR="003F7D00" w:rsidRDefault="003F7D00" w:rsidP="0082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9C679" w14:textId="77777777" w:rsidR="003F7D00" w:rsidRDefault="003F7D00" w:rsidP="00827000">
      <w:r>
        <w:separator/>
      </w:r>
    </w:p>
  </w:footnote>
  <w:footnote w:type="continuationSeparator" w:id="0">
    <w:p w14:paraId="0E1AD931" w14:textId="77777777" w:rsidR="003F7D00" w:rsidRDefault="003F7D00" w:rsidP="00827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33"/>
    <w:multiLevelType w:val="hybridMultilevel"/>
    <w:tmpl w:val="551C831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F0584"/>
    <w:multiLevelType w:val="hybridMultilevel"/>
    <w:tmpl w:val="83AC079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B2CB2"/>
    <w:multiLevelType w:val="hybridMultilevel"/>
    <w:tmpl w:val="ED6A94A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51F12"/>
    <w:multiLevelType w:val="hybridMultilevel"/>
    <w:tmpl w:val="51824D02"/>
    <w:lvl w:ilvl="0" w:tplc="6B70492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6C626B"/>
    <w:multiLevelType w:val="hybridMultilevel"/>
    <w:tmpl w:val="F03233F4"/>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BE7256"/>
    <w:multiLevelType w:val="hybridMultilevel"/>
    <w:tmpl w:val="1652B0E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AD5362"/>
    <w:multiLevelType w:val="hybridMultilevel"/>
    <w:tmpl w:val="34D8C2A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AF7332"/>
    <w:multiLevelType w:val="hybridMultilevel"/>
    <w:tmpl w:val="1E68D92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A374C1"/>
    <w:multiLevelType w:val="hybridMultilevel"/>
    <w:tmpl w:val="B4FE0258"/>
    <w:lvl w:ilvl="0" w:tplc="18DE680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CA3BB9"/>
    <w:multiLevelType w:val="hybridMultilevel"/>
    <w:tmpl w:val="DB143BC2"/>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FE1833"/>
    <w:multiLevelType w:val="hybridMultilevel"/>
    <w:tmpl w:val="2C2CEBE0"/>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20802"/>
    <w:multiLevelType w:val="hybridMultilevel"/>
    <w:tmpl w:val="CCEE763E"/>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B60E8E"/>
    <w:multiLevelType w:val="hybridMultilevel"/>
    <w:tmpl w:val="24E837FE"/>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A6517B"/>
    <w:multiLevelType w:val="hybridMultilevel"/>
    <w:tmpl w:val="25021A6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CE0771"/>
    <w:multiLevelType w:val="hybridMultilevel"/>
    <w:tmpl w:val="70724EAA"/>
    <w:lvl w:ilvl="0" w:tplc="C1C2A6B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D27179"/>
    <w:multiLevelType w:val="hybridMultilevel"/>
    <w:tmpl w:val="E1F6362C"/>
    <w:lvl w:ilvl="0" w:tplc="18DE680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DB373D"/>
    <w:multiLevelType w:val="hybridMultilevel"/>
    <w:tmpl w:val="B020354A"/>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2E36E0"/>
    <w:multiLevelType w:val="hybridMultilevel"/>
    <w:tmpl w:val="E5045C9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A55A76"/>
    <w:multiLevelType w:val="hybridMultilevel"/>
    <w:tmpl w:val="4078C4C2"/>
    <w:lvl w:ilvl="0" w:tplc="9CE45D3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AB3E40"/>
    <w:multiLevelType w:val="hybridMultilevel"/>
    <w:tmpl w:val="A38CDB6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A80ACF"/>
    <w:multiLevelType w:val="hybridMultilevel"/>
    <w:tmpl w:val="A752943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9DA01D1"/>
    <w:multiLevelType w:val="hybridMultilevel"/>
    <w:tmpl w:val="D8E2E8F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B377E1"/>
    <w:multiLevelType w:val="hybridMultilevel"/>
    <w:tmpl w:val="A2BC7C4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B6813A1"/>
    <w:multiLevelType w:val="hybridMultilevel"/>
    <w:tmpl w:val="9BBCF9D4"/>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0055E5"/>
    <w:multiLevelType w:val="hybridMultilevel"/>
    <w:tmpl w:val="1A72FCF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C2D23F0"/>
    <w:multiLevelType w:val="hybridMultilevel"/>
    <w:tmpl w:val="AB8240F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E210C27"/>
    <w:multiLevelType w:val="hybridMultilevel"/>
    <w:tmpl w:val="C7EE824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F3E3CE1"/>
    <w:multiLevelType w:val="hybridMultilevel"/>
    <w:tmpl w:val="AA3E8182"/>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C86F8F"/>
    <w:multiLevelType w:val="hybridMultilevel"/>
    <w:tmpl w:val="1E9C91A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DA3189"/>
    <w:multiLevelType w:val="hybridMultilevel"/>
    <w:tmpl w:val="2D0A31B8"/>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88454C"/>
    <w:multiLevelType w:val="hybridMultilevel"/>
    <w:tmpl w:val="8DEACA70"/>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2B2572"/>
    <w:multiLevelType w:val="hybridMultilevel"/>
    <w:tmpl w:val="95C0507C"/>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164255C"/>
    <w:multiLevelType w:val="hybridMultilevel"/>
    <w:tmpl w:val="F98884D2"/>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1A73C7D"/>
    <w:multiLevelType w:val="hybridMultilevel"/>
    <w:tmpl w:val="6ECE601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24C7F6F"/>
    <w:multiLevelType w:val="hybridMultilevel"/>
    <w:tmpl w:val="21423A8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30375A4"/>
    <w:multiLevelType w:val="hybridMultilevel"/>
    <w:tmpl w:val="B952F850"/>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50916BC"/>
    <w:multiLevelType w:val="hybridMultilevel"/>
    <w:tmpl w:val="D14604F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196CFC"/>
    <w:multiLevelType w:val="hybridMultilevel"/>
    <w:tmpl w:val="A94A13D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5A6B2B"/>
    <w:multiLevelType w:val="hybridMultilevel"/>
    <w:tmpl w:val="35B0FE9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09257B"/>
    <w:multiLevelType w:val="hybridMultilevel"/>
    <w:tmpl w:val="31482016"/>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9D3FE9"/>
    <w:multiLevelType w:val="hybridMultilevel"/>
    <w:tmpl w:val="40661AC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9457FC7"/>
    <w:multiLevelType w:val="hybridMultilevel"/>
    <w:tmpl w:val="990AAC2C"/>
    <w:lvl w:ilvl="0" w:tplc="9E9EABD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AD02FC3"/>
    <w:multiLevelType w:val="hybridMultilevel"/>
    <w:tmpl w:val="EC60E4C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AFA66C8"/>
    <w:multiLevelType w:val="hybridMultilevel"/>
    <w:tmpl w:val="816C6C80"/>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270073"/>
    <w:multiLevelType w:val="hybridMultilevel"/>
    <w:tmpl w:val="E5C6A1B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CC6612F"/>
    <w:multiLevelType w:val="hybridMultilevel"/>
    <w:tmpl w:val="349EECA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CCD76A9"/>
    <w:multiLevelType w:val="hybridMultilevel"/>
    <w:tmpl w:val="F7EA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537502"/>
    <w:multiLevelType w:val="hybridMultilevel"/>
    <w:tmpl w:val="44E42AE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DEE386E"/>
    <w:multiLevelType w:val="hybridMultilevel"/>
    <w:tmpl w:val="14F07CB0"/>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E967316"/>
    <w:multiLevelType w:val="hybridMultilevel"/>
    <w:tmpl w:val="A7A26462"/>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735000"/>
    <w:multiLevelType w:val="hybridMultilevel"/>
    <w:tmpl w:val="8CC61A50"/>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23C76F4"/>
    <w:multiLevelType w:val="hybridMultilevel"/>
    <w:tmpl w:val="6EFE7F8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49B578D"/>
    <w:multiLevelType w:val="hybridMultilevel"/>
    <w:tmpl w:val="F760D12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4F0166D"/>
    <w:multiLevelType w:val="hybridMultilevel"/>
    <w:tmpl w:val="EE5A77A4"/>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5EF5B45"/>
    <w:multiLevelType w:val="hybridMultilevel"/>
    <w:tmpl w:val="6E682DE6"/>
    <w:lvl w:ilvl="0" w:tplc="C1C2A6B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64074F5"/>
    <w:multiLevelType w:val="hybridMultilevel"/>
    <w:tmpl w:val="7C80C0B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4C510F"/>
    <w:multiLevelType w:val="hybridMultilevel"/>
    <w:tmpl w:val="0728D564"/>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67A3307"/>
    <w:multiLevelType w:val="hybridMultilevel"/>
    <w:tmpl w:val="C4A44544"/>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BF7700"/>
    <w:multiLevelType w:val="hybridMultilevel"/>
    <w:tmpl w:val="15246756"/>
    <w:lvl w:ilvl="0" w:tplc="9CE45D3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76613B1"/>
    <w:multiLevelType w:val="hybridMultilevel"/>
    <w:tmpl w:val="498854E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80F4483"/>
    <w:multiLevelType w:val="hybridMultilevel"/>
    <w:tmpl w:val="1C64A8B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8345042"/>
    <w:multiLevelType w:val="hybridMultilevel"/>
    <w:tmpl w:val="50C6111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AC30FF0"/>
    <w:multiLevelType w:val="hybridMultilevel"/>
    <w:tmpl w:val="27F8C1B8"/>
    <w:lvl w:ilvl="0" w:tplc="DF30D50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C73537E"/>
    <w:multiLevelType w:val="hybridMultilevel"/>
    <w:tmpl w:val="84C28C3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C7F26C9"/>
    <w:multiLevelType w:val="hybridMultilevel"/>
    <w:tmpl w:val="4EDA961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F805AD7"/>
    <w:multiLevelType w:val="hybridMultilevel"/>
    <w:tmpl w:val="71A42C84"/>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FA02F28"/>
    <w:multiLevelType w:val="hybridMultilevel"/>
    <w:tmpl w:val="B01A76CC"/>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0286D47"/>
    <w:multiLevelType w:val="hybridMultilevel"/>
    <w:tmpl w:val="29D2BB6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0623721"/>
    <w:multiLevelType w:val="hybridMultilevel"/>
    <w:tmpl w:val="74EE374E"/>
    <w:lvl w:ilvl="0" w:tplc="962A69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26673C5"/>
    <w:multiLevelType w:val="hybridMultilevel"/>
    <w:tmpl w:val="491623FE"/>
    <w:lvl w:ilvl="0" w:tplc="18DE680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33221EC"/>
    <w:multiLevelType w:val="hybridMultilevel"/>
    <w:tmpl w:val="035A0634"/>
    <w:lvl w:ilvl="0" w:tplc="18DE680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341651E"/>
    <w:multiLevelType w:val="multilevel"/>
    <w:tmpl w:val="E1C279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2">
    <w:nsid w:val="43555BCE"/>
    <w:multiLevelType w:val="hybridMultilevel"/>
    <w:tmpl w:val="93242FB4"/>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36C4790"/>
    <w:multiLevelType w:val="hybridMultilevel"/>
    <w:tmpl w:val="2BE080E0"/>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39A374A"/>
    <w:multiLevelType w:val="hybridMultilevel"/>
    <w:tmpl w:val="7C14AB7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044434"/>
    <w:multiLevelType w:val="hybridMultilevel"/>
    <w:tmpl w:val="7B6ED194"/>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6614683"/>
    <w:multiLevelType w:val="hybridMultilevel"/>
    <w:tmpl w:val="ADBEF4C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7C51F51"/>
    <w:multiLevelType w:val="hybridMultilevel"/>
    <w:tmpl w:val="39562BA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A2F27EA"/>
    <w:multiLevelType w:val="hybridMultilevel"/>
    <w:tmpl w:val="E53EFC40"/>
    <w:lvl w:ilvl="0" w:tplc="C1C2A6B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DDB1C8F"/>
    <w:multiLevelType w:val="hybridMultilevel"/>
    <w:tmpl w:val="7F46148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EE03ACA"/>
    <w:multiLevelType w:val="hybridMultilevel"/>
    <w:tmpl w:val="1818A944"/>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FCA2F65"/>
    <w:multiLevelType w:val="hybridMultilevel"/>
    <w:tmpl w:val="0A467884"/>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FDD22CA"/>
    <w:multiLevelType w:val="hybridMultilevel"/>
    <w:tmpl w:val="9CE0B3C4"/>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1254A89"/>
    <w:multiLevelType w:val="hybridMultilevel"/>
    <w:tmpl w:val="7EBA305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1C5467C"/>
    <w:multiLevelType w:val="hybridMultilevel"/>
    <w:tmpl w:val="6854DCAE"/>
    <w:lvl w:ilvl="0" w:tplc="711A615C">
      <w:start w:val="5"/>
      <w:numFmt w:val="bullet"/>
      <w:lvlText w:val="-"/>
      <w:lvlJc w:val="left"/>
      <w:pPr>
        <w:ind w:left="533" w:hanging="360"/>
      </w:pPr>
      <w:rPr>
        <w:rFonts w:ascii="Times New Roman" w:eastAsia="Times New Roman" w:hAnsi="Times New Roman" w:cs="Times New Roman" w:hint="default"/>
        <w:i/>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85">
    <w:nsid w:val="526D7153"/>
    <w:multiLevelType w:val="hybridMultilevel"/>
    <w:tmpl w:val="9F646754"/>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34955BD"/>
    <w:multiLevelType w:val="hybridMultilevel"/>
    <w:tmpl w:val="104EC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53A243F3"/>
    <w:multiLevelType w:val="hybridMultilevel"/>
    <w:tmpl w:val="2A5ED406"/>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68A2191"/>
    <w:multiLevelType w:val="hybridMultilevel"/>
    <w:tmpl w:val="BAE436AE"/>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6DF6305"/>
    <w:multiLevelType w:val="hybridMultilevel"/>
    <w:tmpl w:val="1534CBFC"/>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7C318D5"/>
    <w:multiLevelType w:val="hybridMultilevel"/>
    <w:tmpl w:val="C9DA28F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7C61B4B"/>
    <w:multiLevelType w:val="hybridMultilevel"/>
    <w:tmpl w:val="8BA82058"/>
    <w:lvl w:ilvl="0" w:tplc="962A69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7FC386E"/>
    <w:multiLevelType w:val="hybridMultilevel"/>
    <w:tmpl w:val="37E4A54E"/>
    <w:lvl w:ilvl="0" w:tplc="3A9CD23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8760020"/>
    <w:multiLevelType w:val="hybridMultilevel"/>
    <w:tmpl w:val="FB904DA2"/>
    <w:lvl w:ilvl="0" w:tplc="C1C2A6B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8836CAE"/>
    <w:multiLevelType w:val="hybridMultilevel"/>
    <w:tmpl w:val="419EA92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92227E7"/>
    <w:multiLevelType w:val="hybridMultilevel"/>
    <w:tmpl w:val="07EC5828"/>
    <w:lvl w:ilvl="0" w:tplc="02CCB786">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A7F169C"/>
    <w:multiLevelType w:val="hybridMultilevel"/>
    <w:tmpl w:val="4392884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B2138CC"/>
    <w:multiLevelType w:val="hybridMultilevel"/>
    <w:tmpl w:val="624C7EFC"/>
    <w:lvl w:ilvl="0" w:tplc="962A69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B866D8E"/>
    <w:multiLevelType w:val="hybridMultilevel"/>
    <w:tmpl w:val="7AB6300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5C63090C"/>
    <w:multiLevelType w:val="hybridMultilevel"/>
    <w:tmpl w:val="91422124"/>
    <w:lvl w:ilvl="0" w:tplc="962A69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CF26C37"/>
    <w:multiLevelType w:val="hybridMultilevel"/>
    <w:tmpl w:val="A6FEF4A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E622825"/>
    <w:multiLevelType w:val="hybridMultilevel"/>
    <w:tmpl w:val="A45491F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FEA5AA7"/>
    <w:multiLevelType w:val="hybridMultilevel"/>
    <w:tmpl w:val="0C94C7E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146EFA"/>
    <w:multiLevelType w:val="hybridMultilevel"/>
    <w:tmpl w:val="942007F2"/>
    <w:lvl w:ilvl="0" w:tplc="962A69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2AC3BCE"/>
    <w:multiLevelType w:val="hybridMultilevel"/>
    <w:tmpl w:val="1F3A55DC"/>
    <w:lvl w:ilvl="0" w:tplc="C1C2A6B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30C2238"/>
    <w:multiLevelType w:val="hybridMultilevel"/>
    <w:tmpl w:val="02C8198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39766AA"/>
    <w:multiLevelType w:val="hybridMultilevel"/>
    <w:tmpl w:val="9A2AA510"/>
    <w:lvl w:ilvl="0" w:tplc="C1C2A6B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5D738E8"/>
    <w:multiLevelType w:val="hybridMultilevel"/>
    <w:tmpl w:val="A6DAAC94"/>
    <w:lvl w:ilvl="0" w:tplc="9E9EABD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6ED5107"/>
    <w:multiLevelType w:val="hybridMultilevel"/>
    <w:tmpl w:val="79B243EA"/>
    <w:lvl w:ilvl="0" w:tplc="33C6A8B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6F51E43"/>
    <w:multiLevelType w:val="hybridMultilevel"/>
    <w:tmpl w:val="45A64A8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ACA14A0"/>
    <w:multiLevelType w:val="hybridMultilevel"/>
    <w:tmpl w:val="0678754E"/>
    <w:lvl w:ilvl="0" w:tplc="962A698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BE92392"/>
    <w:multiLevelType w:val="hybridMultilevel"/>
    <w:tmpl w:val="9174B9C4"/>
    <w:lvl w:ilvl="0" w:tplc="DF30D50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13">
    <w:nsid w:val="6CE31FFC"/>
    <w:multiLevelType w:val="hybridMultilevel"/>
    <w:tmpl w:val="73B0BEF2"/>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D6048FD"/>
    <w:multiLevelType w:val="hybridMultilevel"/>
    <w:tmpl w:val="BAE67EFE"/>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DB91491"/>
    <w:multiLevelType w:val="hybridMultilevel"/>
    <w:tmpl w:val="58EA7522"/>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DDD0D03"/>
    <w:multiLevelType w:val="hybridMultilevel"/>
    <w:tmpl w:val="B622A922"/>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DFF2745"/>
    <w:multiLevelType w:val="hybridMultilevel"/>
    <w:tmpl w:val="949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F6123FF"/>
    <w:multiLevelType w:val="hybridMultilevel"/>
    <w:tmpl w:val="38E8A56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282372F"/>
    <w:multiLevelType w:val="hybridMultilevel"/>
    <w:tmpl w:val="88349506"/>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3641D73"/>
    <w:multiLevelType w:val="hybridMultilevel"/>
    <w:tmpl w:val="DECE1A3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57565F0"/>
    <w:multiLevelType w:val="hybridMultilevel"/>
    <w:tmpl w:val="E0F82920"/>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6B254C8"/>
    <w:multiLevelType w:val="hybridMultilevel"/>
    <w:tmpl w:val="8F02BE54"/>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6BC586C"/>
    <w:multiLevelType w:val="hybridMultilevel"/>
    <w:tmpl w:val="CA00FAD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778B4FD0"/>
    <w:multiLevelType w:val="hybridMultilevel"/>
    <w:tmpl w:val="6D5E4E5C"/>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126">
    <w:nsid w:val="79CE34FB"/>
    <w:multiLevelType w:val="hybridMultilevel"/>
    <w:tmpl w:val="63EA9E0A"/>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A2C29EF"/>
    <w:multiLevelType w:val="hybridMultilevel"/>
    <w:tmpl w:val="DE6A1E40"/>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7D4E6C2B"/>
    <w:multiLevelType w:val="hybridMultilevel"/>
    <w:tmpl w:val="E1C4CC58"/>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D9469EF"/>
    <w:multiLevelType w:val="hybridMultilevel"/>
    <w:tmpl w:val="707A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F20317D"/>
    <w:multiLevelType w:val="hybridMultilevel"/>
    <w:tmpl w:val="8A14C172"/>
    <w:lvl w:ilvl="0" w:tplc="DDD604B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5"/>
  </w:num>
  <w:num w:numId="2">
    <w:abstractNumId w:val="112"/>
  </w:num>
  <w:num w:numId="3">
    <w:abstractNumId w:val="14"/>
  </w:num>
  <w:num w:numId="4">
    <w:abstractNumId w:val="106"/>
  </w:num>
  <w:num w:numId="5">
    <w:abstractNumId w:val="54"/>
  </w:num>
  <w:num w:numId="6">
    <w:abstractNumId w:val="93"/>
  </w:num>
  <w:num w:numId="7">
    <w:abstractNumId w:val="78"/>
  </w:num>
  <w:num w:numId="8">
    <w:abstractNumId w:val="104"/>
  </w:num>
  <w:num w:numId="9">
    <w:abstractNumId w:val="69"/>
  </w:num>
  <w:num w:numId="10">
    <w:abstractNumId w:val="15"/>
  </w:num>
  <w:num w:numId="11">
    <w:abstractNumId w:val="8"/>
  </w:num>
  <w:num w:numId="12">
    <w:abstractNumId w:val="70"/>
  </w:num>
  <w:num w:numId="13">
    <w:abstractNumId w:val="91"/>
  </w:num>
  <w:num w:numId="14">
    <w:abstractNumId w:val="68"/>
  </w:num>
  <w:num w:numId="15">
    <w:abstractNumId w:val="103"/>
  </w:num>
  <w:num w:numId="16">
    <w:abstractNumId w:val="97"/>
  </w:num>
  <w:num w:numId="17">
    <w:abstractNumId w:val="99"/>
  </w:num>
  <w:num w:numId="18">
    <w:abstractNumId w:val="110"/>
  </w:num>
  <w:num w:numId="19">
    <w:abstractNumId w:val="107"/>
  </w:num>
  <w:num w:numId="20">
    <w:abstractNumId w:val="41"/>
  </w:num>
  <w:num w:numId="21">
    <w:abstractNumId w:val="16"/>
  </w:num>
  <w:num w:numId="22">
    <w:abstractNumId w:val="30"/>
  </w:num>
  <w:num w:numId="23">
    <w:abstractNumId w:val="35"/>
  </w:num>
  <w:num w:numId="24">
    <w:abstractNumId w:val="87"/>
  </w:num>
  <w:num w:numId="25">
    <w:abstractNumId w:val="75"/>
  </w:num>
  <w:num w:numId="26">
    <w:abstractNumId w:val="31"/>
  </w:num>
  <w:num w:numId="27">
    <w:abstractNumId w:val="65"/>
  </w:num>
  <w:num w:numId="28">
    <w:abstractNumId w:val="57"/>
  </w:num>
  <w:num w:numId="29">
    <w:abstractNumId w:val="85"/>
  </w:num>
  <w:num w:numId="30">
    <w:abstractNumId w:val="12"/>
  </w:num>
  <w:num w:numId="31">
    <w:abstractNumId w:val="80"/>
  </w:num>
  <w:num w:numId="32">
    <w:abstractNumId w:val="95"/>
  </w:num>
  <w:num w:numId="33">
    <w:abstractNumId w:val="32"/>
  </w:num>
  <w:num w:numId="34">
    <w:abstractNumId w:val="62"/>
  </w:num>
  <w:num w:numId="35">
    <w:abstractNumId w:val="111"/>
  </w:num>
  <w:num w:numId="36">
    <w:abstractNumId w:val="40"/>
  </w:num>
  <w:num w:numId="37">
    <w:abstractNumId w:val="102"/>
  </w:num>
  <w:num w:numId="38">
    <w:abstractNumId w:val="122"/>
  </w:num>
  <w:num w:numId="39">
    <w:abstractNumId w:val="128"/>
  </w:num>
  <w:num w:numId="40">
    <w:abstractNumId w:val="90"/>
  </w:num>
  <w:num w:numId="41">
    <w:abstractNumId w:val="101"/>
  </w:num>
  <w:num w:numId="42">
    <w:abstractNumId w:val="1"/>
  </w:num>
  <w:num w:numId="43">
    <w:abstractNumId w:val="105"/>
  </w:num>
  <w:num w:numId="44">
    <w:abstractNumId w:val="120"/>
  </w:num>
  <w:num w:numId="45">
    <w:abstractNumId w:val="0"/>
  </w:num>
  <w:num w:numId="46">
    <w:abstractNumId w:val="53"/>
  </w:num>
  <w:num w:numId="47">
    <w:abstractNumId w:val="124"/>
  </w:num>
  <w:num w:numId="48">
    <w:abstractNumId w:val="118"/>
  </w:num>
  <w:num w:numId="49">
    <w:abstractNumId w:val="47"/>
  </w:num>
  <w:num w:numId="50">
    <w:abstractNumId w:val="36"/>
  </w:num>
  <w:num w:numId="51">
    <w:abstractNumId w:val="22"/>
  </w:num>
  <w:num w:numId="52">
    <w:abstractNumId w:val="7"/>
  </w:num>
  <w:num w:numId="53">
    <w:abstractNumId w:val="24"/>
  </w:num>
  <w:num w:numId="54">
    <w:abstractNumId w:val="115"/>
  </w:num>
  <w:num w:numId="55">
    <w:abstractNumId w:val="126"/>
  </w:num>
  <w:num w:numId="56">
    <w:abstractNumId w:val="5"/>
  </w:num>
  <w:num w:numId="57">
    <w:abstractNumId w:val="127"/>
  </w:num>
  <w:num w:numId="58">
    <w:abstractNumId w:val="83"/>
  </w:num>
  <w:num w:numId="59">
    <w:abstractNumId w:val="17"/>
  </w:num>
  <w:num w:numId="60">
    <w:abstractNumId w:val="19"/>
  </w:num>
  <w:num w:numId="61">
    <w:abstractNumId w:val="55"/>
  </w:num>
  <w:num w:numId="62">
    <w:abstractNumId w:val="43"/>
  </w:num>
  <w:num w:numId="63">
    <w:abstractNumId w:val="13"/>
  </w:num>
  <w:num w:numId="64">
    <w:abstractNumId w:val="67"/>
  </w:num>
  <w:num w:numId="65">
    <w:abstractNumId w:val="23"/>
  </w:num>
  <w:num w:numId="66">
    <w:abstractNumId w:val="72"/>
  </w:num>
  <w:num w:numId="67">
    <w:abstractNumId w:val="38"/>
  </w:num>
  <w:num w:numId="68">
    <w:abstractNumId w:val="123"/>
  </w:num>
  <w:num w:numId="69">
    <w:abstractNumId w:val="119"/>
  </w:num>
  <w:num w:numId="70">
    <w:abstractNumId w:val="25"/>
  </w:num>
  <w:num w:numId="71">
    <w:abstractNumId w:val="28"/>
  </w:num>
  <w:num w:numId="72">
    <w:abstractNumId w:val="50"/>
  </w:num>
  <w:num w:numId="73">
    <w:abstractNumId w:val="74"/>
  </w:num>
  <w:num w:numId="74">
    <w:abstractNumId w:val="113"/>
  </w:num>
  <w:num w:numId="75">
    <w:abstractNumId w:val="82"/>
  </w:num>
  <w:num w:numId="76">
    <w:abstractNumId w:val="2"/>
  </w:num>
  <w:num w:numId="77">
    <w:abstractNumId w:val="76"/>
  </w:num>
  <w:num w:numId="78">
    <w:abstractNumId w:val="100"/>
  </w:num>
  <w:num w:numId="79">
    <w:abstractNumId w:val="63"/>
  </w:num>
  <w:num w:numId="80">
    <w:abstractNumId w:val="56"/>
  </w:num>
  <w:num w:numId="81">
    <w:abstractNumId w:val="130"/>
  </w:num>
  <w:num w:numId="82">
    <w:abstractNumId w:val="64"/>
  </w:num>
  <w:num w:numId="83">
    <w:abstractNumId w:val="60"/>
  </w:num>
  <w:num w:numId="84">
    <w:abstractNumId w:val="10"/>
  </w:num>
  <w:num w:numId="85">
    <w:abstractNumId w:val="34"/>
  </w:num>
  <w:num w:numId="86">
    <w:abstractNumId w:val="42"/>
  </w:num>
  <w:num w:numId="87">
    <w:abstractNumId w:val="77"/>
  </w:num>
  <w:num w:numId="88">
    <w:abstractNumId w:val="121"/>
  </w:num>
  <w:num w:numId="89">
    <w:abstractNumId w:val="33"/>
  </w:num>
  <w:num w:numId="90">
    <w:abstractNumId w:val="52"/>
  </w:num>
  <w:num w:numId="91">
    <w:abstractNumId w:val="116"/>
  </w:num>
  <w:num w:numId="92">
    <w:abstractNumId w:val="59"/>
  </w:num>
  <w:num w:numId="93">
    <w:abstractNumId w:val="79"/>
  </w:num>
  <w:num w:numId="94">
    <w:abstractNumId w:val="114"/>
  </w:num>
  <w:num w:numId="95">
    <w:abstractNumId w:val="44"/>
  </w:num>
  <w:num w:numId="96">
    <w:abstractNumId w:val="26"/>
  </w:num>
  <w:num w:numId="97">
    <w:abstractNumId w:val="73"/>
  </w:num>
  <w:num w:numId="98">
    <w:abstractNumId w:val="21"/>
  </w:num>
  <w:num w:numId="99">
    <w:abstractNumId w:val="81"/>
  </w:num>
  <w:num w:numId="100">
    <w:abstractNumId w:val="37"/>
  </w:num>
  <w:num w:numId="101">
    <w:abstractNumId w:val="27"/>
  </w:num>
  <w:num w:numId="102">
    <w:abstractNumId w:val="94"/>
  </w:num>
  <w:num w:numId="103">
    <w:abstractNumId w:val="51"/>
  </w:num>
  <w:num w:numId="104">
    <w:abstractNumId w:val="98"/>
  </w:num>
  <w:num w:numId="105">
    <w:abstractNumId w:val="96"/>
  </w:num>
  <w:num w:numId="106">
    <w:abstractNumId w:val="61"/>
  </w:num>
  <w:num w:numId="107">
    <w:abstractNumId w:val="20"/>
  </w:num>
  <w:num w:numId="108">
    <w:abstractNumId w:val="109"/>
  </w:num>
  <w:num w:numId="109">
    <w:abstractNumId w:val="4"/>
  </w:num>
  <w:num w:numId="110">
    <w:abstractNumId w:val="6"/>
  </w:num>
  <w:num w:numId="111">
    <w:abstractNumId w:val="9"/>
  </w:num>
  <w:num w:numId="112">
    <w:abstractNumId w:val="45"/>
  </w:num>
  <w:num w:numId="113">
    <w:abstractNumId w:val="39"/>
  </w:num>
  <w:num w:numId="114">
    <w:abstractNumId w:val="11"/>
  </w:num>
  <w:num w:numId="115">
    <w:abstractNumId w:val="66"/>
  </w:num>
  <w:num w:numId="116">
    <w:abstractNumId w:val="88"/>
  </w:num>
  <w:num w:numId="117">
    <w:abstractNumId w:val="108"/>
  </w:num>
  <w:num w:numId="118">
    <w:abstractNumId w:val="89"/>
  </w:num>
  <w:num w:numId="119">
    <w:abstractNumId w:val="29"/>
  </w:num>
  <w:num w:numId="120">
    <w:abstractNumId w:val="49"/>
  </w:num>
  <w:num w:numId="121">
    <w:abstractNumId w:val="48"/>
  </w:num>
  <w:num w:numId="122">
    <w:abstractNumId w:val="3"/>
  </w:num>
  <w:num w:numId="123">
    <w:abstractNumId w:val="46"/>
  </w:num>
  <w:num w:numId="124">
    <w:abstractNumId w:val="86"/>
  </w:num>
  <w:num w:numId="125">
    <w:abstractNumId w:val="129"/>
  </w:num>
  <w:num w:numId="126">
    <w:abstractNumId w:val="92"/>
  </w:num>
  <w:num w:numId="127">
    <w:abstractNumId w:val="18"/>
  </w:num>
  <w:num w:numId="128">
    <w:abstractNumId w:val="58"/>
  </w:num>
  <w:num w:numId="129">
    <w:abstractNumId w:val="71"/>
  </w:num>
  <w:num w:numId="13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7"/>
  </w:num>
  <w:num w:numId="161">
    <w:abstractNumId w:val="84"/>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51"/>
    <w:rsid w:val="00011B44"/>
    <w:rsid w:val="00020469"/>
    <w:rsid w:val="0003491A"/>
    <w:rsid w:val="00044806"/>
    <w:rsid w:val="00045107"/>
    <w:rsid w:val="00057FFC"/>
    <w:rsid w:val="00095FFB"/>
    <w:rsid w:val="000E55EF"/>
    <w:rsid w:val="000E58CA"/>
    <w:rsid w:val="00140E8F"/>
    <w:rsid w:val="0015001B"/>
    <w:rsid w:val="00152014"/>
    <w:rsid w:val="00152C1C"/>
    <w:rsid w:val="00155BED"/>
    <w:rsid w:val="00161E51"/>
    <w:rsid w:val="0018611B"/>
    <w:rsid w:val="00195ED3"/>
    <w:rsid w:val="001B032F"/>
    <w:rsid w:val="001C6256"/>
    <w:rsid w:val="00242F18"/>
    <w:rsid w:val="002748E7"/>
    <w:rsid w:val="002972F0"/>
    <w:rsid w:val="002A49C2"/>
    <w:rsid w:val="002C68C6"/>
    <w:rsid w:val="002E5639"/>
    <w:rsid w:val="002E686F"/>
    <w:rsid w:val="002F5F7A"/>
    <w:rsid w:val="00301193"/>
    <w:rsid w:val="00322293"/>
    <w:rsid w:val="00350EC8"/>
    <w:rsid w:val="00360440"/>
    <w:rsid w:val="00363B02"/>
    <w:rsid w:val="003679D3"/>
    <w:rsid w:val="0037045A"/>
    <w:rsid w:val="00372220"/>
    <w:rsid w:val="00374E22"/>
    <w:rsid w:val="003958E0"/>
    <w:rsid w:val="003A395B"/>
    <w:rsid w:val="003B16EA"/>
    <w:rsid w:val="003E3754"/>
    <w:rsid w:val="003F7D00"/>
    <w:rsid w:val="00406E3F"/>
    <w:rsid w:val="0046067E"/>
    <w:rsid w:val="004779EB"/>
    <w:rsid w:val="0048797F"/>
    <w:rsid w:val="004973F8"/>
    <w:rsid w:val="004B002F"/>
    <w:rsid w:val="004E0D2E"/>
    <w:rsid w:val="004E1AA5"/>
    <w:rsid w:val="004E1F40"/>
    <w:rsid w:val="004E3437"/>
    <w:rsid w:val="004E5AFC"/>
    <w:rsid w:val="004F35E8"/>
    <w:rsid w:val="00512D4C"/>
    <w:rsid w:val="005216DB"/>
    <w:rsid w:val="00531AF6"/>
    <w:rsid w:val="005344A8"/>
    <w:rsid w:val="00541581"/>
    <w:rsid w:val="00551666"/>
    <w:rsid w:val="005605C3"/>
    <w:rsid w:val="00560F93"/>
    <w:rsid w:val="0059259B"/>
    <w:rsid w:val="005C682D"/>
    <w:rsid w:val="005D6ACF"/>
    <w:rsid w:val="005F48CD"/>
    <w:rsid w:val="00630F04"/>
    <w:rsid w:val="0064357E"/>
    <w:rsid w:val="00684FD1"/>
    <w:rsid w:val="00691226"/>
    <w:rsid w:val="006A16B9"/>
    <w:rsid w:val="006A4A84"/>
    <w:rsid w:val="00713BAC"/>
    <w:rsid w:val="00722421"/>
    <w:rsid w:val="00723DE3"/>
    <w:rsid w:val="00733FD7"/>
    <w:rsid w:val="007343F3"/>
    <w:rsid w:val="00753DAA"/>
    <w:rsid w:val="007A7D46"/>
    <w:rsid w:val="0080252A"/>
    <w:rsid w:val="00805E3A"/>
    <w:rsid w:val="008261D5"/>
    <w:rsid w:val="00827000"/>
    <w:rsid w:val="00854C48"/>
    <w:rsid w:val="0087094C"/>
    <w:rsid w:val="00876ED3"/>
    <w:rsid w:val="00877905"/>
    <w:rsid w:val="008847EA"/>
    <w:rsid w:val="00887589"/>
    <w:rsid w:val="008A5C15"/>
    <w:rsid w:val="008B7E69"/>
    <w:rsid w:val="008D167F"/>
    <w:rsid w:val="008D7966"/>
    <w:rsid w:val="008E669A"/>
    <w:rsid w:val="008F51D7"/>
    <w:rsid w:val="008F5305"/>
    <w:rsid w:val="00903808"/>
    <w:rsid w:val="00931BF6"/>
    <w:rsid w:val="00934837"/>
    <w:rsid w:val="0094152A"/>
    <w:rsid w:val="00965F9C"/>
    <w:rsid w:val="009845DF"/>
    <w:rsid w:val="009A1F45"/>
    <w:rsid w:val="009B0FFC"/>
    <w:rsid w:val="009C178D"/>
    <w:rsid w:val="009D35AA"/>
    <w:rsid w:val="009E4E8F"/>
    <w:rsid w:val="00A80E8B"/>
    <w:rsid w:val="00AA0409"/>
    <w:rsid w:val="00AD4B22"/>
    <w:rsid w:val="00B1398C"/>
    <w:rsid w:val="00B17225"/>
    <w:rsid w:val="00B30236"/>
    <w:rsid w:val="00B34456"/>
    <w:rsid w:val="00B37BB9"/>
    <w:rsid w:val="00B40101"/>
    <w:rsid w:val="00B4595E"/>
    <w:rsid w:val="00B550AF"/>
    <w:rsid w:val="00B62760"/>
    <w:rsid w:val="00B96E5E"/>
    <w:rsid w:val="00BA10C1"/>
    <w:rsid w:val="00BA6AF5"/>
    <w:rsid w:val="00BB6A41"/>
    <w:rsid w:val="00BC3168"/>
    <w:rsid w:val="00BF01A1"/>
    <w:rsid w:val="00BF64F7"/>
    <w:rsid w:val="00BF692F"/>
    <w:rsid w:val="00C12D70"/>
    <w:rsid w:val="00C26C1C"/>
    <w:rsid w:val="00C311A9"/>
    <w:rsid w:val="00C62824"/>
    <w:rsid w:val="00C654DD"/>
    <w:rsid w:val="00C70CCA"/>
    <w:rsid w:val="00CA04F2"/>
    <w:rsid w:val="00CC4BFA"/>
    <w:rsid w:val="00CC704B"/>
    <w:rsid w:val="00CD31E2"/>
    <w:rsid w:val="00CE2D2B"/>
    <w:rsid w:val="00CE3169"/>
    <w:rsid w:val="00CE34FB"/>
    <w:rsid w:val="00D073AD"/>
    <w:rsid w:val="00D23F5D"/>
    <w:rsid w:val="00D45EDE"/>
    <w:rsid w:val="00D55F21"/>
    <w:rsid w:val="00D5612F"/>
    <w:rsid w:val="00D57139"/>
    <w:rsid w:val="00DA4DD0"/>
    <w:rsid w:val="00DA73D8"/>
    <w:rsid w:val="00DB0724"/>
    <w:rsid w:val="00DC0679"/>
    <w:rsid w:val="00DC2C78"/>
    <w:rsid w:val="00DC662B"/>
    <w:rsid w:val="00DD56B7"/>
    <w:rsid w:val="00DF3CA5"/>
    <w:rsid w:val="00DF3E03"/>
    <w:rsid w:val="00E01C9C"/>
    <w:rsid w:val="00E41B1D"/>
    <w:rsid w:val="00E675C6"/>
    <w:rsid w:val="00E82DC2"/>
    <w:rsid w:val="00E90645"/>
    <w:rsid w:val="00E9399B"/>
    <w:rsid w:val="00ED08D3"/>
    <w:rsid w:val="00ED5F87"/>
    <w:rsid w:val="00EE4765"/>
    <w:rsid w:val="00EE6F9E"/>
    <w:rsid w:val="00F11B6B"/>
    <w:rsid w:val="00F13A0A"/>
    <w:rsid w:val="00F2257F"/>
    <w:rsid w:val="00F3308A"/>
    <w:rsid w:val="00F60190"/>
    <w:rsid w:val="00F606B6"/>
    <w:rsid w:val="00F776C9"/>
    <w:rsid w:val="00F80380"/>
    <w:rsid w:val="00F8367D"/>
    <w:rsid w:val="00F9023D"/>
    <w:rsid w:val="00F96A29"/>
    <w:rsid w:val="00FA4A62"/>
    <w:rsid w:val="00FB03BD"/>
    <w:rsid w:val="00FB559D"/>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51"/>
    <w:pPr>
      <w:spacing w:after="0" w:line="240" w:lineRule="auto"/>
    </w:pPr>
    <w:rPr>
      <w:rFonts w:ascii="Times New Roman" w:eastAsia="Times New Roman" w:hAnsi="Times New Roman" w:cs="Times New Roman"/>
      <w:sz w:val="24"/>
      <w:szCs w:val="24"/>
    </w:rPr>
  </w:style>
  <w:style w:type="paragraph" w:styleId="Heading4">
    <w:name w:val="heading 4"/>
    <w:aliases w:val="Map Title"/>
    <w:basedOn w:val="Normal"/>
    <w:next w:val="Normal"/>
    <w:link w:val="Heading4Char"/>
    <w:qFormat/>
    <w:rsid w:val="00161E51"/>
    <w:pPr>
      <w:spacing w:after="240"/>
      <w:outlineLvl w:val="3"/>
    </w:pPr>
    <w:rPr>
      <w:rFonts w:ascii="Arial" w:hAnsi="Arial"/>
      <w:b/>
      <w:sz w:val="32"/>
      <w:szCs w:val="20"/>
    </w:rPr>
  </w:style>
  <w:style w:type="paragraph" w:styleId="Heading5">
    <w:name w:val="heading 5"/>
    <w:aliases w:val="Block Label"/>
    <w:basedOn w:val="Normal"/>
    <w:link w:val="Heading5Char"/>
    <w:qFormat/>
    <w:rsid w:val="00161E51"/>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161E51"/>
    <w:rPr>
      <w:rFonts w:ascii="Arial" w:eastAsia="Times New Roman" w:hAnsi="Arial" w:cs="Times New Roman"/>
      <w:b/>
      <w:sz w:val="32"/>
      <w:szCs w:val="20"/>
    </w:rPr>
  </w:style>
  <w:style w:type="character" w:customStyle="1" w:styleId="Heading5Char">
    <w:name w:val="Heading 5 Char"/>
    <w:aliases w:val="Block Label Char"/>
    <w:basedOn w:val="DefaultParagraphFont"/>
    <w:link w:val="Heading5"/>
    <w:rsid w:val="00161E51"/>
    <w:rPr>
      <w:rFonts w:ascii="Times New Roman" w:eastAsia="Times New Roman" w:hAnsi="Times New Roman" w:cs="Times New Roman"/>
      <w:b/>
      <w:szCs w:val="20"/>
    </w:rPr>
  </w:style>
  <w:style w:type="paragraph" w:customStyle="1" w:styleId="BlockLine">
    <w:name w:val="Block Line"/>
    <w:basedOn w:val="Normal"/>
    <w:next w:val="Normal"/>
    <w:rsid w:val="00161E51"/>
    <w:pPr>
      <w:pBdr>
        <w:top w:val="single" w:sz="6" w:space="1" w:color="auto"/>
        <w:between w:val="single" w:sz="6" w:space="1" w:color="auto"/>
      </w:pBdr>
      <w:spacing w:before="240"/>
      <w:ind w:left="1728"/>
    </w:pPr>
    <w:rPr>
      <w:szCs w:val="20"/>
    </w:rPr>
  </w:style>
  <w:style w:type="paragraph" w:styleId="BlockText">
    <w:name w:val="Block Text"/>
    <w:basedOn w:val="Normal"/>
    <w:rsid w:val="00161E51"/>
  </w:style>
  <w:style w:type="paragraph" w:customStyle="1" w:styleId="BulletText1">
    <w:name w:val="Bullet Text 1"/>
    <w:basedOn w:val="Normal"/>
    <w:rsid w:val="00161E51"/>
    <w:pPr>
      <w:numPr>
        <w:numId w:val="1"/>
      </w:numPr>
      <w:tabs>
        <w:tab w:val="clear" w:pos="173"/>
      </w:tabs>
      <w:ind w:left="187" w:hanging="187"/>
    </w:pPr>
    <w:rPr>
      <w:szCs w:val="20"/>
    </w:rPr>
  </w:style>
  <w:style w:type="paragraph" w:customStyle="1" w:styleId="TableText">
    <w:name w:val="Table Text"/>
    <w:basedOn w:val="Normal"/>
    <w:rsid w:val="00161E51"/>
    <w:rPr>
      <w:szCs w:val="20"/>
    </w:rPr>
  </w:style>
  <w:style w:type="paragraph" w:customStyle="1" w:styleId="TableHeaderText">
    <w:name w:val="Table Header Text"/>
    <w:basedOn w:val="Normal"/>
    <w:rsid w:val="00161E51"/>
    <w:pPr>
      <w:jc w:val="center"/>
    </w:pPr>
    <w:rPr>
      <w:b/>
      <w:szCs w:val="20"/>
    </w:rPr>
  </w:style>
  <w:style w:type="paragraph" w:customStyle="1" w:styleId="BulletText2">
    <w:name w:val="Bullet Text 2"/>
    <w:basedOn w:val="Normal"/>
    <w:rsid w:val="00155BED"/>
    <w:pPr>
      <w:numPr>
        <w:numId w:val="2"/>
      </w:numPr>
      <w:tabs>
        <w:tab w:val="clear" w:pos="360"/>
      </w:tabs>
    </w:pPr>
    <w:rPr>
      <w:szCs w:val="20"/>
    </w:rPr>
  </w:style>
  <w:style w:type="paragraph" w:customStyle="1" w:styleId="ContinuedOnNextPa">
    <w:name w:val="Continued On Next Pa"/>
    <w:basedOn w:val="Normal"/>
    <w:next w:val="Normal"/>
    <w:rsid w:val="00155BED"/>
    <w:pPr>
      <w:pBdr>
        <w:top w:val="single" w:sz="6" w:space="1" w:color="auto"/>
        <w:between w:val="single" w:sz="6" w:space="1" w:color="auto"/>
      </w:pBdr>
      <w:spacing w:before="240"/>
      <w:ind w:left="1728"/>
      <w:jc w:val="right"/>
    </w:pPr>
    <w:rPr>
      <w:i/>
      <w:sz w:val="20"/>
      <w:szCs w:val="20"/>
    </w:rPr>
  </w:style>
  <w:style w:type="paragraph" w:customStyle="1" w:styleId="NoteText">
    <w:name w:val="Note Text"/>
    <w:basedOn w:val="Normal"/>
    <w:rsid w:val="00155BED"/>
    <w:rPr>
      <w:szCs w:val="20"/>
    </w:rPr>
  </w:style>
  <w:style w:type="paragraph" w:customStyle="1" w:styleId="ContinuedTableLabe">
    <w:name w:val="Continued Table Labe"/>
    <w:basedOn w:val="Normal"/>
    <w:rsid w:val="00CE3169"/>
    <w:rPr>
      <w:b/>
      <w:sz w:val="22"/>
      <w:szCs w:val="20"/>
    </w:rPr>
  </w:style>
  <w:style w:type="character" w:styleId="Hyperlink">
    <w:name w:val="Hyperlink"/>
    <w:semiHidden/>
    <w:rsid w:val="00CA04F2"/>
    <w:rPr>
      <w:color w:val="0000FF"/>
      <w:sz w:val="20"/>
      <w:u w:val="single"/>
    </w:rPr>
  </w:style>
  <w:style w:type="paragraph" w:customStyle="1" w:styleId="MapTitleContinued">
    <w:name w:val="Map Title. Continued"/>
    <w:basedOn w:val="Normal"/>
    <w:rsid w:val="00FF6D0E"/>
    <w:pPr>
      <w:spacing w:after="240"/>
    </w:pPr>
    <w:rPr>
      <w:rFonts w:ascii="Arial" w:hAnsi="Arial"/>
      <w:b/>
      <w:sz w:val="32"/>
      <w:szCs w:val="20"/>
    </w:rPr>
  </w:style>
  <w:style w:type="character" w:styleId="CommentReference">
    <w:name w:val="annotation reference"/>
    <w:basedOn w:val="DefaultParagraphFont"/>
    <w:uiPriority w:val="99"/>
    <w:semiHidden/>
    <w:unhideWhenUsed/>
    <w:rsid w:val="00F13A0A"/>
    <w:rPr>
      <w:sz w:val="16"/>
      <w:szCs w:val="16"/>
    </w:rPr>
  </w:style>
  <w:style w:type="paragraph" w:styleId="CommentText">
    <w:name w:val="annotation text"/>
    <w:basedOn w:val="Normal"/>
    <w:link w:val="CommentTextChar"/>
    <w:uiPriority w:val="99"/>
    <w:semiHidden/>
    <w:unhideWhenUsed/>
    <w:rsid w:val="00F13A0A"/>
    <w:rPr>
      <w:sz w:val="20"/>
      <w:szCs w:val="20"/>
    </w:rPr>
  </w:style>
  <w:style w:type="character" w:customStyle="1" w:styleId="CommentTextChar">
    <w:name w:val="Comment Text Char"/>
    <w:basedOn w:val="DefaultParagraphFont"/>
    <w:link w:val="CommentText"/>
    <w:uiPriority w:val="99"/>
    <w:semiHidden/>
    <w:rsid w:val="00F13A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A0A"/>
    <w:rPr>
      <w:b/>
      <w:bCs/>
    </w:rPr>
  </w:style>
  <w:style w:type="character" w:customStyle="1" w:styleId="CommentSubjectChar">
    <w:name w:val="Comment Subject Char"/>
    <w:basedOn w:val="CommentTextChar"/>
    <w:link w:val="CommentSubject"/>
    <w:uiPriority w:val="99"/>
    <w:semiHidden/>
    <w:rsid w:val="00F13A0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3A0A"/>
    <w:rPr>
      <w:rFonts w:ascii="Tahoma" w:hAnsi="Tahoma" w:cs="Tahoma"/>
      <w:sz w:val="16"/>
      <w:szCs w:val="16"/>
    </w:rPr>
  </w:style>
  <w:style w:type="character" w:customStyle="1" w:styleId="BalloonTextChar">
    <w:name w:val="Balloon Text Char"/>
    <w:basedOn w:val="DefaultParagraphFont"/>
    <w:link w:val="BalloonText"/>
    <w:uiPriority w:val="99"/>
    <w:semiHidden/>
    <w:rsid w:val="00F13A0A"/>
    <w:rPr>
      <w:rFonts w:ascii="Tahoma" w:eastAsia="Times New Roman" w:hAnsi="Tahoma" w:cs="Tahoma"/>
      <w:sz w:val="16"/>
      <w:szCs w:val="16"/>
    </w:rPr>
  </w:style>
  <w:style w:type="paragraph" w:styleId="ListParagraph">
    <w:name w:val="List Paragraph"/>
    <w:basedOn w:val="Normal"/>
    <w:uiPriority w:val="34"/>
    <w:qFormat/>
    <w:rsid w:val="00F13A0A"/>
    <w:pPr>
      <w:ind w:left="720"/>
      <w:contextualSpacing/>
    </w:pPr>
  </w:style>
  <w:style w:type="paragraph" w:styleId="Header">
    <w:name w:val="header"/>
    <w:basedOn w:val="Normal"/>
    <w:link w:val="HeaderChar"/>
    <w:uiPriority w:val="99"/>
    <w:unhideWhenUsed/>
    <w:rsid w:val="00827000"/>
    <w:pPr>
      <w:tabs>
        <w:tab w:val="center" w:pos="4680"/>
        <w:tab w:val="right" w:pos="9360"/>
      </w:tabs>
    </w:pPr>
  </w:style>
  <w:style w:type="character" w:customStyle="1" w:styleId="HeaderChar">
    <w:name w:val="Header Char"/>
    <w:basedOn w:val="DefaultParagraphFont"/>
    <w:link w:val="Header"/>
    <w:uiPriority w:val="99"/>
    <w:rsid w:val="008270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000"/>
    <w:pPr>
      <w:tabs>
        <w:tab w:val="center" w:pos="4680"/>
        <w:tab w:val="right" w:pos="9360"/>
      </w:tabs>
    </w:pPr>
  </w:style>
  <w:style w:type="character" w:customStyle="1" w:styleId="FooterChar">
    <w:name w:val="Footer Char"/>
    <w:basedOn w:val="DefaultParagraphFont"/>
    <w:link w:val="Footer"/>
    <w:uiPriority w:val="99"/>
    <w:rsid w:val="00827000"/>
    <w:rPr>
      <w:rFonts w:ascii="Times New Roman" w:eastAsia="Times New Roman" w:hAnsi="Times New Roman" w:cs="Times New Roman"/>
      <w:sz w:val="24"/>
      <w:szCs w:val="24"/>
    </w:rPr>
  </w:style>
  <w:style w:type="table" w:styleId="TableGrid">
    <w:name w:val="Table Grid"/>
    <w:basedOn w:val="TableNormal"/>
    <w:uiPriority w:val="59"/>
    <w:rsid w:val="00B3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686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51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51"/>
    <w:pPr>
      <w:spacing w:after="0" w:line="240" w:lineRule="auto"/>
    </w:pPr>
    <w:rPr>
      <w:rFonts w:ascii="Times New Roman" w:eastAsia="Times New Roman" w:hAnsi="Times New Roman" w:cs="Times New Roman"/>
      <w:sz w:val="24"/>
      <w:szCs w:val="24"/>
    </w:rPr>
  </w:style>
  <w:style w:type="paragraph" w:styleId="Heading4">
    <w:name w:val="heading 4"/>
    <w:aliases w:val="Map Title"/>
    <w:basedOn w:val="Normal"/>
    <w:next w:val="Normal"/>
    <w:link w:val="Heading4Char"/>
    <w:qFormat/>
    <w:rsid w:val="00161E51"/>
    <w:pPr>
      <w:spacing w:after="240"/>
      <w:outlineLvl w:val="3"/>
    </w:pPr>
    <w:rPr>
      <w:rFonts w:ascii="Arial" w:hAnsi="Arial"/>
      <w:b/>
      <w:sz w:val="32"/>
      <w:szCs w:val="20"/>
    </w:rPr>
  </w:style>
  <w:style w:type="paragraph" w:styleId="Heading5">
    <w:name w:val="heading 5"/>
    <w:aliases w:val="Block Label"/>
    <w:basedOn w:val="Normal"/>
    <w:link w:val="Heading5Char"/>
    <w:qFormat/>
    <w:rsid w:val="00161E51"/>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rsid w:val="00161E51"/>
    <w:rPr>
      <w:rFonts w:ascii="Arial" w:eastAsia="Times New Roman" w:hAnsi="Arial" w:cs="Times New Roman"/>
      <w:b/>
      <w:sz w:val="32"/>
      <w:szCs w:val="20"/>
    </w:rPr>
  </w:style>
  <w:style w:type="character" w:customStyle="1" w:styleId="Heading5Char">
    <w:name w:val="Heading 5 Char"/>
    <w:aliases w:val="Block Label Char"/>
    <w:basedOn w:val="DefaultParagraphFont"/>
    <w:link w:val="Heading5"/>
    <w:rsid w:val="00161E51"/>
    <w:rPr>
      <w:rFonts w:ascii="Times New Roman" w:eastAsia="Times New Roman" w:hAnsi="Times New Roman" w:cs="Times New Roman"/>
      <w:b/>
      <w:szCs w:val="20"/>
    </w:rPr>
  </w:style>
  <w:style w:type="paragraph" w:customStyle="1" w:styleId="BlockLine">
    <w:name w:val="Block Line"/>
    <w:basedOn w:val="Normal"/>
    <w:next w:val="Normal"/>
    <w:rsid w:val="00161E51"/>
    <w:pPr>
      <w:pBdr>
        <w:top w:val="single" w:sz="6" w:space="1" w:color="auto"/>
        <w:between w:val="single" w:sz="6" w:space="1" w:color="auto"/>
      </w:pBdr>
      <w:spacing w:before="240"/>
      <w:ind w:left="1728"/>
    </w:pPr>
    <w:rPr>
      <w:szCs w:val="20"/>
    </w:rPr>
  </w:style>
  <w:style w:type="paragraph" w:styleId="BlockText">
    <w:name w:val="Block Text"/>
    <w:basedOn w:val="Normal"/>
    <w:rsid w:val="00161E51"/>
  </w:style>
  <w:style w:type="paragraph" w:customStyle="1" w:styleId="BulletText1">
    <w:name w:val="Bullet Text 1"/>
    <w:basedOn w:val="Normal"/>
    <w:rsid w:val="00161E51"/>
    <w:pPr>
      <w:numPr>
        <w:numId w:val="1"/>
      </w:numPr>
      <w:tabs>
        <w:tab w:val="clear" w:pos="173"/>
      </w:tabs>
      <w:ind w:left="187" w:hanging="187"/>
    </w:pPr>
    <w:rPr>
      <w:szCs w:val="20"/>
    </w:rPr>
  </w:style>
  <w:style w:type="paragraph" w:customStyle="1" w:styleId="TableText">
    <w:name w:val="Table Text"/>
    <w:basedOn w:val="Normal"/>
    <w:rsid w:val="00161E51"/>
    <w:rPr>
      <w:szCs w:val="20"/>
    </w:rPr>
  </w:style>
  <w:style w:type="paragraph" w:customStyle="1" w:styleId="TableHeaderText">
    <w:name w:val="Table Header Text"/>
    <w:basedOn w:val="Normal"/>
    <w:rsid w:val="00161E51"/>
    <w:pPr>
      <w:jc w:val="center"/>
    </w:pPr>
    <w:rPr>
      <w:b/>
      <w:szCs w:val="20"/>
    </w:rPr>
  </w:style>
  <w:style w:type="paragraph" w:customStyle="1" w:styleId="BulletText2">
    <w:name w:val="Bullet Text 2"/>
    <w:basedOn w:val="Normal"/>
    <w:rsid w:val="00155BED"/>
    <w:pPr>
      <w:numPr>
        <w:numId w:val="2"/>
      </w:numPr>
      <w:tabs>
        <w:tab w:val="clear" w:pos="360"/>
      </w:tabs>
    </w:pPr>
    <w:rPr>
      <w:szCs w:val="20"/>
    </w:rPr>
  </w:style>
  <w:style w:type="paragraph" w:customStyle="1" w:styleId="ContinuedOnNextPa">
    <w:name w:val="Continued On Next Pa"/>
    <w:basedOn w:val="Normal"/>
    <w:next w:val="Normal"/>
    <w:rsid w:val="00155BED"/>
    <w:pPr>
      <w:pBdr>
        <w:top w:val="single" w:sz="6" w:space="1" w:color="auto"/>
        <w:between w:val="single" w:sz="6" w:space="1" w:color="auto"/>
      </w:pBdr>
      <w:spacing w:before="240"/>
      <w:ind w:left="1728"/>
      <w:jc w:val="right"/>
    </w:pPr>
    <w:rPr>
      <w:i/>
      <w:sz w:val="20"/>
      <w:szCs w:val="20"/>
    </w:rPr>
  </w:style>
  <w:style w:type="paragraph" w:customStyle="1" w:styleId="NoteText">
    <w:name w:val="Note Text"/>
    <w:basedOn w:val="Normal"/>
    <w:rsid w:val="00155BED"/>
    <w:rPr>
      <w:szCs w:val="20"/>
    </w:rPr>
  </w:style>
  <w:style w:type="paragraph" w:customStyle="1" w:styleId="ContinuedTableLabe">
    <w:name w:val="Continued Table Labe"/>
    <w:basedOn w:val="Normal"/>
    <w:rsid w:val="00CE3169"/>
    <w:rPr>
      <w:b/>
      <w:sz w:val="22"/>
      <w:szCs w:val="20"/>
    </w:rPr>
  </w:style>
  <w:style w:type="character" w:styleId="Hyperlink">
    <w:name w:val="Hyperlink"/>
    <w:semiHidden/>
    <w:rsid w:val="00CA04F2"/>
    <w:rPr>
      <w:color w:val="0000FF"/>
      <w:sz w:val="20"/>
      <w:u w:val="single"/>
    </w:rPr>
  </w:style>
  <w:style w:type="paragraph" w:customStyle="1" w:styleId="MapTitleContinued">
    <w:name w:val="Map Title. Continued"/>
    <w:basedOn w:val="Normal"/>
    <w:rsid w:val="00FF6D0E"/>
    <w:pPr>
      <w:spacing w:after="240"/>
    </w:pPr>
    <w:rPr>
      <w:rFonts w:ascii="Arial" w:hAnsi="Arial"/>
      <w:b/>
      <w:sz w:val="32"/>
      <w:szCs w:val="20"/>
    </w:rPr>
  </w:style>
  <w:style w:type="character" w:styleId="CommentReference">
    <w:name w:val="annotation reference"/>
    <w:basedOn w:val="DefaultParagraphFont"/>
    <w:uiPriority w:val="99"/>
    <w:semiHidden/>
    <w:unhideWhenUsed/>
    <w:rsid w:val="00F13A0A"/>
    <w:rPr>
      <w:sz w:val="16"/>
      <w:szCs w:val="16"/>
    </w:rPr>
  </w:style>
  <w:style w:type="paragraph" w:styleId="CommentText">
    <w:name w:val="annotation text"/>
    <w:basedOn w:val="Normal"/>
    <w:link w:val="CommentTextChar"/>
    <w:uiPriority w:val="99"/>
    <w:semiHidden/>
    <w:unhideWhenUsed/>
    <w:rsid w:val="00F13A0A"/>
    <w:rPr>
      <w:sz w:val="20"/>
      <w:szCs w:val="20"/>
    </w:rPr>
  </w:style>
  <w:style w:type="character" w:customStyle="1" w:styleId="CommentTextChar">
    <w:name w:val="Comment Text Char"/>
    <w:basedOn w:val="DefaultParagraphFont"/>
    <w:link w:val="CommentText"/>
    <w:uiPriority w:val="99"/>
    <w:semiHidden/>
    <w:rsid w:val="00F13A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A0A"/>
    <w:rPr>
      <w:b/>
      <w:bCs/>
    </w:rPr>
  </w:style>
  <w:style w:type="character" w:customStyle="1" w:styleId="CommentSubjectChar">
    <w:name w:val="Comment Subject Char"/>
    <w:basedOn w:val="CommentTextChar"/>
    <w:link w:val="CommentSubject"/>
    <w:uiPriority w:val="99"/>
    <w:semiHidden/>
    <w:rsid w:val="00F13A0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3A0A"/>
    <w:rPr>
      <w:rFonts w:ascii="Tahoma" w:hAnsi="Tahoma" w:cs="Tahoma"/>
      <w:sz w:val="16"/>
      <w:szCs w:val="16"/>
    </w:rPr>
  </w:style>
  <w:style w:type="character" w:customStyle="1" w:styleId="BalloonTextChar">
    <w:name w:val="Balloon Text Char"/>
    <w:basedOn w:val="DefaultParagraphFont"/>
    <w:link w:val="BalloonText"/>
    <w:uiPriority w:val="99"/>
    <w:semiHidden/>
    <w:rsid w:val="00F13A0A"/>
    <w:rPr>
      <w:rFonts w:ascii="Tahoma" w:eastAsia="Times New Roman" w:hAnsi="Tahoma" w:cs="Tahoma"/>
      <w:sz w:val="16"/>
      <w:szCs w:val="16"/>
    </w:rPr>
  </w:style>
  <w:style w:type="paragraph" w:styleId="ListParagraph">
    <w:name w:val="List Paragraph"/>
    <w:basedOn w:val="Normal"/>
    <w:uiPriority w:val="34"/>
    <w:qFormat/>
    <w:rsid w:val="00F13A0A"/>
    <w:pPr>
      <w:ind w:left="720"/>
      <w:contextualSpacing/>
    </w:pPr>
  </w:style>
  <w:style w:type="paragraph" w:styleId="Header">
    <w:name w:val="header"/>
    <w:basedOn w:val="Normal"/>
    <w:link w:val="HeaderChar"/>
    <w:uiPriority w:val="99"/>
    <w:unhideWhenUsed/>
    <w:rsid w:val="00827000"/>
    <w:pPr>
      <w:tabs>
        <w:tab w:val="center" w:pos="4680"/>
        <w:tab w:val="right" w:pos="9360"/>
      </w:tabs>
    </w:pPr>
  </w:style>
  <w:style w:type="character" w:customStyle="1" w:styleId="HeaderChar">
    <w:name w:val="Header Char"/>
    <w:basedOn w:val="DefaultParagraphFont"/>
    <w:link w:val="Header"/>
    <w:uiPriority w:val="99"/>
    <w:rsid w:val="008270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000"/>
    <w:pPr>
      <w:tabs>
        <w:tab w:val="center" w:pos="4680"/>
        <w:tab w:val="right" w:pos="9360"/>
      </w:tabs>
    </w:pPr>
  </w:style>
  <w:style w:type="character" w:customStyle="1" w:styleId="FooterChar">
    <w:name w:val="Footer Char"/>
    <w:basedOn w:val="DefaultParagraphFont"/>
    <w:link w:val="Footer"/>
    <w:uiPriority w:val="99"/>
    <w:rsid w:val="00827000"/>
    <w:rPr>
      <w:rFonts w:ascii="Times New Roman" w:eastAsia="Times New Roman" w:hAnsi="Times New Roman" w:cs="Times New Roman"/>
      <w:sz w:val="24"/>
      <w:szCs w:val="24"/>
    </w:rPr>
  </w:style>
  <w:style w:type="table" w:styleId="TableGrid">
    <w:name w:val="Table Grid"/>
    <w:basedOn w:val="TableNormal"/>
    <w:uiPriority w:val="59"/>
    <w:rsid w:val="00B3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686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5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nefits.va.gov/WARMS/docs/admin21/m21_1/mr/part3/subptvi/ch05/ch05_seca.doc" TargetMode="External"/><Relationship Id="rId18" Type="http://schemas.openxmlformats.org/officeDocument/2006/relationships/hyperlink" Target="http://www.benefits.va.gov/WARMS/docs/admin21/m21_1/mr/part1/ch02/M21-1MRI_2_B.docx" TargetMode="External"/><Relationship Id="rId3" Type="http://schemas.openxmlformats.org/officeDocument/2006/relationships/customXml" Target="../customXml/item3.xml"/><Relationship Id="rId21" Type="http://schemas.openxmlformats.org/officeDocument/2006/relationships/hyperlink" Target="http://www.benefits.va.gov/WARMS/docs/regs/38cfr/bookb/part3/s3_1.doc" TargetMode="External"/><Relationship Id="rId7" Type="http://schemas.openxmlformats.org/officeDocument/2006/relationships/settings" Target="settings.xml"/><Relationship Id="rId12" Type="http://schemas.openxmlformats.org/officeDocument/2006/relationships/hyperlink" Target="http://www.benefits.va.gov/WARMS/docs/admin21/m21_1/mr/part5/subptiii/ch01/pt05_sp03_ch01_secI.doc" TargetMode="External"/><Relationship Id="rId17" Type="http://schemas.openxmlformats.org/officeDocument/2006/relationships/hyperlink" Target="http://www.benefits.va.gov/WARMS/docs/admin21/m21_1/mr/part4/subptii/ch02/M21-1MRIV_ii_2_secF.do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vbaw.vba.va.gov/VetsNet/Awards_Docs/Awards%20User%20Guide.pdf" TargetMode="External"/><Relationship Id="rId20" Type="http://schemas.openxmlformats.org/officeDocument/2006/relationships/hyperlink" Target="http://www.benefits.va.gov/WARMS/docs/regs/38cfr/bookb/part3/S3_950.doc"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enefits.va.gov/WARMS/docs/admin21/m21_1/mr/part5/subptiii/ch01/ch1_secI.do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benefits.va.gov/WARMS/docs/admin21/m21_1/mr/part1/ch02/ch02_seca.doc" TargetMode="External"/><Relationship Id="rId23"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benefits.va.gov/WARMS/docs/admin21/m21_1/mr/part3/subptvi/ch05/ch05_seca.do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enefits.va.gov/WARMS/docs/admin21/m21_1/mr/part3/subptvi/ch05/ch05_secb.doc"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b438dcf7-3998-4283-b7fc-0ec6fa8e430f">1</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776AF772BF364D8E899CBB1EA8E540" ma:contentTypeVersion="2" ma:contentTypeDescription="Create a new document." ma:contentTypeScope="" ma:versionID="f46cc7b5527e7c7d5dbbc0c04eeeb083">
  <xsd:schema xmlns:xsd="http://www.w3.org/2001/XMLSchema" xmlns:xs="http://www.w3.org/2001/XMLSchema" xmlns:p="http://schemas.microsoft.com/office/2006/metadata/properties" xmlns:ns2="b438dcf7-3998-4283-b7fc-0ec6fa8e430f" targetNamespace="http://schemas.microsoft.com/office/2006/metadata/properties" ma:root="true" ma:fieldsID="f3f4c0ff34dd50b43aae98cd4e8e0e68" ns2:_="">
    <xsd:import namespace="b438dcf7-3998-4283-b7fc-0ec6fa8e430f"/>
    <xsd:element name="properties">
      <xsd:complexType>
        <xsd:sequence>
          <xsd:element name="documentManagement">
            <xsd:complexType>
              <xsd:all>
                <xsd:element ref="ns2:Orde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dcf7-3998-4283-b7fc-0ec6fa8e430f" elementFormDefault="qualified">
    <xsd:import namespace="http://schemas.microsoft.com/office/2006/documentManagement/types"/>
    <xsd:import namespace="http://schemas.microsoft.com/office/infopath/2007/PartnerControls"/>
    <xsd:element name="Order0" ma:index="8" ma:displayName="Order" ma:internalName="Order0"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76D24-AC33-42C6-BAF4-A93252EF118A}">
  <ds:schemaRefs>
    <ds:schemaRef ds:uri="http://schemas.microsoft.com/office/2006/metadata/properties"/>
    <ds:schemaRef ds:uri="http://schemas.openxmlformats.org/package/2006/metadata/core-properties"/>
    <ds:schemaRef ds:uri="http://purl.org/dc/terms/"/>
    <ds:schemaRef ds:uri="b438dcf7-3998-4283-b7fc-0ec6fa8e430f"/>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7AA0919-8068-460C-8D81-8AF56A6049CB}">
  <ds:schemaRefs>
    <ds:schemaRef ds:uri="http://schemas.microsoft.com/sharepoint/v3/contenttype/forms"/>
  </ds:schemaRefs>
</ds:datastoreItem>
</file>

<file path=customXml/itemProps3.xml><?xml version="1.0" encoding="utf-8"?>
<ds:datastoreItem xmlns:ds="http://schemas.openxmlformats.org/officeDocument/2006/customXml" ds:itemID="{2307597F-A0A1-4D74-BCA5-95AAC8985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dcf7-3998-4283-b7fc-0ec6fa8e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31</Pages>
  <Words>5323</Words>
  <Characters>30343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Klusman, David R., VBAVACO</dc:creator>
  <cp:lastModifiedBy>Amy Hamma</cp:lastModifiedBy>
  <cp:revision>40</cp:revision>
  <dcterms:created xsi:type="dcterms:W3CDTF">2015-01-08T14:43:00Z</dcterms:created>
  <dcterms:modified xsi:type="dcterms:W3CDTF">2015-03-30T19:24:00Z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0x010100A3776AF772BF364D8E899CBB1EA8E540</vt:lpwstr>
  </property>
</Properties>
</file>