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C8E66" w14:textId="7E624A67" w:rsidR="004C02B2" w:rsidRPr="00757A01" w:rsidRDefault="004C02B2" w:rsidP="00444B2C">
      <w:pPr>
        <w:pStyle w:val="Heading4"/>
        <w:jc w:val="center"/>
      </w:pPr>
      <w:bookmarkStart w:id="0" w:name="_GoBack"/>
      <w:bookmarkEnd w:id="0"/>
      <w:r w:rsidRPr="00757A01">
        <w:t xml:space="preserve">Section B.  </w:t>
      </w:r>
      <w:r w:rsidR="008814FD" w:rsidRPr="00757A01">
        <w:t xml:space="preserve">Federal Tax Information </w:t>
      </w:r>
      <w:r w:rsidR="00DC6B22" w:rsidRPr="00757A01">
        <w:t xml:space="preserve">(FTI) Match: </w:t>
      </w:r>
      <w:r w:rsidRPr="00757A01">
        <w:t>Safeguarding</w:t>
      </w:r>
    </w:p>
    <w:p w14:paraId="57EC8E67" w14:textId="77777777" w:rsidR="004C02B2" w:rsidRPr="00757A01" w:rsidRDefault="004C02B2" w:rsidP="004C02B2">
      <w:pPr>
        <w:pStyle w:val="Heading4"/>
      </w:pPr>
      <w:r w:rsidRPr="00757A01">
        <w:t>Overview</w:t>
      </w:r>
    </w:p>
    <w:p w14:paraId="57EC8E68" w14:textId="77777777" w:rsidR="004C02B2" w:rsidRPr="00757A01" w:rsidRDefault="004C02B2" w:rsidP="004C02B2"/>
    <w:p w14:paraId="57EC8E69" w14:textId="77777777" w:rsidR="004C02B2" w:rsidRPr="00757A01" w:rsidRDefault="004C02B2" w:rsidP="004C02B2">
      <w:pPr>
        <w:pStyle w:val="BlockLine"/>
      </w:pPr>
      <w:r w:rsidRPr="00757A01">
        <w:fldChar w:fldCharType="begin"/>
      </w:r>
      <w:r w:rsidRPr="00757A01">
        <w:instrText xml:space="preserve"> PRIVATE INFOTYPE="OTHER" </w:instrText>
      </w:r>
      <w:r w:rsidRPr="00757A01">
        <w:fldChar w:fldCharType="end"/>
      </w:r>
    </w:p>
    <w:tbl>
      <w:tblPr>
        <w:tblW w:w="0" w:type="auto"/>
        <w:tblLayout w:type="fixed"/>
        <w:tblLook w:val="0000" w:firstRow="0" w:lastRow="0" w:firstColumn="0" w:lastColumn="0" w:noHBand="0" w:noVBand="0"/>
      </w:tblPr>
      <w:tblGrid>
        <w:gridCol w:w="1728"/>
        <w:gridCol w:w="7740"/>
      </w:tblGrid>
      <w:tr w:rsidR="004C02B2" w:rsidRPr="00757A01" w14:paraId="57EC8E93" w14:textId="77777777" w:rsidTr="00DD386E">
        <w:trPr>
          <w:cantSplit/>
        </w:trPr>
        <w:tc>
          <w:tcPr>
            <w:tcW w:w="1728" w:type="dxa"/>
          </w:tcPr>
          <w:p w14:paraId="57EC8E6A" w14:textId="77777777" w:rsidR="004C02B2" w:rsidRPr="00757A01" w:rsidRDefault="004C02B2" w:rsidP="00DD386E">
            <w:pPr>
              <w:pStyle w:val="Heading5"/>
            </w:pPr>
            <w:r w:rsidRPr="00757A01">
              <w:t>In This Section</w:t>
            </w:r>
          </w:p>
          <w:p w14:paraId="57EC8E6B" w14:textId="77777777" w:rsidR="004C02B2" w:rsidRPr="00757A01" w:rsidRDefault="004C02B2" w:rsidP="00DD386E">
            <w:pPr>
              <w:pStyle w:val="Heading5"/>
            </w:pPr>
          </w:p>
          <w:p w14:paraId="57EC8E6C" w14:textId="77777777" w:rsidR="004C02B2" w:rsidRPr="00757A01" w:rsidRDefault="004C02B2" w:rsidP="00DD386E">
            <w:pPr>
              <w:pStyle w:val="Heading5"/>
            </w:pPr>
          </w:p>
          <w:p w14:paraId="57EC8E6D" w14:textId="77777777" w:rsidR="004C02B2" w:rsidRPr="00757A01" w:rsidRDefault="004C02B2" w:rsidP="00DD386E">
            <w:pPr>
              <w:pStyle w:val="Heading5"/>
            </w:pPr>
          </w:p>
          <w:p w14:paraId="57EC8E6E" w14:textId="77777777" w:rsidR="004C02B2" w:rsidRPr="00757A01" w:rsidRDefault="004C02B2" w:rsidP="00DD386E">
            <w:pPr>
              <w:pStyle w:val="Heading5"/>
            </w:pPr>
          </w:p>
          <w:p w14:paraId="57EC8E6F" w14:textId="77777777" w:rsidR="004C02B2" w:rsidRPr="00757A01" w:rsidRDefault="004C02B2" w:rsidP="00DD386E">
            <w:pPr>
              <w:pStyle w:val="Heading5"/>
            </w:pPr>
          </w:p>
          <w:p w14:paraId="57EC8E70" w14:textId="77777777" w:rsidR="004C02B2" w:rsidRPr="00757A01" w:rsidRDefault="004C02B2" w:rsidP="00DD386E">
            <w:pPr>
              <w:pStyle w:val="Heading5"/>
            </w:pPr>
          </w:p>
          <w:p w14:paraId="57EC8E71" w14:textId="77777777" w:rsidR="004C02B2" w:rsidRPr="00757A01" w:rsidRDefault="004C02B2" w:rsidP="00DD386E">
            <w:pPr>
              <w:pStyle w:val="Heading5"/>
            </w:pPr>
          </w:p>
          <w:p w14:paraId="57EC8E72" w14:textId="77777777" w:rsidR="004C02B2" w:rsidRPr="00757A01" w:rsidRDefault="004C02B2" w:rsidP="00DD386E">
            <w:pPr>
              <w:pStyle w:val="Heading5"/>
            </w:pPr>
          </w:p>
          <w:p w14:paraId="57EC8E73" w14:textId="77777777" w:rsidR="004C02B2" w:rsidRPr="00757A01" w:rsidRDefault="004C02B2" w:rsidP="00DD386E">
            <w:pPr>
              <w:pStyle w:val="Heading5"/>
            </w:pPr>
          </w:p>
          <w:p w14:paraId="57EC8E74" w14:textId="77777777" w:rsidR="004C02B2" w:rsidRPr="00757A01" w:rsidRDefault="004C02B2" w:rsidP="00DD386E">
            <w:pPr>
              <w:pStyle w:val="Heading5"/>
            </w:pPr>
          </w:p>
          <w:p w14:paraId="57EC8E75" w14:textId="77777777" w:rsidR="004C02B2" w:rsidRPr="00757A01" w:rsidRDefault="004C02B2" w:rsidP="00DD386E">
            <w:pPr>
              <w:pStyle w:val="Heading5"/>
            </w:pPr>
          </w:p>
        </w:tc>
        <w:tc>
          <w:tcPr>
            <w:tcW w:w="7740" w:type="dxa"/>
          </w:tcPr>
          <w:p w14:paraId="57EC8E76" w14:textId="77777777" w:rsidR="004C02B2" w:rsidRPr="00757A01" w:rsidRDefault="004C02B2" w:rsidP="00DD386E">
            <w:pPr>
              <w:pStyle w:val="BlockText"/>
            </w:pPr>
            <w:r w:rsidRPr="00757A01">
              <w:t>This section contains the following topic:</w:t>
            </w:r>
          </w:p>
          <w:p w14:paraId="57EC8E77" w14:textId="77777777" w:rsidR="004C02B2" w:rsidRPr="00757A01" w:rsidRDefault="004C02B2" w:rsidP="00DD386E">
            <w:pPr>
              <w:pStyle w:val="BlockText"/>
            </w:pPr>
          </w:p>
          <w:tbl>
            <w:tblPr>
              <w:tblW w:w="6440" w:type="dxa"/>
              <w:tblLayout w:type="fixed"/>
              <w:tblCellMar>
                <w:left w:w="80" w:type="dxa"/>
                <w:right w:w="80" w:type="dxa"/>
              </w:tblCellMar>
              <w:tblLook w:val="0000" w:firstRow="0" w:lastRow="0" w:firstColumn="0" w:lastColumn="0" w:noHBand="0" w:noVBand="0"/>
            </w:tblPr>
            <w:tblGrid>
              <w:gridCol w:w="800"/>
              <w:gridCol w:w="5640"/>
            </w:tblGrid>
            <w:tr w:rsidR="004830D2" w:rsidRPr="00757A01" w14:paraId="57EC8E7B" w14:textId="77777777" w:rsidTr="004830D2">
              <w:trPr>
                <w:cantSplit/>
              </w:trPr>
              <w:tc>
                <w:tcPr>
                  <w:tcW w:w="800" w:type="dxa"/>
                  <w:tcBorders>
                    <w:top w:val="single" w:sz="6" w:space="0" w:color="auto"/>
                    <w:left w:val="single" w:sz="6" w:space="0" w:color="auto"/>
                    <w:bottom w:val="single" w:sz="6" w:space="0" w:color="auto"/>
                    <w:right w:val="single" w:sz="6" w:space="0" w:color="auto"/>
                  </w:tcBorders>
                </w:tcPr>
                <w:p w14:paraId="57EC8E78" w14:textId="77777777" w:rsidR="004830D2" w:rsidRPr="00757A01" w:rsidRDefault="004830D2" w:rsidP="00DD386E">
                  <w:pPr>
                    <w:pStyle w:val="TableHeaderText"/>
                  </w:pPr>
                  <w:r w:rsidRPr="00757A01">
                    <w:t>Topic</w:t>
                  </w:r>
                </w:p>
              </w:tc>
              <w:tc>
                <w:tcPr>
                  <w:tcW w:w="5640" w:type="dxa"/>
                  <w:tcBorders>
                    <w:top w:val="single" w:sz="6" w:space="0" w:color="auto"/>
                    <w:left w:val="single" w:sz="6" w:space="0" w:color="auto"/>
                    <w:bottom w:val="single" w:sz="6" w:space="0" w:color="auto"/>
                    <w:right w:val="single" w:sz="6" w:space="0" w:color="auto"/>
                  </w:tcBorders>
                </w:tcPr>
                <w:p w14:paraId="57EC8E79" w14:textId="77777777" w:rsidR="004830D2" w:rsidRPr="00757A01" w:rsidRDefault="004830D2" w:rsidP="00DD386E">
                  <w:pPr>
                    <w:pStyle w:val="TableHeaderText"/>
                  </w:pPr>
                  <w:r w:rsidRPr="00757A01">
                    <w:t>Topic Name</w:t>
                  </w:r>
                </w:p>
              </w:tc>
            </w:tr>
            <w:tr w:rsidR="004830D2" w:rsidRPr="00757A01" w14:paraId="57EC8E7F" w14:textId="77777777" w:rsidTr="004830D2">
              <w:trPr>
                <w:cantSplit/>
              </w:trPr>
              <w:tc>
                <w:tcPr>
                  <w:tcW w:w="800" w:type="dxa"/>
                  <w:tcBorders>
                    <w:top w:val="single" w:sz="6" w:space="0" w:color="auto"/>
                    <w:left w:val="single" w:sz="6" w:space="0" w:color="auto"/>
                    <w:bottom w:val="single" w:sz="6" w:space="0" w:color="auto"/>
                    <w:right w:val="single" w:sz="6" w:space="0" w:color="auto"/>
                  </w:tcBorders>
                  <w:vAlign w:val="bottom"/>
                </w:tcPr>
                <w:p w14:paraId="57EC8E7C" w14:textId="54071974" w:rsidR="004830D2" w:rsidRPr="00757A01" w:rsidRDefault="00C34731" w:rsidP="00DD386E">
                  <w:pPr>
                    <w:pStyle w:val="TableText"/>
                    <w:jc w:val="center"/>
                  </w:pPr>
                  <w:r w:rsidRPr="00757A01">
                    <w:t>1</w:t>
                  </w:r>
                </w:p>
              </w:tc>
              <w:tc>
                <w:tcPr>
                  <w:tcW w:w="5640" w:type="dxa"/>
                  <w:tcBorders>
                    <w:top w:val="single" w:sz="6" w:space="0" w:color="auto"/>
                    <w:left w:val="single" w:sz="6" w:space="0" w:color="auto"/>
                    <w:bottom w:val="single" w:sz="6" w:space="0" w:color="auto"/>
                    <w:right w:val="single" w:sz="6" w:space="0" w:color="auto"/>
                  </w:tcBorders>
                </w:tcPr>
                <w:p w14:paraId="57EC8E7D" w14:textId="0069739C" w:rsidR="004830D2" w:rsidRPr="00757A01" w:rsidRDefault="000D5908" w:rsidP="00DD386E">
                  <w:pPr>
                    <w:pStyle w:val="TableText"/>
                  </w:pPr>
                  <w:r w:rsidRPr="00757A01">
                    <w:t>General Safeguarding Procedures</w:t>
                  </w:r>
                </w:p>
              </w:tc>
            </w:tr>
            <w:tr w:rsidR="004830D2" w:rsidRPr="00757A01" w14:paraId="57EC8E83" w14:textId="77777777" w:rsidTr="004830D2">
              <w:trPr>
                <w:cantSplit/>
              </w:trPr>
              <w:tc>
                <w:tcPr>
                  <w:tcW w:w="800" w:type="dxa"/>
                  <w:tcBorders>
                    <w:top w:val="single" w:sz="6" w:space="0" w:color="auto"/>
                    <w:left w:val="single" w:sz="6" w:space="0" w:color="auto"/>
                    <w:bottom w:val="single" w:sz="6" w:space="0" w:color="auto"/>
                    <w:right w:val="single" w:sz="6" w:space="0" w:color="auto"/>
                  </w:tcBorders>
                  <w:vAlign w:val="bottom"/>
                </w:tcPr>
                <w:p w14:paraId="57EC8E80" w14:textId="2F68685C" w:rsidR="004830D2" w:rsidRPr="00757A01" w:rsidRDefault="00C34731" w:rsidP="00DD386E">
                  <w:pPr>
                    <w:pStyle w:val="TableText"/>
                    <w:jc w:val="center"/>
                  </w:pPr>
                  <w:r w:rsidRPr="00757A01">
                    <w:t>2</w:t>
                  </w:r>
                </w:p>
              </w:tc>
              <w:tc>
                <w:tcPr>
                  <w:tcW w:w="5640" w:type="dxa"/>
                  <w:tcBorders>
                    <w:top w:val="single" w:sz="6" w:space="0" w:color="auto"/>
                    <w:left w:val="single" w:sz="6" w:space="0" w:color="auto"/>
                    <w:bottom w:val="single" w:sz="6" w:space="0" w:color="auto"/>
                    <w:right w:val="single" w:sz="6" w:space="0" w:color="auto"/>
                  </w:tcBorders>
                </w:tcPr>
                <w:p w14:paraId="57EC8E81" w14:textId="77777777" w:rsidR="004830D2" w:rsidRPr="00757A01" w:rsidRDefault="004830D2" w:rsidP="00DD386E">
                  <w:pPr>
                    <w:pStyle w:val="TableText"/>
                  </w:pPr>
                  <w:r w:rsidRPr="00757A01">
                    <w:t>Storing and Handling of FTI</w:t>
                  </w:r>
                </w:p>
              </w:tc>
            </w:tr>
            <w:tr w:rsidR="004830D2" w:rsidRPr="00757A01" w14:paraId="57EC8E87" w14:textId="77777777" w:rsidTr="004830D2">
              <w:trPr>
                <w:cantSplit/>
              </w:trPr>
              <w:tc>
                <w:tcPr>
                  <w:tcW w:w="800" w:type="dxa"/>
                  <w:tcBorders>
                    <w:top w:val="single" w:sz="6" w:space="0" w:color="auto"/>
                    <w:left w:val="single" w:sz="6" w:space="0" w:color="auto"/>
                    <w:bottom w:val="single" w:sz="6" w:space="0" w:color="auto"/>
                    <w:right w:val="single" w:sz="6" w:space="0" w:color="auto"/>
                  </w:tcBorders>
                  <w:vAlign w:val="bottom"/>
                </w:tcPr>
                <w:p w14:paraId="57EC8E84" w14:textId="53785681" w:rsidR="004830D2" w:rsidRPr="00757A01" w:rsidRDefault="00C34731" w:rsidP="00DD386E">
                  <w:pPr>
                    <w:pStyle w:val="TableText"/>
                    <w:jc w:val="center"/>
                  </w:pPr>
                  <w:r w:rsidRPr="00757A01">
                    <w:t>3</w:t>
                  </w:r>
                </w:p>
              </w:tc>
              <w:tc>
                <w:tcPr>
                  <w:tcW w:w="5640" w:type="dxa"/>
                  <w:tcBorders>
                    <w:top w:val="single" w:sz="6" w:space="0" w:color="auto"/>
                    <w:left w:val="single" w:sz="6" w:space="0" w:color="auto"/>
                    <w:bottom w:val="single" w:sz="6" w:space="0" w:color="auto"/>
                    <w:right w:val="single" w:sz="6" w:space="0" w:color="auto"/>
                  </w:tcBorders>
                </w:tcPr>
                <w:p w14:paraId="57EC8E85" w14:textId="77777777" w:rsidR="004830D2" w:rsidRPr="00757A01" w:rsidRDefault="004830D2" w:rsidP="00DD386E">
                  <w:pPr>
                    <w:pStyle w:val="TableText"/>
                  </w:pPr>
                  <w:r w:rsidRPr="00757A01">
                    <w:t>Disclosure of FTI</w:t>
                  </w:r>
                </w:p>
              </w:tc>
            </w:tr>
            <w:tr w:rsidR="004830D2" w:rsidRPr="00757A01" w14:paraId="57EC8E8B" w14:textId="77777777" w:rsidTr="004830D2">
              <w:trPr>
                <w:cantSplit/>
              </w:trPr>
              <w:tc>
                <w:tcPr>
                  <w:tcW w:w="800" w:type="dxa"/>
                  <w:tcBorders>
                    <w:top w:val="single" w:sz="6" w:space="0" w:color="auto"/>
                    <w:left w:val="single" w:sz="6" w:space="0" w:color="auto"/>
                    <w:bottom w:val="single" w:sz="6" w:space="0" w:color="auto"/>
                    <w:right w:val="single" w:sz="6" w:space="0" w:color="auto"/>
                  </w:tcBorders>
                  <w:vAlign w:val="bottom"/>
                </w:tcPr>
                <w:p w14:paraId="57EC8E88" w14:textId="4A9B7ED6" w:rsidR="004830D2" w:rsidRPr="00757A01" w:rsidRDefault="00C34731" w:rsidP="00DD386E">
                  <w:pPr>
                    <w:pStyle w:val="TableText"/>
                    <w:jc w:val="center"/>
                  </w:pPr>
                  <w:r w:rsidRPr="00757A01">
                    <w:t>4</w:t>
                  </w:r>
                </w:p>
              </w:tc>
              <w:tc>
                <w:tcPr>
                  <w:tcW w:w="5640" w:type="dxa"/>
                  <w:tcBorders>
                    <w:top w:val="single" w:sz="6" w:space="0" w:color="auto"/>
                    <w:left w:val="single" w:sz="6" w:space="0" w:color="auto"/>
                    <w:bottom w:val="single" w:sz="6" w:space="0" w:color="auto"/>
                    <w:right w:val="single" w:sz="6" w:space="0" w:color="auto"/>
                  </w:tcBorders>
                </w:tcPr>
                <w:p w14:paraId="57EC8E89" w14:textId="77777777" w:rsidR="004830D2" w:rsidRPr="00757A01" w:rsidRDefault="004830D2" w:rsidP="00DD386E">
                  <w:pPr>
                    <w:pStyle w:val="TableText"/>
                  </w:pPr>
                  <w:r w:rsidRPr="00757A01">
                    <w:t>Limitation on Fiduciary Contact</w:t>
                  </w:r>
                </w:p>
              </w:tc>
            </w:tr>
            <w:tr w:rsidR="004830D2" w:rsidRPr="00757A01" w14:paraId="57EC8E8F" w14:textId="77777777" w:rsidTr="004830D2">
              <w:trPr>
                <w:cantSplit/>
              </w:trPr>
              <w:tc>
                <w:tcPr>
                  <w:tcW w:w="800" w:type="dxa"/>
                  <w:tcBorders>
                    <w:top w:val="single" w:sz="6" w:space="0" w:color="auto"/>
                    <w:left w:val="single" w:sz="6" w:space="0" w:color="auto"/>
                    <w:bottom w:val="single" w:sz="6" w:space="0" w:color="auto"/>
                    <w:right w:val="single" w:sz="6" w:space="0" w:color="auto"/>
                  </w:tcBorders>
                  <w:vAlign w:val="bottom"/>
                </w:tcPr>
                <w:p w14:paraId="57EC8E8C" w14:textId="4A5DA7C4" w:rsidR="004830D2" w:rsidRPr="00757A01" w:rsidRDefault="00C34731" w:rsidP="00DD386E">
                  <w:pPr>
                    <w:pStyle w:val="TableText"/>
                    <w:jc w:val="center"/>
                  </w:pPr>
                  <w:r w:rsidRPr="00757A01">
                    <w:t>5</w:t>
                  </w:r>
                </w:p>
              </w:tc>
              <w:tc>
                <w:tcPr>
                  <w:tcW w:w="5640" w:type="dxa"/>
                  <w:tcBorders>
                    <w:top w:val="single" w:sz="6" w:space="0" w:color="auto"/>
                    <w:left w:val="single" w:sz="6" w:space="0" w:color="auto"/>
                    <w:bottom w:val="single" w:sz="6" w:space="0" w:color="auto"/>
                    <w:right w:val="single" w:sz="6" w:space="0" w:color="auto"/>
                  </w:tcBorders>
                </w:tcPr>
                <w:p w14:paraId="57EC8E8D" w14:textId="2DC6FDB0" w:rsidR="004830D2" w:rsidRPr="00757A01" w:rsidRDefault="004830D2" w:rsidP="00DD386E">
                  <w:pPr>
                    <w:pStyle w:val="TableText"/>
                  </w:pPr>
                  <w:r w:rsidRPr="00757A01">
                    <w:t>Internal Inspections Report</w:t>
                  </w:r>
                </w:p>
              </w:tc>
            </w:tr>
          </w:tbl>
          <w:p w14:paraId="57EC8E91" w14:textId="77777777" w:rsidR="004C02B2" w:rsidRPr="00757A01" w:rsidRDefault="004C02B2" w:rsidP="00DD386E">
            <w:pPr>
              <w:pStyle w:val="BlockLine"/>
              <w:ind w:left="0"/>
            </w:pPr>
            <w:r w:rsidRPr="00757A01">
              <w:fldChar w:fldCharType="begin"/>
            </w:r>
            <w:r w:rsidRPr="00757A01">
              <w:instrText xml:space="preserve"> PRIVATE INFOTYPE="OTHER" </w:instrText>
            </w:r>
            <w:r w:rsidRPr="00757A01">
              <w:fldChar w:fldCharType="end"/>
            </w:r>
          </w:p>
          <w:p w14:paraId="57EC8E92" w14:textId="77777777" w:rsidR="004C02B2" w:rsidRPr="00757A01" w:rsidRDefault="004C02B2" w:rsidP="00DD386E">
            <w:pPr>
              <w:pStyle w:val="BulletText1"/>
              <w:numPr>
                <w:ilvl w:val="0"/>
                <w:numId w:val="0"/>
              </w:numPr>
            </w:pPr>
          </w:p>
        </w:tc>
      </w:tr>
    </w:tbl>
    <w:p w14:paraId="57EC8E94" w14:textId="77777777" w:rsidR="00DD386E" w:rsidRPr="00757A01" w:rsidRDefault="00DD386E"/>
    <w:p w14:paraId="57EC8E95" w14:textId="77777777" w:rsidR="00A86279" w:rsidRPr="00757A01" w:rsidRDefault="00A86279"/>
    <w:p w14:paraId="57EC8E96" w14:textId="77777777" w:rsidR="00A86279" w:rsidRPr="00757A01" w:rsidRDefault="00A86279"/>
    <w:p w14:paraId="57EC8E97" w14:textId="77777777" w:rsidR="00A86279" w:rsidRPr="00757A01" w:rsidRDefault="00A86279"/>
    <w:p w14:paraId="57EC8E98" w14:textId="77777777" w:rsidR="00A86279" w:rsidRPr="00757A01" w:rsidRDefault="00A86279"/>
    <w:p w14:paraId="57EC8E99" w14:textId="77777777" w:rsidR="00A86279" w:rsidRPr="00757A01" w:rsidRDefault="00A86279"/>
    <w:p w14:paraId="57EC8E9A" w14:textId="77777777" w:rsidR="00A86279" w:rsidRPr="00757A01" w:rsidRDefault="00A86279"/>
    <w:p w14:paraId="57EC8E9B" w14:textId="77777777" w:rsidR="00A86279" w:rsidRPr="00757A01" w:rsidRDefault="00A86279"/>
    <w:p w14:paraId="7E7B9FA6" w14:textId="77777777" w:rsidR="00EF53FC" w:rsidRPr="00757A01" w:rsidRDefault="00EF53FC">
      <w:pPr>
        <w:spacing w:after="200" w:line="276" w:lineRule="auto"/>
        <w:rPr>
          <w:rFonts w:ascii="Arial" w:hAnsi="Arial"/>
          <w:b/>
          <w:sz w:val="32"/>
          <w:szCs w:val="20"/>
        </w:rPr>
      </w:pPr>
      <w:r w:rsidRPr="00757A01">
        <w:br w:type="page"/>
      </w:r>
    </w:p>
    <w:p w14:paraId="57EC8EAE" w14:textId="3355D290" w:rsidR="00A86279" w:rsidRPr="00757A01" w:rsidRDefault="00C34731" w:rsidP="00A86279">
      <w:pPr>
        <w:pStyle w:val="Heading4"/>
      </w:pPr>
      <w:r w:rsidRPr="00757A01">
        <w:lastRenderedPageBreak/>
        <w:t>1</w:t>
      </w:r>
      <w:r w:rsidR="00A86279" w:rsidRPr="00757A01">
        <w:t xml:space="preserve">.  </w:t>
      </w:r>
      <w:r w:rsidR="000D5908" w:rsidRPr="00757A01">
        <w:t>General Safeguarding Procedures</w:t>
      </w:r>
    </w:p>
    <w:p w14:paraId="57EC8EAF" w14:textId="77777777" w:rsidR="00A86279" w:rsidRPr="00757A01" w:rsidRDefault="00A86279" w:rsidP="00A86279">
      <w:pPr>
        <w:pStyle w:val="BlockLine"/>
      </w:pPr>
      <w:r w:rsidRPr="00757A01">
        <w:fldChar w:fldCharType="begin"/>
      </w:r>
      <w:r w:rsidRPr="00757A01">
        <w:instrText xml:space="preserve"> PRIVATE INFOTYPE="OTHER" </w:instrText>
      </w:r>
      <w:r w:rsidRPr="00757A01">
        <w:fldChar w:fldCharType="end"/>
      </w:r>
    </w:p>
    <w:tbl>
      <w:tblPr>
        <w:tblW w:w="0" w:type="auto"/>
        <w:tblLayout w:type="fixed"/>
        <w:tblLook w:val="0000" w:firstRow="0" w:lastRow="0" w:firstColumn="0" w:lastColumn="0" w:noHBand="0" w:noVBand="0"/>
      </w:tblPr>
      <w:tblGrid>
        <w:gridCol w:w="1728"/>
        <w:gridCol w:w="7740"/>
      </w:tblGrid>
      <w:tr w:rsidR="00A86279" w:rsidRPr="00757A01" w14:paraId="57EC8EBE" w14:textId="77777777" w:rsidTr="00DD386E">
        <w:trPr>
          <w:cantSplit/>
        </w:trPr>
        <w:tc>
          <w:tcPr>
            <w:tcW w:w="1728" w:type="dxa"/>
          </w:tcPr>
          <w:p w14:paraId="57EC8EB0" w14:textId="77777777" w:rsidR="00A86279" w:rsidRPr="00757A01" w:rsidRDefault="00A86279" w:rsidP="00DD386E">
            <w:pPr>
              <w:pStyle w:val="Heading5"/>
            </w:pPr>
            <w:r w:rsidRPr="00757A01">
              <w:t>Introduction</w:t>
            </w:r>
          </w:p>
        </w:tc>
        <w:tc>
          <w:tcPr>
            <w:tcW w:w="7740" w:type="dxa"/>
          </w:tcPr>
          <w:p w14:paraId="57EC8EB1" w14:textId="77777777" w:rsidR="00A86279" w:rsidRPr="00757A01" w:rsidRDefault="00A86279" w:rsidP="00DD386E">
            <w:pPr>
              <w:pStyle w:val="BlockText"/>
            </w:pPr>
            <w:r w:rsidRPr="00757A01">
              <w:t>This topic contains information on security and restrictions on release of tax data, including</w:t>
            </w:r>
          </w:p>
          <w:p w14:paraId="57EC8EB2" w14:textId="77777777" w:rsidR="00A86279" w:rsidRPr="00757A01" w:rsidRDefault="00A86279" w:rsidP="00DD386E">
            <w:pPr>
              <w:pStyle w:val="BlockText"/>
            </w:pPr>
          </w:p>
          <w:p w14:paraId="57EC8EB5" w14:textId="00BE2917" w:rsidR="00A86279" w:rsidRPr="00757A01" w:rsidRDefault="00A86279" w:rsidP="00A316B9">
            <w:pPr>
              <w:pStyle w:val="ListParagraph"/>
              <w:numPr>
                <w:ilvl w:val="0"/>
                <w:numId w:val="4"/>
              </w:numPr>
              <w:ind w:left="158" w:hanging="187"/>
            </w:pPr>
            <w:r w:rsidRPr="00757A01">
              <w:t>required safeguards</w:t>
            </w:r>
          </w:p>
          <w:p w14:paraId="57EC8EB6" w14:textId="77777777" w:rsidR="00A86279" w:rsidRPr="00757A01" w:rsidRDefault="00A86279" w:rsidP="00A316B9">
            <w:pPr>
              <w:pStyle w:val="ListParagraph"/>
              <w:numPr>
                <w:ilvl w:val="0"/>
                <w:numId w:val="7"/>
              </w:numPr>
              <w:ind w:left="158" w:hanging="187"/>
            </w:pPr>
            <w:r w:rsidRPr="00757A01">
              <w:t>security briefings</w:t>
            </w:r>
          </w:p>
          <w:p w14:paraId="57EC8EB7" w14:textId="77777777" w:rsidR="00A86279" w:rsidRPr="00757A01" w:rsidRDefault="00A86279" w:rsidP="00A316B9">
            <w:pPr>
              <w:pStyle w:val="ListParagraph"/>
              <w:numPr>
                <w:ilvl w:val="0"/>
                <w:numId w:val="8"/>
              </w:numPr>
              <w:ind w:left="158" w:hanging="187"/>
            </w:pPr>
            <w:r w:rsidRPr="00757A01">
              <w:t>penalties for tax information disclosure</w:t>
            </w:r>
          </w:p>
          <w:p w14:paraId="57EC8EB8" w14:textId="77777777" w:rsidR="00A86279" w:rsidRPr="00757A01" w:rsidRDefault="00A86279" w:rsidP="00A316B9">
            <w:pPr>
              <w:pStyle w:val="ListParagraph"/>
              <w:numPr>
                <w:ilvl w:val="0"/>
                <w:numId w:val="9"/>
              </w:numPr>
              <w:ind w:left="158" w:hanging="187"/>
            </w:pPr>
            <w:r w:rsidRPr="00757A01">
              <w:t>taxpayer civil suit</w:t>
            </w:r>
          </w:p>
          <w:p w14:paraId="0A1F1A3D" w14:textId="77777777" w:rsidR="004830D2" w:rsidRPr="00757A01" w:rsidRDefault="004830D2" w:rsidP="00A316B9">
            <w:pPr>
              <w:pStyle w:val="ListParagraph"/>
              <w:numPr>
                <w:ilvl w:val="0"/>
                <w:numId w:val="9"/>
              </w:numPr>
              <w:ind w:left="158" w:hanging="187"/>
            </w:pPr>
            <w:r w:rsidRPr="00757A01">
              <w:t>need to know</w:t>
            </w:r>
          </w:p>
          <w:p w14:paraId="663E4849" w14:textId="77777777" w:rsidR="004830D2" w:rsidRPr="00757A01" w:rsidRDefault="004830D2" w:rsidP="00A316B9">
            <w:pPr>
              <w:pStyle w:val="ListParagraph"/>
              <w:numPr>
                <w:ilvl w:val="0"/>
                <w:numId w:val="9"/>
              </w:numPr>
              <w:ind w:left="158" w:hanging="187"/>
            </w:pPr>
            <w:r w:rsidRPr="00757A01">
              <w:t>minimum protection standards</w:t>
            </w:r>
          </w:p>
          <w:p w14:paraId="77C342D2" w14:textId="77777777" w:rsidR="004830D2" w:rsidRPr="00757A01" w:rsidRDefault="004830D2" w:rsidP="00A316B9">
            <w:pPr>
              <w:pStyle w:val="ListParagraph"/>
              <w:numPr>
                <w:ilvl w:val="0"/>
                <w:numId w:val="9"/>
              </w:numPr>
              <w:ind w:left="158" w:hanging="187"/>
            </w:pPr>
            <w:r w:rsidRPr="00757A01">
              <w:t>transporting FTI</w:t>
            </w:r>
          </w:p>
          <w:p w14:paraId="57EC8EB9" w14:textId="638EDC68" w:rsidR="00A86279" w:rsidRPr="00757A01" w:rsidRDefault="004830D2" w:rsidP="00A316B9">
            <w:pPr>
              <w:pStyle w:val="ListParagraph"/>
              <w:numPr>
                <w:ilvl w:val="0"/>
                <w:numId w:val="9"/>
              </w:numPr>
              <w:ind w:left="158" w:hanging="187"/>
            </w:pPr>
            <w:r w:rsidRPr="00757A01">
              <w:t>releasing FTI by Fax</w:t>
            </w:r>
            <w:r w:rsidR="00A86279" w:rsidRPr="00757A01" w:rsidDel="00C87DA7">
              <w:t xml:space="preserve"> </w:t>
            </w:r>
          </w:p>
          <w:p w14:paraId="57EC8EBA" w14:textId="77777777" w:rsidR="00A86279" w:rsidRPr="00757A01" w:rsidRDefault="00A86279" w:rsidP="00A316B9">
            <w:pPr>
              <w:pStyle w:val="ListParagraph"/>
              <w:numPr>
                <w:ilvl w:val="0"/>
                <w:numId w:val="11"/>
              </w:numPr>
              <w:ind w:left="158" w:hanging="187"/>
            </w:pPr>
            <w:r w:rsidRPr="00757A01">
              <w:t>e-mailing FTI</w:t>
            </w:r>
            <w:r w:rsidRPr="00757A01" w:rsidDel="00C87DA7">
              <w:t xml:space="preserve"> </w:t>
            </w:r>
          </w:p>
          <w:p w14:paraId="57EC8EBB" w14:textId="7AAA756E" w:rsidR="00A86279" w:rsidRPr="00757A01" w:rsidRDefault="00A86279" w:rsidP="00A316B9">
            <w:pPr>
              <w:pStyle w:val="ListParagraph"/>
              <w:numPr>
                <w:ilvl w:val="0"/>
                <w:numId w:val="12"/>
              </w:numPr>
              <w:ind w:left="158" w:hanging="187"/>
            </w:pPr>
            <w:r w:rsidRPr="00757A01">
              <w:t xml:space="preserve">releasing information </w:t>
            </w:r>
            <w:r w:rsidR="00816879" w:rsidRPr="00757A01">
              <w:t>over the telephone, and</w:t>
            </w:r>
          </w:p>
          <w:p w14:paraId="57EC8EBD" w14:textId="77777777" w:rsidR="00A86279" w:rsidRPr="00757A01" w:rsidRDefault="00A86279" w:rsidP="00A316B9">
            <w:pPr>
              <w:pStyle w:val="ListParagraph"/>
              <w:numPr>
                <w:ilvl w:val="0"/>
                <w:numId w:val="13"/>
              </w:numPr>
              <w:ind w:left="158" w:hanging="187"/>
            </w:pPr>
            <w:r w:rsidRPr="00757A01">
              <w:t>tailgating</w:t>
            </w:r>
          </w:p>
        </w:tc>
      </w:tr>
    </w:tbl>
    <w:p w14:paraId="57EC8EBF" w14:textId="09FC6A5B" w:rsidR="00A86279" w:rsidRPr="00757A01" w:rsidRDefault="00A86279" w:rsidP="00A86279">
      <w:pPr>
        <w:pStyle w:val="BlockLine"/>
      </w:pPr>
    </w:p>
    <w:tbl>
      <w:tblPr>
        <w:tblW w:w="0" w:type="auto"/>
        <w:tblLayout w:type="fixed"/>
        <w:tblLook w:val="0000" w:firstRow="0" w:lastRow="0" w:firstColumn="0" w:lastColumn="0" w:noHBand="0" w:noVBand="0"/>
      </w:tblPr>
      <w:tblGrid>
        <w:gridCol w:w="1728"/>
        <w:gridCol w:w="7740"/>
      </w:tblGrid>
      <w:tr w:rsidR="00A86279" w:rsidRPr="00757A01" w14:paraId="57EC8EC2" w14:textId="77777777" w:rsidTr="00DD386E">
        <w:trPr>
          <w:cantSplit/>
        </w:trPr>
        <w:tc>
          <w:tcPr>
            <w:tcW w:w="1728" w:type="dxa"/>
          </w:tcPr>
          <w:p w14:paraId="57EC8EC0" w14:textId="77777777" w:rsidR="00A86279" w:rsidRPr="00757A01" w:rsidRDefault="00A86279" w:rsidP="00DD386E">
            <w:pPr>
              <w:pStyle w:val="Heading5"/>
            </w:pPr>
            <w:r w:rsidRPr="00757A01">
              <w:t>Change Date</w:t>
            </w:r>
          </w:p>
        </w:tc>
        <w:tc>
          <w:tcPr>
            <w:tcW w:w="7740" w:type="dxa"/>
          </w:tcPr>
          <w:p w14:paraId="57EC8EC1" w14:textId="6A3D4430" w:rsidR="00A86279" w:rsidRPr="00757A01" w:rsidRDefault="00754C6D" w:rsidP="00DD386E">
            <w:pPr>
              <w:pStyle w:val="BlockText"/>
            </w:pPr>
            <w:r>
              <w:t>March 30, 2015</w:t>
            </w:r>
          </w:p>
        </w:tc>
      </w:tr>
    </w:tbl>
    <w:p w14:paraId="57EC8EC3" w14:textId="77777777" w:rsidR="00A86279" w:rsidRPr="00757A01" w:rsidRDefault="00A86279" w:rsidP="00A86279">
      <w:pPr>
        <w:pStyle w:val="BlockLine"/>
      </w:pPr>
      <w:r w:rsidRPr="00757A01">
        <w:fldChar w:fldCharType="begin"/>
      </w:r>
      <w:r w:rsidRPr="00757A01">
        <w:instrText xml:space="preserve"> PRIVATE INFOTYPE="PRINCIPLE" </w:instrText>
      </w:r>
      <w:r w:rsidRPr="00757A01">
        <w:fldChar w:fldCharType="end"/>
      </w:r>
    </w:p>
    <w:tbl>
      <w:tblPr>
        <w:tblW w:w="0" w:type="auto"/>
        <w:tblLayout w:type="fixed"/>
        <w:tblLook w:val="0000" w:firstRow="0" w:lastRow="0" w:firstColumn="0" w:lastColumn="0" w:noHBand="0" w:noVBand="0"/>
      </w:tblPr>
      <w:tblGrid>
        <w:gridCol w:w="1728"/>
        <w:gridCol w:w="7740"/>
      </w:tblGrid>
      <w:tr w:rsidR="00A86279" w:rsidRPr="00757A01" w14:paraId="57EC8EC6" w14:textId="77777777" w:rsidTr="00DD386E">
        <w:trPr>
          <w:cantSplit/>
        </w:trPr>
        <w:tc>
          <w:tcPr>
            <w:tcW w:w="1728" w:type="dxa"/>
          </w:tcPr>
          <w:p w14:paraId="57EC8EC4" w14:textId="77777777" w:rsidR="00A86279" w:rsidRPr="00757A01" w:rsidRDefault="00A86279" w:rsidP="00DD386E">
            <w:pPr>
              <w:pStyle w:val="Heading5"/>
              <w:rPr>
                <w:sz w:val="24"/>
                <w:szCs w:val="24"/>
              </w:rPr>
            </w:pPr>
            <w:r w:rsidRPr="00757A01">
              <w:rPr>
                <w:sz w:val="24"/>
                <w:szCs w:val="24"/>
              </w:rPr>
              <w:t>a.  Required Safeguards</w:t>
            </w:r>
          </w:p>
        </w:tc>
        <w:tc>
          <w:tcPr>
            <w:tcW w:w="7740" w:type="dxa"/>
          </w:tcPr>
          <w:p w14:paraId="30E6D687" w14:textId="63B1C0EC" w:rsidR="00A86279" w:rsidRPr="00757A01" w:rsidRDefault="00A86279" w:rsidP="00DD386E">
            <w:pPr>
              <w:pStyle w:val="BlockText"/>
            </w:pPr>
            <w:r w:rsidRPr="00757A01">
              <w:t xml:space="preserve">As a condition of receiving </w:t>
            </w:r>
            <w:r w:rsidR="008164CA" w:rsidRPr="00757A01">
              <w:t>Federal Tax Information (</w:t>
            </w:r>
            <w:r w:rsidRPr="00757A01">
              <w:t>FTI</w:t>
            </w:r>
            <w:r w:rsidR="008164CA" w:rsidRPr="00757A01">
              <w:t>)</w:t>
            </w:r>
            <w:r w:rsidRPr="00757A01">
              <w:t xml:space="preserve">, VA must establish and maintain, to the satisfaction of the </w:t>
            </w:r>
            <w:r w:rsidR="008164CA" w:rsidRPr="00757A01">
              <w:t>Internal Revenue Service (</w:t>
            </w:r>
            <w:r w:rsidRPr="00757A01">
              <w:t>IRS</w:t>
            </w:r>
            <w:r w:rsidR="008164CA" w:rsidRPr="00757A01">
              <w:t>)</w:t>
            </w:r>
            <w:r w:rsidRPr="00757A01">
              <w:t>, certain safeguards that are designed to prevent unauthorized uses of the information and to protect the confidentiality of the information.</w:t>
            </w:r>
          </w:p>
          <w:p w14:paraId="22C0D462" w14:textId="77777777" w:rsidR="00DC6B22" w:rsidRPr="00757A01" w:rsidRDefault="00DC6B22" w:rsidP="00DD386E">
            <w:pPr>
              <w:pStyle w:val="BlockText"/>
            </w:pPr>
          </w:p>
          <w:p w14:paraId="57EC8EC5" w14:textId="59094022" w:rsidR="00DC6B22" w:rsidRPr="00757A01" w:rsidRDefault="00DC6B22" w:rsidP="00DD386E">
            <w:pPr>
              <w:pStyle w:val="BlockText"/>
            </w:pPr>
            <w:r w:rsidRPr="00757A01">
              <w:rPr>
                <w:b/>
                <w:i/>
              </w:rPr>
              <w:t>Reference</w:t>
            </w:r>
            <w:r w:rsidRPr="00757A01">
              <w:t xml:space="preserve">: Safeguarding procedures are located within </w:t>
            </w:r>
            <w:r w:rsidRPr="005F0670">
              <w:rPr>
                <w:i/>
              </w:rPr>
              <w:t>IRS Publication 1075</w:t>
            </w:r>
            <w:r w:rsidRPr="00757A01">
              <w:t>.</w:t>
            </w:r>
          </w:p>
        </w:tc>
      </w:tr>
    </w:tbl>
    <w:p w14:paraId="02D094DC" w14:textId="77777777" w:rsidR="00A85820" w:rsidRPr="00757A01" w:rsidRDefault="00A85820" w:rsidP="00A85820">
      <w:pPr>
        <w:tabs>
          <w:tab w:val="left" w:pos="9360"/>
        </w:tabs>
        <w:ind w:left="1714"/>
      </w:pPr>
      <w:r w:rsidRPr="00757A01">
        <w:rPr>
          <w:u w:val="single"/>
        </w:rPr>
        <w:tab/>
      </w:r>
    </w:p>
    <w:p w14:paraId="57EC8EC9" w14:textId="45570EED" w:rsidR="00A86279" w:rsidRPr="00757A01" w:rsidRDefault="00A86279" w:rsidP="002504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6877"/>
      </w:tblGrid>
      <w:tr w:rsidR="00816879" w:rsidRPr="00757A01" w14:paraId="1D164DB4" w14:textId="77777777" w:rsidTr="00EA653F">
        <w:tc>
          <w:tcPr>
            <w:tcW w:w="1818" w:type="dxa"/>
            <w:shd w:val="clear" w:color="auto" w:fill="auto"/>
          </w:tcPr>
          <w:p w14:paraId="7D6EBF16" w14:textId="1EABBD50" w:rsidR="00816879" w:rsidRPr="00757A01" w:rsidRDefault="00816879">
            <w:pPr>
              <w:rPr>
                <w:b/>
              </w:rPr>
            </w:pPr>
            <w:r w:rsidRPr="00757A01">
              <w:rPr>
                <w:b/>
              </w:rPr>
              <w:t>b.  Security Briefings</w:t>
            </w:r>
          </w:p>
        </w:tc>
        <w:tc>
          <w:tcPr>
            <w:tcW w:w="6877" w:type="dxa"/>
            <w:shd w:val="clear" w:color="auto" w:fill="auto"/>
          </w:tcPr>
          <w:p w14:paraId="7342CDC2" w14:textId="6D17A73F" w:rsidR="00816879" w:rsidRPr="00757A01" w:rsidRDefault="00816879" w:rsidP="00EA653F">
            <w:pPr>
              <w:pStyle w:val="BlockText"/>
              <w:ind w:left="-108"/>
            </w:pPr>
            <w:r w:rsidRPr="00757A01">
              <w:t xml:space="preserve">The </w:t>
            </w:r>
            <w:r w:rsidR="00EA653F" w:rsidRPr="00757A01">
              <w:t>Veterans Service Center Manager (</w:t>
            </w:r>
            <w:r w:rsidRPr="00757A01">
              <w:t>VSCM</w:t>
            </w:r>
            <w:r w:rsidR="00EA653F" w:rsidRPr="00757A01">
              <w:t>)</w:t>
            </w:r>
            <w:r w:rsidRPr="00757A01">
              <w:t xml:space="preserve"> and </w:t>
            </w:r>
            <w:r w:rsidR="00EA653F" w:rsidRPr="00757A01">
              <w:t xml:space="preserve">Pension Management Center Manager </w:t>
            </w:r>
            <w:r w:rsidRPr="00757A01">
              <w:t>(PMCM) shall ensure that all employees who handle FTI are briefed annually on</w:t>
            </w:r>
          </w:p>
          <w:p w14:paraId="64DC7845" w14:textId="77777777" w:rsidR="00816879" w:rsidRPr="00757A01" w:rsidRDefault="00816879" w:rsidP="00EA653F">
            <w:pPr>
              <w:ind w:left="-108"/>
            </w:pPr>
          </w:p>
          <w:p w14:paraId="6122B355" w14:textId="77777777" w:rsidR="00816879" w:rsidRPr="00757A01" w:rsidRDefault="00816879" w:rsidP="00200424">
            <w:pPr>
              <w:pStyle w:val="ListParagraph"/>
              <w:numPr>
                <w:ilvl w:val="0"/>
                <w:numId w:val="108"/>
              </w:numPr>
              <w:ind w:left="72" w:hanging="180"/>
            </w:pPr>
            <w:r w:rsidRPr="00757A01">
              <w:t>IRS safeguard requirements, and</w:t>
            </w:r>
          </w:p>
          <w:p w14:paraId="19538C25" w14:textId="77777777" w:rsidR="00816879" w:rsidRPr="00757A01" w:rsidRDefault="00816879" w:rsidP="00200424">
            <w:pPr>
              <w:pStyle w:val="ListParagraph"/>
              <w:numPr>
                <w:ilvl w:val="0"/>
                <w:numId w:val="108"/>
              </w:numPr>
              <w:ind w:left="72" w:hanging="180"/>
            </w:pPr>
            <w:r w:rsidRPr="00757A01">
              <w:t>the provisions of IRC Sections 7213(a) and 7431 concerning criminal and civil penalties for unauthorized disclosure of tax data.</w:t>
            </w:r>
          </w:p>
          <w:p w14:paraId="57223679" w14:textId="77777777" w:rsidR="00816879" w:rsidRPr="00757A01" w:rsidRDefault="00816879" w:rsidP="00EA653F">
            <w:pPr>
              <w:pStyle w:val="ListParagraph"/>
              <w:ind w:left="-108"/>
            </w:pPr>
          </w:p>
          <w:p w14:paraId="56909A3F" w14:textId="77777777" w:rsidR="00816879" w:rsidRPr="00757A01" w:rsidRDefault="00816879" w:rsidP="00EA653F">
            <w:pPr>
              <w:pStyle w:val="ListParagraph"/>
              <w:ind w:left="-108"/>
            </w:pPr>
            <w:r w:rsidRPr="00757A01">
              <w:t>A security briefing must be held for each new employee as soon as he/she reports for duty.</w:t>
            </w:r>
          </w:p>
          <w:p w14:paraId="5FC36563" w14:textId="77777777" w:rsidR="00816879" w:rsidRPr="00757A01" w:rsidRDefault="00816879" w:rsidP="00EA653F">
            <w:pPr>
              <w:pStyle w:val="ListParagraph"/>
              <w:ind w:left="-108"/>
            </w:pPr>
          </w:p>
          <w:p w14:paraId="3939B84E" w14:textId="77777777" w:rsidR="00816879" w:rsidRPr="00757A01" w:rsidRDefault="00816879" w:rsidP="00EA653F">
            <w:pPr>
              <w:pStyle w:val="BlockText"/>
              <w:ind w:left="-108"/>
              <w:rPr>
                <w:b/>
                <w:i/>
              </w:rPr>
            </w:pPr>
            <w:r w:rsidRPr="00757A01">
              <w:rPr>
                <w:b/>
                <w:i/>
              </w:rPr>
              <w:t>Employee List</w:t>
            </w:r>
          </w:p>
          <w:p w14:paraId="1CA5BB7C" w14:textId="136B20DC" w:rsidR="00816879" w:rsidRPr="00757A01" w:rsidRDefault="00816879" w:rsidP="00EA653F">
            <w:pPr>
              <w:pStyle w:val="ListParagraph"/>
              <w:ind w:left="-108"/>
            </w:pPr>
            <w:r w:rsidRPr="00757A01">
              <w:t xml:space="preserve">A list of the employees attending the briefing must be maintained for two years.  After subsequent briefings, the list from two years prior will be destroyed under </w:t>
            </w:r>
            <w:hyperlink r:id="rId12" w:history="1">
              <w:r w:rsidRPr="00757A01">
                <w:rPr>
                  <w:rStyle w:val="Hyperlink"/>
                  <w:i/>
                </w:rPr>
                <w:t>RCS VB-1, 13-100.300</w:t>
              </w:r>
            </w:hyperlink>
            <w:r w:rsidRPr="00757A01">
              <w:t>.</w:t>
            </w:r>
          </w:p>
        </w:tc>
      </w:tr>
    </w:tbl>
    <w:p w14:paraId="57EC8ECC" w14:textId="332C3633" w:rsidR="00A86279" w:rsidRPr="00757A01" w:rsidRDefault="00A85820" w:rsidP="00A85820">
      <w:pPr>
        <w:tabs>
          <w:tab w:val="left" w:pos="9360"/>
        </w:tabs>
        <w:ind w:left="1714"/>
      </w:pPr>
      <w:r w:rsidRPr="00757A01">
        <w:rPr>
          <w:u w:val="single"/>
        </w:rPr>
        <w:lastRenderedPageBreak/>
        <w:tab/>
      </w:r>
    </w:p>
    <w:p w14:paraId="4228134D" w14:textId="16794379" w:rsidR="00A85820" w:rsidRPr="00757A01" w:rsidRDefault="00A85820" w:rsidP="00A85820">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16879" w:rsidRPr="00757A01" w14:paraId="35E569D4" w14:textId="77777777" w:rsidTr="00A316B9">
        <w:tc>
          <w:tcPr>
            <w:tcW w:w="1728" w:type="dxa"/>
            <w:shd w:val="clear" w:color="auto" w:fill="auto"/>
          </w:tcPr>
          <w:p w14:paraId="0A0DED3E" w14:textId="3D19B578" w:rsidR="00816879" w:rsidRPr="00757A01" w:rsidRDefault="00816879">
            <w:pPr>
              <w:rPr>
                <w:b/>
                <w:sz w:val="22"/>
              </w:rPr>
            </w:pPr>
            <w:r w:rsidRPr="00757A01">
              <w:rPr>
                <w:b/>
                <w:sz w:val="22"/>
              </w:rPr>
              <w:t>c.  Penalties for Tax Information Disclosure</w:t>
            </w:r>
          </w:p>
        </w:tc>
        <w:tc>
          <w:tcPr>
            <w:tcW w:w="7740" w:type="dxa"/>
            <w:shd w:val="clear" w:color="auto" w:fill="auto"/>
          </w:tcPr>
          <w:p w14:paraId="60F5FFF2" w14:textId="77777777" w:rsidR="00816879" w:rsidRPr="00757A01" w:rsidRDefault="00444B2C" w:rsidP="00816879">
            <w:pPr>
              <w:pStyle w:val="BlockText"/>
            </w:pPr>
            <w:hyperlink r:id="rId13" w:history="1">
              <w:r w:rsidR="00816879" w:rsidRPr="00757A01">
                <w:rPr>
                  <w:rStyle w:val="Hyperlink"/>
                </w:rPr>
                <w:t>26 U.S.C. 7213(a)(1)</w:t>
              </w:r>
            </w:hyperlink>
            <w:r w:rsidR="00816879" w:rsidRPr="00757A01">
              <w:t xml:space="preserve"> provides that any Federal employee who willfully and unlawfully discloses tax return information may be</w:t>
            </w:r>
          </w:p>
          <w:p w14:paraId="5868CAA4" w14:textId="77777777" w:rsidR="00816879" w:rsidRPr="00757A01" w:rsidRDefault="00816879"/>
          <w:p w14:paraId="31EFC203" w14:textId="77777777" w:rsidR="00816879" w:rsidRPr="00757A01" w:rsidRDefault="00816879" w:rsidP="00A316B9">
            <w:pPr>
              <w:pStyle w:val="ListParagraph"/>
              <w:numPr>
                <w:ilvl w:val="0"/>
                <w:numId w:val="92"/>
              </w:numPr>
              <w:ind w:left="158" w:hanging="187"/>
            </w:pPr>
            <w:r w:rsidRPr="00757A01">
              <w:t>fined, not in excess of $5,000</w:t>
            </w:r>
          </w:p>
          <w:p w14:paraId="5B7644C6" w14:textId="77777777" w:rsidR="00816879" w:rsidRPr="00757A01" w:rsidRDefault="00816879" w:rsidP="00A316B9">
            <w:pPr>
              <w:pStyle w:val="ListParagraph"/>
              <w:numPr>
                <w:ilvl w:val="0"/>
                <w:numId w:val="92"/>
              </w:numPr>
              <w:ind w:left="158" w:hanging="187"/>
            </w:pPr>
            <w:r w:rsidRPr="00757A01">
              <w:t>imprisoned, not in excess of five years, or</w:t>
            </w:r>
          </w:p>
          <w:p w14:paraId="2616847B" w14:textId="77777777" w:rsidR="00816879" w:rsidRPr="00757A01" w:rsidRDefault="00816879" w:rsidP="00A316B9">
            <w:pPr>
              <w:pStyle w:val="ListParagraph"/>
              <w:numPr>
                <w:ilvl w:val="0"/>
                <w:numId w:val="92"/>
              </w:numPr>
              <w:ind w:left="158" w:hanging="187"/>
            </w:pPr>
            <w:r w:rsidRPr="00757A01">
              <w:t>both.</w:t>
            </w:r>
          </w:p>
          <w:p w14:paraId="1AAF109E" w14:textId="77777777" w:rsidR="00816879" w:rsidRPr="00757A01" w:rsidRDefault="00816879" w:rsidP="00A316B9">
            <w:pPr>
              <w:pStyle w:val="ListParagraph"/>
              <w:ind w:left="0"/>
            </w:pPr>
          </w:p>
          <w:p w14:paraId="00A0CAC6" w14:textId="77777777" w:rsidR="00816879" w:rsidRPr="00757A01" w:rsidRDefault="00816879" w:rsidP="00816879">
            <w:pPr>
              <w:pStyle w:val="BlockText"/>
            </w:pPr>
            <w:r w:rsidRPr="00757A01">
              <w:t>It also provides that the employee shall be discharged from employment upon conviction for an unlawful disclosure.</w:t>
            </w:r>
          </w:p>
          <w:p w14:paraId="338FC5C1" w14:textId="77777777" w:rsidR="00816879" w:rsidRPr="00757A01" w:rsidRDefault="00816879" w:rsidP="00A316B9">
            <w:pPr>
              <w:pStyle w:val="ListParagraph"/>
              <w:ind w:left="0"/>
            </w:pPr>
          </w:p>
          <w:p w14:paraId="535318A6" w14:textId="440938B1" w:rsidR="00816879" w:rsidRPr="00757A01" w:rsidRDefault="00816879" w:rsidP="00A316B9">
            <w:pPr>
              <w:pStyle w:val="ListParagraph"/>
              <w:ind w:left="0"/>
            </w:pPr>
            <w:r w:rsidRPr="00757A01">
              <w:rPr>
                <w:b/>
                <w:i/>
              </w:rPr>
              <w:t>Note</w:t>
            </w:r>
            <w:r w:rsidRPr="00757A01">
              <w:t>:  The above disclosure restrictions and penalties apply even after employment has ended.</w:t>
            </w:r>
          </w:p>
        </w:tc>
      </w:tr>
    </w:tbl>
    <w:p w14:paraId="1ED90083" w14:textId="7EE1A058" w:rsidR="00816879" w:rsidRPr="00757A01" w:rsidRDefault="00A85820" w:rsidP="00A85820">
      <w:pPr>
        <w:tabs>
          <w:tab w:val="left" w:pos="9360"/>
        </w:tabs>
        <w:ind w:left="1714"/>
      </w:pPr>
      <w:r w:rsidRPr="00757A01">
        <w:rPr>
          <w:u w:val="single"/>
        </w:rPr>
        <w:tab/>
      </w:r>
    </w:p>
    <w:p w14:paraId="1BF94E02" w14:textId="77777777" w:rsidR="00A85820" w:rsidRPr="00757A01" w:rsidRDefault="00A85820" w:rsidP="00A85820"/>
    <w:tbl>
      <w:tblPr>
        <w:tblW w:w="0" w:type="auto"/>
        <w:tblLayout w:type="fixed"/>
        <w:tblLook w:val="0000" w:firstRow="0" w:lastRow="0" w:firstColumn="0" w:lastColumn="0" w:noHBand="0" w:noVBand="0"/>
      </w:tblPr>
      <w:tblGrid>
        <w:gridCol w:w="1728"/>
        <w:gridCol w:w="7740"/>
      </w:tblGrid>
      <w:tr w:rsidR="00816879" w:rsidRPr="00757A01" w14:paraId="678EE25A" w14:textId="77777777" w:rsidTr="00DD386E">
        <w:trPr>
          <w:cantSplit/>
        </w:trPr>
        <w:tc>
          <w:tcPr>
            <w:tcW w:w="1728" w:type="dxa"/>
          </w:tcPr>
          <w:p w14:paraId="1D17092D" w14:textId="492C2AA9" w:rsidR="00816879" w:rsidRPr="00757A01" w:rsidRDefault="00816879" w:rsidP="00DD386E">
            <w:pPr>
              <w:pStyle w:val="Heading5"/>
            </w:pPr>
            <w:r w:rsidRPr="00757A01">
              <w:t>d.  Taxpayer Civil Suit</w:t>
            </w:r>
          </w:p>
        </w:tc>
        <w:tc>
          <w:tcPr>
            <w:tcW w:w="7740" w:type="dxa"/>
          </w:tcPr>
          <w:p w14:paraId="17C7D04D" w14:textId="77777777" w:rsidR="00816879" w:rsidRPr="00757A01" w:rsidRDefault="00444B2C" w:rsidP="00DD386E">
            <w:pPr>
              <w:pStyle w:val="BlockText"/>
            </w:pPr>
            <w:hyperlink r:id="rId14" w:history="1">
              <w:r w:rsidR="00816879" w:rsidRPr="00757A01">
                <w:rPr>
                  <w:rStyle w:val="Hyperlink"/>
                </w:rPr>
                <w:t>26 U.S.C. 7431(a)(1)</w:t>
              </w:r>
            </w:hyperlink>
            <w:r w:rsidR="00816879" w:rsidRPr="00757A01">
              <w:t xml:space="preserve"> permits a taxpayer to bring a civil suit for damages against the United States if any Federal employee knowingly or negligently discloses any tax return information in violation of IRC 6103.</w:t>
            </w:r>
          </w:p>
        </w:tc>
      </w:tr>
    </w:tbl>
    <w:p w14:paraId="57EC8ECD" w14:textId="148F15A7" w:rsidR="00A86279" w:rsidRPr="00757A01" w:rsidRDefault="00A85820" w:rsidP="00A85820">
      <w:pPr>
        <w:tabs>
          <w:tab w:val="left" w:pos="9360"/>
        </w:tabs>
        <w:ind w:left="1714"/>
      </w:pPr>
      <w:r w:rsidRPr="00757A01">
        <w:rPr>
          <w:u w:val="single"/>
        </w:rPr>
        <w:tab/>
      </w:r>
    </w:p>
    <w:p w14:paraId="6C7B932C" w14:textId="77777777" w:rsidR="00A85820" w:rsidRPr="00757A01" w:rsidRDefault="00A85820" w:rsidP="00A85820"/>
    <w:tbl>
      <w:tblPr>
        <w:tblW w:w="0" w:type="auto"/>
        <w:tblLayout w:type="fixed"/>
        <w:tblLook w:val="0000" w:firstRow="0" w:lastRow="0" w:firstColumn="0" w:lastColumn="0" w:noHBand="0" w:noVBand="0"/>
      </w:tblPr>
      <w:tblGrid>
        <w:gridCol w:w="1728"/>
        <w:gridCol w:w="7740"/>
      </w:tblGrid>
      <w:tr w:rsidR="00816879" w:rsidRPr="00757A01" w14:paraId="35B18096" w14:textId="77777777" w:rsidTr="00542A6E">
        <w:trPr>
          <w:cantSplit/>
          <w:trHeight w:val="3645"/>
        </w:trPr>
        <w:tc>
          <w:tcPr>
            <w:tcW w:w="1728" w:type="dxa"/>
          </w:tcPr>
          <w:p w14:paraId="2ED0ED5C" w14:textId="5F07EEBB" w:rsidR="00816879" w:rsidRPr="00757A01" w:rsidRDefault="00816879" w:rsidP="008837CB">
            <w:pPr>
              <w:pStyle w:val="Heading5"/>
            </w:pPr>
            <w:r w:rsidRPr="00757A01">
              <w:t>e. Need to know</w:t>
            </w:r>
          </w:p>
        </w:tc>
        <w:tc>
          <w:tcPr>
            <w:tcW w:w="7740" w:type="dxa"/>
          </w:tcPr>
          <w:p w14:paraId="202EA017" w14:textId="57523EC8" w:rsidR="00816879" w:rsidRPr="00757A01" w:rsidRDefault="00816879" w:rsidP="008837CB">
            <w:pPr>
              <w:pStyle w:val="BlockText"/>
            </w:pPr>
            <w:r w:rsidRPr="00757A01">
              <w:t xml:space="preserve">When access to FTI is needed, it may be obtained, but only by employees with a </w:t>
            </w:r>
            <w:r w:rsidRPr="00757A01">
              <w:rPr>
                <w:i/>
              </w:rPr>
              <w:t>need to know</w:t>
            </w:r>
            <w:r w:rsidRPr="00757A01">
              <w:t xml:space="preserve">. </w:t>
            </w:r>
          </w:p>
          <w:p w14:paraId="37C058A4" w14:textId="77777777" w:rsidR="00816879" w:rsidRPr="00757A01" w:rsidRDefault="00816879" w:rsidP="008837CB">
            <w:pPr>
              <w:pStyle w:val="BlockText"/>
            </w:pPr>
          </w:p>
          <w:p w14:paraId="1B7E0444" w14:textId="7930E935" w:rsidR="0027029E" w:rsidRPr="00757A01" w:rsidRDefault="008D64D9" w:rsidP="008837CB">
            <w:pPr>
              <w:pStyle w:val="BlockText"/>
              <w:rPr>
                <w:b/>
                <w:i/>
              </w:rPr>
            </w:pPr>
            <w:r w:rsidRPr="00757A01">
              <w:rPr>
                <w:b/>
                <w:i/>
              </w:rPr>
              <w:t xml:space="preserve">Definition of </w:t>
            </w:r>
            <w:r w:rsidR="0027029E" w:rsidRPr="00757A01">
              <w:rPr>
                <w:b/>
              </w:rPr>
              <w:t>Need To Know</w:t>
            </w:r>
          </w:p>
          <w:p w14:paraId="69154D96" w14:textId="047EAD04" w:rsidR="00816879" w:rsidRPr="00757A01" w:rsidRDefault="00816879" w:rsidP="008837CB">
            <w:pPr>
              <w:pStyle w:val="BlockText"/>
            </w:pPr>
            <w:r w:rsidRPr="00757A01">
              <w:rPr>
                <w:i/>
              </w:rPr>
              <w:t>Need to know</w:t>
            </w:r>
            <w:r w:rsidR="008D64D9" w:rsidRPr="00757A01">
              <w:t xml:space="preserve"> is defined as</w:t>
            </w:r>
            <w:r w:rsidRPr="00757A01">
              <w:t xml:space="preserve"> an individual </w:t>
            </w:r>
            <w:r w:rsidR="008D64D9" w:rsidRPr="00757A01">
              <w:t xml:space="preserve">who </w:t>
            </w:r>
            <w:r w:rsidRPr="00757A01">
              <w:t xml:space="preserve">requires access to FTI to perform their official duties (e.g. a file is needed by an employee when the income recipient is in the office and is asking to see the information).  Employees of the Board of Veterans’ Appeals (BVA) are considered to have a need to know if a </w:t>
            </w:r>
            <w:r w:rsidR="006905D2" w:rsidRPr="00757A01">
              <w:t xml:space="preserve">claim containing FTI </w:t>
            </w:r>
            <w:r w:rsidRPr="00757A01">
              <w:t>is appealed.</w:t>
            </w:r>
          </w:p>
          <w:p w14:paraId="714E74AA" w14:textId="77777777" w:rsidR="00816879" w:rsidRPr="00757A01" w:rsidRDefault="00816879" w:rsidP="008837CB">
            <w:pPr>
              <w:pStyle w:val="BlockText"/>
            </w:pPr>
          </w:p>
          <w:p w14:paraId="5C23B9ED" w14:textId="34F156D5" w:rsidR="00816879" w:rsidRPr="00757A01" w:rsidRDefault="00816879" w:rsidP="008837CB">
            <w:pPr>
              <w:pStyle w:val="BlockText"/>
            </w:pPr>
            <w:r w:rsidRPr="00757A01">
              <w:rPr>
                <w:b/>
                <w:i/>
              </w:rPr>
              <w:t>Reference</w:t>
            </w:r>
            <w:r w:rsidRPr="00757A01">
              <w:t xml:space="preserve">:  For more information on transferring FTI on an appeal issue, see </w:t>
            </w:r>
            <w:r w:rsidR="002757B0" w:rsidRPr="00757A01">
              <w:t>M21-1</w:t>
            </w:r>
            <w:r w:rsidR="00A316B9" w:rsidRPr="00757A01">
              <w:t>, Part X</w:t>
            </w:r>
            <w:r w:rsidR="00542A6E" w:rsidRPr="00757A01">
              <w:t xml:space="preserve">, Chapter 9, Section B, Topic </w:t>
            </w:r>
            <w:r w:rsidR="004C6E94" w:rsidRPr="00757A01">
              <w:t>2</w:t>
            </w:r>
            <w:r w:rsidR="004C2BF0" w:rsidRPr="00757A01">
              <w:t>, j and k</w:t>
            </w:r>
            <w:r w:rsidRPr="00757A01">
              <w:t>.</w:t>
            </w:r>
          </w:p>
          <w:p w14:paraId="1D392E4A" w14:textId="61A0A7C4" w:rsidR="00EF53FC" w:rsidRPr="00757A01" w:rsidRDefault="00EF53FC" w:rsidP="008837CB">
            <w:pPr>
              <w:pStyle w:val="BlockText"/>
            </w:pPr>
            <w:r w:rsidRPr="00757A01">
              <w:t>______________________________________________________________</w:t>
            </w:r>
          </w:p>
        </w:tc>
      </w:tr>
    </w:tbl>
    <w:p w14:paraId="6A9375EB" w14:textId="4814AC53" w:rsidR="00A85820" w:rsidRPr="00757A01" w:rsidRDefault="00A85820" w:rsidP="008837CB">
      <w:pPr>
        <w:ind w:left="1714"/>
      </w:pPr>
    </w:p>
    <w:tbl>
      <w:tblPr>
        <w:tblW w:w="0" w:type="auto"/>
        <w:tblLayout w:type="fixed"/>
        <w:tblLook w:val="0000" w:firstRow="0" w:lastRow="0" w:firstColumn="0" w:lastColumn="0" w:noHBand="0" w:noVBand="0"/>
      </w:tblPr>
      <w:tblGrid>
        <w:gridCol w:w="1728"/>
        <w:gridCol w:w="7740"/>
      </w:tblGrid>
      <w:tr w:rsidR="00867C95" w:rsidRPr="00757A01" w14:paraId="0578D90C" w14:textId="77777777" w:rsidTr="00DA7B0C">
        <w:trPr>
          <w:cantSplit/>
        </w:trPr>
        <w:tc>
          <w:tcPr>
            <w:tcW w:w="1728" w:type="dxa"/>
          </w:tcPr>
          <w:p w14:paraId="20529B4F" w14:textId="65C215D6" w:rsidR="00867C95" w:rsidRPr="00757A01" w:rsidRDefault="00A85820" w:rsidP="008837CB">
            <w:pPr>
              <w:pStyle w:val="Heading5"/>
            </w:pPr>
            <w:r w:rsidRPr="00757A01">
              <w:lastRenderedPageBreak/>
              <w:t>f</w:t>
            </w:r>
            <w:r w:rsidR="00867C95" w:rsidRPr="00757A01">
              <w:t>. Minimum Protection Standards</w:t>
            </w:r>
          </w:p>
        </w:tc>
        <w:tc>
          <w:tcPr>
            <w:tcW w:w="7740" w:type="dxa"/>
          </w:tcPr>
          <w:p w14:paraId="1C1CF580" w14:textId="74937A52" w:rsidR="00867C95" w:rsidRPr="00757A01" w:rsidRDefault="00867C95" w:rsidP="008837CB">
            <w:r w:rsidRPr="00757A01">
              <w:t xml:space="preserve">Minimum Protection Standards are designed, by IRS, to provide agencies with a basic framework of minimum security requirements.  The objective of these standards is to prevent unauthorized access to FTI and thus requires </w:t>
            </w:r>
            <w:r w:rsidR="004C6E94" w:rsidRPr="00757A01">
              <w:t>two</w:t>
            </w:r>
            <w:r w:rsidRPr="00757A01">
              <w:t xml:space="preserve"> </w:t>
            </w:r>
            <w:r w:rsidR="004C6E94" w:rsidRPr="00757A01">
              <w:t>of the following four</w:t>
            </w:r>
            <w:r w:rsidRPr="00757A01">
              <w:t xml:space="preserve"> barriers:  </w:t>
            </w:r>
          </w:p>
          <w:p w14:paraId="1E02F423" w14:textId="77777777" w:rsidR="00867C95" w:rsidRPr="00757A01" w:rsidRDefault="00867C95" w:rsidP="008837CB"/>
          <w:p w14:paraId="725CA4E0" w14:textId="77777777" w:rsidR="00867C95" w:rsidRPr="00757A01" w:rsidRDefault="00867C95" w:rsidP="008837CB">
            <w:pPr>
              <w:pStyle w:val="ListParagraph"/>
              <w:numPr>
                <w:ilvl w:val="0"/>
                <w:numId w:val="15"/>
              </w:numPr>
              <w:ind w:left="158" w:hanging="187"/>
            </w:pPr>
            <w:r w:rsidRPr="00757A01">
              <w:t>Secured Perimeter</w:t>
            </w:r>
          </w:p>
          <w:p w14:paraId="672E0E1F" w14:textId="77777777" w:rsidR="00867C95" w:rsidRPr="00757A01" w:rsidRDefault="00867C95" w:rsidP="008837CB">
            <w:pPr>
              <w:pStyle w:val="ListParagraph"/>
              <w:numPr>
                <w:ilvl w:val="0"/>
                <w:numId w:val="16"/>
              </w:numPr>
              <w:ind w:left="158" w:hanging="187"/>
            </w:pPr>
            <w:r w:rsidRPr="00757A01">
              <w:t>Security Room</w:t>
            </w:r>
          </w:p>
          <w:p w14:paraId="6CE0B910" w14:textId="77777777" w:rsidR="00867C95" w:rsidRPr="00757A01" w:rsidRDefault="00867C95" w:rsidP="008837CB">
            <w:pPr>
              <w:pStyle w:val="ListParagraph"/>
              <w:numPr>
                <w:ilvl w:val="0"/>
                <w:numId w:val="17"/>
              </w:numPr>
              <w:ind w:left="158" w:hanging="187"/>
            </w:pPr>
            <w:r w:rsidRPr="00757A01">
              <w:t>Badged Employee</w:t>
            </w:r>
          </w:p>
          <w:p w14:paraId="04289A0B" w14:textId="77777777" w:rsidR="00867C95" w:rsidRPr="00757A01" w:rsidRDefault="00867C95" w:rsidP="008837CB">
            <w:pPr>
              <w:pStyle w:val="ListParagraph"/>
              <w:numPr>
                <w:ilvl w:val="0"/>
                <w:numId w:val="18"/>
              </w:numPr>
              <w:ind w:left="158" w:hanging="187"/>
            </w:pPr>
            <w:r w:rsidRPr="00757A01">
              <w:t>Security Container</w:t>
            </w:r>
          </w:p>
          <w:p w14:paraId="24AA5BF5" w14:textId="77777777" w:rsidR="00867C95" w:rsidRPr="00757A01" w:rsidRDefault="00867C95" w:rsidP="008837CB"/>
          <w:p w14:paraId="3696962E" w14:textId="77777777" w:rsidR="00867C95" w:rsidRPr="00757A01" w:rsidRDefault="00867C95" w:rsidP="008837CB">
            <w:r w:rsidRPr="00757A01">
              <w:t>Explanations of these barriers are provided in IRS Publication 1075.</w:t>
            </w:r>
          </w:p>
          <w:p w14:paraId="4A0C23D3" w14:textId="77777777" w:rsidR="00867C95" w:rsidRPr="00757A01" w:rsidRDefault="00867C95" w:rsidP="008837CB"/>
          <w:p w14:paraId="4EC72992" w14:textId="61CCA707" w:rsidR="00867C95" w:rsidRPr="00757A01" w:rsidRDefault="00867C95" w:rsidP="008837CB">
            <w:r w:rsidRPr="00757A01">
              <w:t>Note that while two barriers are required, during duty hours, employees need not lock FTI in a locked box if they step away from their desks for a short period of time without leaving the general vicinity.  They should avoid leaving FTI out in the open, and should take practical measures to avoid inadvert</w:t>
            </w:r>
            <w:r w:rsidR="00EF2D48" w:rsidRPr="00757A01">
              <w:t>en</w:t>
            </w:r>
            <w:r w:rsidRPr="00757A01">
              <w:t xml:space="preserve">t </w:t>
            </w:r>
            <w:r w:rsidR="008D64D9" w:rsidRPr="00757A01">
              <w:t xml:space="preserve">and </w:t>
            </w:r>
            <w:r w:rsidRPr="00757A01">
              <w:t>unauthorized disclosures of FTI.</w:t>
            </w:r>
          </w:p>
          <w:p w14:paraId="4992B0A9" w14:textId="77777777" w:rsidR="00867C95" w:rsidRPr="00757A01" w:rsidRDefault="00867C95" w:rsidP="008837CB"/>
          <w:p w14:paraId="1DAEE2C6" w14:textId="7E7BF243" w:rsidR="00867C95" w:rsidRPr="00757A01" w:rsidRDefault="00867C95" w:rsidP="008837CB">
            <w:pPr>
              <w:autoSpaceDE w:val="0"/>
              <w:autoSpaceDN w:val="0"/>
              <w:adjustRightInd w:val="0"/>
            </w:pPr>
            <w:r w:rsidRPr="00757A01">
              <w:t xml:space="preserve">During non-duty hours, employees must ensure documents containing FTI are stored in a locked box or secondary locked location (security room or security container) to prevent disclosures to unauthorized personnel. </w:t>
            </w:r>
          </w:p>
          <w:p w14:paraId="593E9188" w14:textId="77777777" w:rsidR="006905D2" w:rsidRPr="00757A01" w:rsidRDefault="006905D2" w:rsidP="008837CB">
            <w:pPr>
              <w:autoSpaceDE w:val="0"/>
              <w:autoSpaceDN w:val="0"/>
              <w:adjustRightInd w:val="0"/>
            </w:pPr>
          </w:p>
          <w:p w14:paraId="1B902F72" w14:textId="5061F2CF" w:rsidR="006905D2" w:rsidRPr="00757A01" w:rsidRDefault="006905D2" w:rsidP="008837CB">
            <w:pPr>
              <w:autoSpaceDE w:val="0"/>
              <w:autoSpaceDN w:val="0"/>
              <w:adjustRightInd w:val="0"/>
            </w:pPr>
            <w:r w:rsidRPr="00757A01">
              <w:rPr>
                <w:b/>
                <w:i/>
              </w:rPr>
              <w:t>Important</w:t>
            </w:r>
            <w:r w:rsidRPr="00757A01">
              <w:t xml:space="preserve">: Keys to a locked box or locked location must not be stored in the same location as the locked container, such as desk drawer in the same room.  </w:t>
            </w:r>
          </w:p>
        </w:tc>
      </w:tr>
    </w:tbl>
    <w:p w14:paraId="71C5C44A" w14:textId="554BD76A" w:rsidR="00A85820" w:rsidRPr="00757A01" w:rsidRDefault="00A85820" w:rsidP="00A85820">
      <w:pPr>
        <w:tabs>
          <w:tab w:val="left" w:pos="9360"/>
        </w:tabs>
        <w:ind w:left="1714"/>
      </w:pPr>
      <w:r w:rsidRPr="00757A01">
        <w:rPr>
          <w:u w:val="single"/>
        </w:rPr>
        <w:tab/>
      </w:r>
    </w:p>
    <w:p w14:paraId="5993E821" w14:textId="1A3D260A" w:rsidR="00A85820" w:rsidRPr="00757A01" w:rsidRDefault="00A85820" w:rsidP="00A85820">
      <w:pPr>
        <w:ind w:left="1714"/>
      </w:pPr>
    </w:p>
    <w:tbl>
      <w:tblPr>
        <w:tblW w:w="0" w:type="auto"/>
        <w:tblLayout w:type="fixed"/>
        <w:tblLook w:val="0000" w:firstRow="0" w:lastRow="0" w:firstColumn="0" w:lastColumn="0" w:noHBand="0" w:noVBand="0"/>
      </w:tblPr>
      <w:tblGrid>
        <w:gridCol w:w="1728"/>
        <w:gridCol w:w="7740"/>
      </w:tblGrid>
      <w:tr w:rsidR="00FD7F93" w:rsidRPr="00757A01" w14:paraId="08404A37" w14:textId="77777777" w:rsidTr="00DD386E">
        <w:trPr>
          <w:cantSplit/>
        </w:trPr>
        <w:tc>
          <w:tcPr>
            <w:tcW w:w="1728" w:type="dxa"/>
          </w:tcPr>
          <w:p w14:paraId="7AE22659" w14:textId="59B2414A" w:rsidR="00FD7F93" w:rsidRPr="00757A01" w:rsidRDefault="00FD7F93" w:rsidP="00DD386E">
            <w:pPr>
              <w:pStyle w:val="Heading5"/>
            </w:pPr>
            <w:r w:rsidRPr="00757A01">
              <w:t>g.  Transporting FTI</w:t>
            </w:r>
          </w:p>
        </w:tc>
        <w:tc>
          <w:tcPr>
            <w:tcW w:w="7740" w:type="dxa"/>
          </w:tcPr>
          <w:p w14:paraId="2180F192" w14:textId="267FA5A0" w:rsidR="00250473" w:rsidRPr="00757A01" w:rsidRDefault="00FD7F93" w:rsidP="00DD386E">
            <w:pPr>
              <w:pStyle w:val="BlockText"/>
            </w:pPr>
            <w:r w:rsidRPr="00757A01">
              <w:t>Employees transporting FTI between a primary location to a secondary location (building to building) need to secure the FTI in a locked security container during transport.</w:t>
            </w:r>
          </w:p>
          <w:p w14:paraId="4ED53753" w14:textId="4DA960E9" w:rsidR="00660D68" w:rsidRPr="00757A01" w:rsidRDefault="00660D68" w:rsidP="00DD386E">
            <w:pPr>
              <w:pStyle w:val="BlockText"/>
            </w:pPr>
          </w:p>
          <w:p w14:paraId="0F854F4F" w14:textId="3FE02BF4" w:rsidR="00FD7F93" w:rsidRPr="00757A01" w:rsidRDefault="00660D68" w:rsidP="00200424">
            <w:r w:rsidRPr="00757A01">
              <w:rPr>
                <w:b/>
                <w:i/>
              </w:rPr>
              <w:t>Note:</w:t>
            </w:r>
            <w:r w:rsidRPr="00757A01">
              <w:t xml:space="preserve"> </w:t>
            </w:r>
            <w:r w:rsidR="006905D2" w:rsidRPr="00757A01">
              <w:t>T</w:t>
            </w:r>
            <w:r w:rsidRPr="00757A01">
              <w:t>he transporting and receiving location</w:t>
            </w:r>
            <w:r w:rsidR="00EF2D48" w:rsidRPr="00757A01">
              <w:t xml:space="preserve"> must</w:t>
            </w:r>
            <w:r w:rsidRPr="00757A01">
              <w:t xml:space="preserve"> log</w:t>
            </w:r>
            <w:r w:rsidR="006905D2" w:rsidRPr="00757A01">
              <w:t xml:space="preserve"> the</w:t>
            </w:r>
            <w:r w:rsidRPr="00757A01">
              <w:t xml:space="preserve"> FT</w:t>
            </w:r>
            <w:r w:rsidR="006905D2" w:rsidRPr="00757A01">
              <w:t>I</w:t>
            </w:r>
            <w:r w:rsidR="002118EA" w:rsidRPr="00757A01">
              <w:t xml:space="preserve"> in accordance with </w:t>
            </w:r>
            <w:r w:rsidR="00200424" w:rsidRPr="00757A01">
              <w:t>M21</w:t>
            </w:r>
            <w:r w:rsidR="004C2BF0" w:rsidRPr="00757A01">
              <w:t>-1, Part X, Chapter 9, Section B, Topic 2.i</w:t>
            </w:r>
            <w:r w:rsidR="00200424" w:rsidRPr="00757A01">
              <w:t>.</w:t>
            </w:r>
          </w:p>
        </w:tc>
      </w:tr>
    </w:tbl>
    <w:p w14:paraId="57EC8EF2" w14:textId="7232676C" w:rsidR="00A86279" w:rsidRPr="00757A01" w:rsidRDefault="00A85820" w:rsidP="00A85820">
      <w:pPr>
        <w:tabs>
          <w:tab w:val="left" w:pos="9360"/>
        </w:tabs>
        <w:ind w:left="1714"/>
      </w:pPr>
      <w:r w:rsidRPr="00757A01">
        <w:rPr>
          <w:u w:val="single"/>
        </w:rPr>
        <w:tab/>
      </w:r>
    </w:p>
    <w:p w14:paraId="12B67C9E" w14:textId="7DD77FE7" w:rsidR="00A85820" w:rsidRPr="00757A01" w:rsidRDefault="00A85820" w:rsidP="00A85820">
      <w:pPr>
        <w:ind w:left="1714"/>
      </w:pPr>
    </w:p>
    <w:tbl>
      <w:tblPr>
        <w:tblW w:w="0" w:type="auto"/>
        <w:tblLayout w:type="fixed"/>
        <w:tblLook w:val="0000" w:firstRow="0" w:lastRow="0" w:firstColumn="0" w:lastColumn="0" w:noHBand="0" w:noVBand="0"/>
      </w:tblPr>
      <w:tblGrid>
        <w:gridCol w:w="1728"/>
        <w:gridCol w:w="7740"/>
      </w:tblGrid>
      <w:tr w:rsidR="00FD7F93" w:rsidRPr="00757A01" w14:paraId="0F535FC3" w14:textId="77777777" w:rsidTr="00DD386E">
        <w:trPr>
          <w:cantSplit/>
        </w:trPr>
        <w:tc>
          <w:tcPr>
            <w:tcW w:w="1728" w:type="dxa"/>
          </w:tcPr>
          <w:p w14:paraId="4FEA09DD" w14:textId="5DB5C010" w:rsidR="00FD7F93" w:rsidRPr="00757A01" w:rsidRDefault="00FD7F93" w:rsidP="00DD386E">
            <w:pPr>
              <w:pStyle w:val="Heading5"/>
            </w:pPr>
            <w:r w:rsidRPr="00757A01">
              <w:t xml:space="preserve">h.  </w:t>
            </w:r>
            <w:r w:rsidR="008D64D9" w:rsidRPr="00757A01">
              <w:t xml:space="preserve">Prohibition of </w:t>
            </w:r>
            <w:r w:rsidRPr="00757A01">
              <w:t>Releasing Information by Fax</w:t>
            </w:r>
          </w:p>
        </w:tc>
        <w:tc>
          <w:tcPr>
            <w:tcW w:w="7740" w:type="dxa"/>
          </w:tcPr>
          <w:p w14:paraId="493D3656" w14:textId="67F386C3" w:rsidR="00FD7F93" w:rsidRPr="00757A01" w:rsidRDefault="00FD7F93" w:rsidP="005204AB">
            <w:pPr>
              <w:pStyle w:val="BlockText"/>
            </w:pPr>
            <w:r w:rsidRPr="00757A01">
              <w:t xml:space="preserve">Faxing FTI is strictly prohibited. </w:t>
            </w:r>
          </w:p>
        </w:tc>
      </w:tr>
    </w:tbl>
    <w:p w14:paraId="57EC8EF3" w14:textId="2998014D" w:rsidR="00A86279" w:rsidRPr="00757A01" w:rsidRDefault="00A85820" w:rsidP="00A85820">
      <w:pPr>
        <w:tabs>
          <w:tab w:val="left" w:pos="9360"/>
        </w:tabs>
        <w:ind w:left="1714"/>
      </w:pPr>
      <w:r w:rsidRPr="00757A01">
        <w:rPr>
          <w:u w:val="single"/>
        </w:rPr>
        <w:tab/>
      </w:r>
    </w:p>
    <w:tbl>
      <w:tblPr>
        <w:tblW w:w="0" w:type="auto"/>
        <w:tblLayout w:type="fixed"/>
        <w:tblLook w:val="0000" w:firstRow="0" w:lastRow="0" w:firstColumn="0" w:lastColumn="0" w:noHBand="0" w:noVBand="0"/>
      </w:tblPr>
      <w:tblGrid>
        <w:gridCol w:w="1728"/>
        <w:gridCol w:w="7740"/>
      </w:tblGrid>
      <w:tr w:rsidR="00DD386E" w:rsidRPr="00757A01" w14:paraId="3CBA6C64" w14:textId="77777777" w:rsidTr="00DD386E">
        <w:trPr>
          <w:cantSplit/>
          <w:trHeight w:val="1026"/>
        </w:trPr>
        <w:tc>
          <w:tcPr>
            <w:tcW w:w="1728" w:type="dxa"/>
          </w:tcPr>
          <w:p w14:paraId="4F13BCE8" w14:textId="77777777" w:rsidR="00746CB3" w:rsidRPr="00757A01" w:rsidRDefault="00746CB3" w:rsidP="00DD386E">
            <w:pPr>
              <w:pStyle w:val="Heading5"/>
            </w:pPr>
          </w:p>
          <w:p w14:paraId="44A1495A" w14:textId="20961528" w:rsidR="00DD386E" w:rsidRPr="00757A01" w:rsidRDefault="00DD386E" w:rsidP="00DD386E">
            <w:pPr>
              <w:pStyle w:val="Heading5"/>
            </w:pPr>
            <w:r w:rsidRPr="00757A01">
              <w:t>i.  E-mailing FTI</w:t>
            </w:r>
          </w:p>
        </w:tc>
        <w:tc>
          <w:tcPr>
            <w:tcW w:w="7740" w:type="dxa"/>
          </w:tcPr>
          <w:p w14:paraId="4342F8F5" w14:textId="77777777" w:rsidR="00746CB3" w:rsidRPr="00757A01" w:rsidRDefault="00746CB3" w:rsidP="00DD386E">
            <w:pPr>
              <w:pStyle w:val="BlockText"/>
            </w:pPr>
          </w:p>
          <w:p w14:paraId="7A87ECFD" w14:textId="38B67639" w:rsidR="00DD386E" w:rsidRPr="00757A01" w:rsidRDefault="00746CB3" w:rsidP="00DD386E">
            <w:pPr>
              <w:pStyle w:val="BlockText"/>
            </w:pPr>
            <w:r w:rsidRPr="00757A01">
              <w:t>D</w:t>
            </w:r>
            <w:r w:rsidR="00DD386E" w:rsidRPr="00757A01">
              <w:t>o not include FTI within an email or as an attachment to any recipient.</w:t>
            </w:r>
          </w:p>
          <w:p w14:paraId="4B9BAA4F" w14:textId="4AE2489D" w:rsidR="00DD386E" w:rsidRPr="00757A01" w:rsidRDefault="00DD386E" w:rsidP="00DD386E">
            <w:pPr>
              <w:pStyle w:val="BlockText"/>
            </w:pPr>
          </w:p>
          <w:p w14:paraId="7374C53A" w14:textId="7357A9F0" w:rsidR="00250473" w:rsidRPr="00757A01" w:rsidRDefault="00DD386E" w:rsidP="00DD386E">
            <w:pPr>
              <w:pStyle w:val="BlockText"/>
            </w:pPr>
            <w:r w:rsidRPr="00757A01">
              <w:t xml:space="preserve">Send policy questions pertaining to FTI in an encrypted email to </w:t>
            </w:r>
            <w:hyperlink r:id="rId15" w:history="1">
              <w:r w:rsidRPr="00757A01">
                <w:rPr>
                  <w:rStyle w:val="Hyperlink"/>
                </w:rPr>
                <w:t>VAVBAWAS/CO/21P1 IRS/SSA</w:t>
              </w:r>
            </w:hyperlink>
            <w:r w:rsidRPr="00757A01">
              <w:t>.  Include only the claim number and specific question.</w:t>
            </w:r>
          </w:p>
          <w:p w14:paraId="7EDA6624" w14:textId="77777777" w:rsidR="00250473" w:rsidRPr="00757A01" w:rsidRDefault="00250473" w:rsidP="00DD386E">
            <w:pPr>
              <w:pStyle w:val="BlockText"/>
            </w:pPr>
          </w:p>
          <w:p w14:paraId="2DE1710B" w14:textId="1C371BF6" w:rsidR="00DD386E" w:rsidRPr="00757A01" w:rsidRDefault="00250473" w:rsidP="00250473">
            <w:pPr>
              <w:pStyle w:val="BlockText"/>
              <w:rPr>
                <w:b/>
                <w:i/>
              </w:rPr>
            </w:pPr>
            <w:r w:rsidRPr="00757A01">
              <w:rPr>
                <w:b/>
                <w:i/>
              </w:rPr>
              <w:t>Note</w:t>
            </w:r>
            <w:r w:rsidRPr="00757A01">
              <w:t xml:space="preserve">: VACO employees may, on occasion, initiate e-mails containing FTI so long as the IRS guidelines in </w:t>
            </w:r>
            <w:r w:rsidRPr="005F0670">
              <w:rPr>
                <w:i/>
              </w:rPr>
              <w:t>IRS Publication 1075</w:t>
            </w:r>
            <w:r w:rsidRPr="00757A01">
              <w:t xml:space="preserve"> are met.</w:t>
            </w:r>
          </w:p>
        </w:tc>
      </w:tr>
    </w:tbl>
    <w:p w14:paraId="57EC8EF4" w14:textId="52A85EE1" w:rsidR="00A86279" w:rsidRPr="00757A01" w:rsidRDefault="00A85820" w:rsidP="00A85820">
      <w:pPr>
        <w:tabs>
          <w:tab w:val="left" w:pos="9360"/>
        </w:tabs>
        <w:ind w:left="1714"/>
      </w:pPr>
      <w:r w:rsidRPr="00757A01">
        <w:rPr>
          <w:u w:val="single"/>
        </w:rPr>
        <w:tab/>
      </w:r>
    </w:p>
    <w:p w14:paraId="1E83B5D0" w14:textId="3DE2AB81" w:rsidR="00A85820" w:rsidRPr="00757A01" w:rsidRDefault="00A85820" w:rsidP="00A85820">
      <w:pPr>
        <w:ind w:left="1714"/>
      </w:pPr>
    </w:p>
    <w:tbl>
      <w:tblPr>
        <w:tblW w:w="0" w:type="auto"/>
        <w:tblLayout w:type="fixed"/>
        <w:tblLook w:val="0000" w:firstRow="0" w:lastRow="0" w:firstColumn="0" w:lastColumn="0" w:noHBand="0" w:noVBand="0"/>
      </w:tblPr>
      <w:tblGrid>
        <w:gridCol w:w="1728"/>
        <w:gridCol w:w="7740"/>
      </w:tblGrid>
      <w:tr w:rsidR="00DD386E" w:rsidRPr="00757A01" w14:paraId="45579D53" w14:textId="77777777" w:rsidTr="00DD386E">
        <w:trPr>
          <w:cantSplit/>
        </w:trPr>
        <w:tc>
          <w:tcPr>
            <w:tcW w:w="1728" w:type="dxa"/>
          </w:tcPr>
          <w:p w14:paraId="6BCD83B6" w14:textId="09386BE9" w:rsidR="00DD386E" w:rsidRPr="00757A01" w:rsidRDefault="00DD386E" w:rsidP="00DD386E">
            <w:pPr>
              <w:pStyle w:val="Heading5"/>
            </w:pPr>
            <w:r w:rsidRPr="00757A01">
              <w:t>j.  Releasing Information Over the Telephone</w:t>
            </w:r>
          </w:p>
        </w:tc>
        <w:tc>
          <w:tcPr>
            <w:tcW w:w="7740" w:type="dxa"/>
          </w:tcPr>
          <w:p w14:paraId="70E1074F" w14:textId="77777777" w:rsidR="000D5908" w:rsidRPr="00757A01" w:rsidRDefault="000D5908" w:rsidP="000D5908">
            <w:pPr>
              <w:pStyle w:val="BlockText"/>
            </w:pPr>
            <w:r w:rsidRPr="00757A01">
              <w:t xml:space="preserve">An adjudicator may only speak directly to the individual whose FTI data was received.  Speaking with a relative, spouse, or a friend even if the individual who received the income grants permission, is not allowed. </w:t>
            </w:r>
          </w:p>
          <w:p w14:paraId="03E24D86" w14:textId="77777777" w:rsidR="000D5908" w:rsidRPr="00757A01" w:rsidRDefault="000D5908" w:rsidP="000D5908">
            <w:pPr>
              <w:pStyle w:val="BlockText"/>
            </w:pPr>
          </w:p>
          <w:p w14:paraId="1BC4CFD8" w14:textId="77777777" w:rsidR="000D5908" w:rsidRPr="00757A01" w:rsidRDefault="000D5908" w:rsidP="000D5908">
            <w:pPr>
              <w:pStyle w:val="BlockText"/>
            </w:pPr>
            <w:r w:rsidRPr="00757A01">
              <w:t xml:space="preserve">Telephone development is allowed to </w:t>
            </w:r>
          </w:p>
          <w:p w14:paraId="686653DA" w14:textId="77777777" w:rsidR="000D5908" w:rsidRPr="00757A01" w:rsidRDefault="000D5908" w:rsidP="000D5908">
            <w:pPr>
              <w:pStyle w:val="BlockText"/>
              <w:numPr>
                <w:ilvl w:val="0"/>
                <w:numId w:val="112"/>
              </w:numPr>
              <w:ind w:left="158" w:hanging="158"/>
            </w:pPr>
            <w:r w:rsidRPr="00757A01">
              <w:t xml:space="preserve">discuss a claimant’s need to verify income, in addition to sending a formal letter that requests the same verification of income, </w:t>
            </w:r>
          </w:p>
          <w:p w14:paraId="38ABCFDA" w14:textId="77777777" w:rsidR="000D5908" w:rsidRPr="00757A01" w:rsidRDefault="000D5908" w:rsidP="000D5908">
            <w:pPr>
              <w:pStyle w:val="BlockText"/>
              <w:numPr>
                <w:ilvl w:val="0"/>
                <w:numId w:val="112"/>
              </w:numPr>
              <w:ind w:left="158" w:hanging="158"/>
            </w:pPr>
            <w:r w:rsidRPr="00757A01">
              <w:t xml:space="preserve">clarify amounts (gross vs. net), or </w:t>
            </w:r>
          </w:p>
          <w:p w14:paraId="3251A920" w14:textId="77777777" w:rsidR="000D5908" w:rsidRPr="00757A01" w:rsidRDefault="000D5908" w:rsidP="000D5908">
            <w:pPr>
              <w:pStyle w:val="BlockText"/>
              <w:numPr>
                <w:ilvl w:val="0"/>
                <w:numId w:val="112"/>
              </w:numPr>
              <w:ind w:left="158" w:hanging="158"/>
            </w:pPr>
            <w:r w:rsidRPr="00757A01">
              <w:t xml:space="preserve">discuss what types of documents will satisfy VA’s request for verification of current income.  </w:t>
            </w:r>
          </w:p>
          <w:p w14:paraId="01D1FCAE" w14:textId="77777777" w:rsidR="000D5908" w:rsidRPr="00757A01" w:rsidRDefault="000D5908" w:rsidP="000D5908">
            <w:pPr>
              <w:pStyle w:val="BlockText"/>
            </w:pPr>
          </w:p>
          <w:p w14:paraId="5EBCE1C0" w14:textId="77777777" w:rsidR="00DD386E" w:rsidRPr="00757A01" w:rsidRDefault="00DD386E" w:rsidP="00200424">
            <w:pPr>
              <w:pStyle w:val="BlockText"/>
              <w:rPr>
                <w:b/>
                <w:i/>
              </w:rPr>
            </w:pPr>
            <w:r w:rsidRPr="00757A01">
              <w:rPr>
                <w:b/>
                <w:i/>
              </w:rPr>
              <w:t>Example</w:t>
            </w:r>
            <w:r w:rsidRPr="00757A01">
              <w:t>:  IRS reports dividend income of $2,000 per year; however, the claimant did not report dividend income.  The adjudicator calls the claimant and the claimant explains that he did not think to include the dividends as he has the dividend payments set up to automatically roll over into his savings account and that the $2,000 is accurate.  Since the claimant has confirmed the FTI, the adjudicator can use the call as verification.</w:t>
            </w:r>
            <w:r w:rsidRPr="00757A01">
              <w:rPr>
                <w:b/>
                <w:i/>
              </w:rPr>
              <w:t xml:space="preserve"> </w:t>
            </w:r>
          </w:p>
          <w:p w14:paraId="0F2D6176" w14:textId="77777777" w:rsidR="00DD386E" w:rsidRPr="00757A01" w:rsidRDefault="00DD386E" w:rsidP="00200424">
            <w:pPr>
              <w:pStyle w:val="BlockText"/>
              <w:rPr>
                <w:b/>
                <w:i/>
              </w:rPr>
            </w:pPr>
          </w:p>
          <w:p w14:paraId="6669DAA0" w14:textId="77777777" w:rsidR="00DD386E" w:rsidRPr="00757A01" w:rsidRDefault="00DD386E" w:rsidP="00200424">
            <w:pPr>
              <w:pStyle w:val="BlockText"/>
            </w:pPr>
            <w:r w:rsidRPr="00757A01">
              <w:rPr>
                <w:b/>
                <w:i/>
              </w:rPr>
              <w:t>Important:</w:t>
            </w:r>
            <w:r w:rsidRPr="00757A01">
              <w:t xml:space="preserve"> Adjudicators may not accept a statement taken over the phone as verification of a claimant’s income if the amount is less than FTI reported by IRS and SSA.</w:t>
            </w:r>
          </w:p>
          <w:p w14:paraId="05F5096A" w14:textId="77777777" w:rsidR="001C2E88" w:rsidRPr="00757A01" w:rsidRDefault="001C2E88" w:rsidP="00200424">
            <w:pPr>
              <w:pStyle w:val="BlockText"/>
            </w:pPr>
          </w:p>
          <w:p w14:paraId="5B00B61F" w14:textId="28778680" w:rsidR="001C2E88" w:rsidRPr="00757A01" w:rsidRDefault="001C2E88" w:rsidP="008C76E9">
            <w:pPr>
              <w:pStyle w:val="BlockText"/>
            </w:pPr>
            <w:r w:rsidRPr="00757A01">
              <w:rPr>
                <w:b/>
                <w:i/>
              </w:rPr>
              <w:t>Reference</w:t>
            </w:r>
            <w:r w:rsidRPr="00757A01">
              <w:t xml:space="preserve">:  For information regarding disclosures to Fiduciaries, see </w:t>
            </w:r>
            <w:r w:rsidR="008C76E9" w:rsidRPr="00757A01">
              <w:t xml:space="preserve">M21-1, Part </w:t>
            </w:r>
            <w:r w:rsidRPr="00757A01">
              <w:t>X</w:t>
            </w:r>
            <w:r w:rsidR="008C76E9" w:rsidRPr="00757A01">
              <w:t xml:space="preserve">, Chapter </w:t>
            </w:r>
            <w:r w:rsidR="004C2BF0" w:rsidRPr="00757A01">
              <w:t xml:space="preserve">9, Section B, Topic </w:t>
            </w:r>
            <w:r w:rsidR="008C76E9" w:rsidRPr="00757A01">
              <w:t>4</w:t>
            </w:r>
          </w:p>
        </w:tc>
      </w:tr>
    </w:tbl>
    <w:p w14:paraId="4C2783FB" w14:textId="411DB452" w:rsidR="00DD386E" w:rsidRPr="00757A01" w:rsidRDefault="00A85820" w:rsidP="00A85820">
      <w:pPr>
        <w:tabs>
          <w:tab w:val="left" w:pos="9360"/>
        </w:tabs>
        <w:ind w:left="1714"/>
      </w:pPr>
      <w:r w:rsidRPr="00757A01">
        <w:rPr>
          <w:u w:val="single"/>
        </w:rPr>
        <w:tab/>
      </w:r>
    </w:p>
    <w:p w14:paraId="5848BD76" w14:textId="77777777" w:rsidR="00A85820" w:rsidRPr="00757A01" w:rsidRDefault="00A85820" w:rsidP="00A85820"/>
    <w:tbl>
      <w:tblPr>
        <w:tblW w:w="0" w:type="auto"/>
        <w:tblLayout w:type="fixed"/>
        <w:tblLook w:val="0000" w:firstRow="0" w:lastRow="0" w:firstColumn="0" w:lastColumn="0" w:noHBand="0" w:noVBand="0"/>
      </w:tblPr>
      <w:tblGrid>
        <w:gridCol w:w="1728"/>
        <w:gridCol w:w="7740"/>
      </w:tblGrid>
      <w:tr w:rsidR="00DD386E" w:rsidRPr="00757A01" w14:paraId="68D22FA1" w14:textId="77777777" w:rsidTr="00DD386E">
        <w:trPr>
          <w:cantSplit/>
        </w:trPr>
        <w:tc>
          <w:tcPr>
            <w:tcW w:w="1728" w:type="dxa"/>
          </w:tcPr>
          <w:p w14:paraId="28AEA295" w14:textId="77777777" w:rsidR="00DD386E" w:rsidRPr="00757A01" w:rsidRDefault="00DD386E" w:rsidP="00DD386E">
            <w:pPr>
              <w:pStyle w:val="Heading5"/>
            </w:pPr>
            <w:r w:rsidRPr="00757A01">
              <w:t>k.  Tailgating</w:t>
            </w:r>
          </w:p>
        </w:tc>
        <w:tc>
          <w:tcPr>
            <w:tcW w:w="7740" w:type="dxa"/>
          </w:tcPr>
          <w:p w14:paraId="740AC386" w14:textId="77777777" w:rsidR="00DD386E" w:rsidRPr="00757A01" w:rsidRDefault="00DD386E" w:rsidP="0072487F">
            <w:pPr>
              <w:pStyle w:val="BlockText"/>
            </w:pPr>
            <w:r w:rsidRPr="00757A01">
              <w:t xml:space="preserve">“Piggybacking” or “tailgating” to gain unauthorized access to areas containing FTI is prohibited.  Only individuals with a </w:t>
            </w:r>
            <w:r w:rsidRPr="00757A01">
              <w:rPr>
                <w:i/>
              </w:rPr>
              <w:t xml:space="preserve">need to know </w:t>
            </w:r>
            <w:r w:rsidRPr="00757A01">
              <w:t>are allowed to access areas containing FTI.</w:t>
            </w:r>
          </w:p>
          <w:p w14:paraId="5BFBE30A" w14:textId="77777777" w:rsidR="008026D2" w:rsidRPr="00757A01" w:rsidRDefault="008026D2" w:rsidP="0072487F">
            <w:pPr>
              <w:pStyle w:val="BlockText"/>
            </w:pPr>
          </w:p>
          <w:p w14:paraId="25D885CF" w14:textId="77777777" w:rsidR="00757A01" w:rsidRPr="00757A01" w:rsidRDefault="008026D2" w:rsidP="00757A01">
            <w:pPr>
              <w:pStyle w:val="NormalWeb"/>
              <w:spacing w:before="0" w:beforeAutospacing="0" w:after="0" w:afterAutospacing="0"/>
              <w:rPr>
                <w:color w:val="000000"/>
              </w:rPr>
            </w:pPr>
            <w:r w:rsidRPr="00757A01">
              <w:rPr>
                <w:b/>
                <w:i/>
              </w:rPr>
              <w:t>Note</w:t>
            </w:r>
            <w:r w:rsidRPr="00757A01">
              <w:t xml:space="preserve">:  </w:t>
            </w:r>
            <w:r w:rsidR="00757A01" w:rsidRPr="00757A01">
              <w:rPr>
                <w:color w:val="000000"/>
              </w:rPr>
              <w:t>Although individuals may have authorized access to areas containing FTI, access to FTI should be limited to a </w:t>
            </w:r>
            <w:r w:rsidR="00757A01" w:rsidRPr="00757A01">
              <w:rPr>
                <w:i/>
                <w:iCs/>
                <w:color w:val="000000"/>
              </w:rPr>
              <w:t>need to know basis</w:t>
            </w:r>
            <w:r w:rsidR="00757A01" w:rsidRPr="00757A01">
              <w:rPr>
                <w:color w:val="000000"/>
              </w:rPr>
              <w:t>.</w:t>
            </w:r>
          </w:p>
          <w:p w14:paraId="2254BEE0" w14:textId="68267161" w:rsidR="008026D2" w:rsidRPr="00757A01" w:rsidRDefault="008026D2" w:rsidP="008026D2">
            <w:pPr>
              <w:pStyle w:val="BlockText"/>
            </w:pPr>
          </w:p>
          <w:p w14:paraId="4E9FF04A" w14:textId="125351BD" w:rsidR="008026D2" w:rsidRPr="00757A01" w:rsidRDefault="008026D2" w:rsidP="008026D2">
            <w:pPr>
              <w:pStyle w:val="BlockText"/>
              <w:ind w:left="162"/>
            </w:pPr>
          </w:p>
        </w:tc>
      </w:tr>
    </w:tbl>
    <w:p w14:paraId="57EC8F16" w14:textId="77777777" w:rsidR="00A86279" w:rsidRPr="00757A01" w:rsidRDefault="00A86279" w:rsidP="00A86279"/>
    <w:p w14:paraId="57EC8F5F" w14:textId="412E4B77" w:rsidR="002E08FF" w:rsidRPr="00757A01" w:rsidRDefault="00C34731" w:rsidP="002E08FF">
      <w:pPr>
        <w:pStyle w:val="Heading4"/>
      </w:pPr>
      <w:r w:rsidRPr="00757A01">
        <w:lastRenderedPageBreak/>
        <w:t>2</w:t>
      </w:r>
      <w:r w:rsidR="002E08FF" w:rsidRPr="00757A01">
        <w:t>.  Storing and Handling of FTI</w:t>
      </w:r>
    </w:p>
    <w:p w14:paraId="57EC8F60" w14:textId="2811E874" w:rsidR="002E08FF" w:rsidRPr="00757A01" w:rsidRDefault="002E08FF" w:rsidP="002E08FF">
      <w:pPr>
        <w:pStyle w:val="BlockLine"/>
      </w:pPr>
    </w:p>
    <w:tbl>
      <w:tblPr>
        <w:tblW w:w="0" w:type="auto"/>
        <w:tblLayout w:type="fixed"/>
        <w:tblLook w:val="0000" w:firstRow="0" w:lastRow="0" w:firstColumn="0" w:lastColumn="0" w:noHBand="0" w:noVBand="0"/>
      </w:tblPr>
      <w:tblGrid>
        <w:gridCol w:w="1728"/>
        <w:gridCol w:w="7740"/>
      </w:tblGrid>
      <w:tr w:rsidR="002E08FF" w:rsidRPr="00757A01" w14:paraId="57EC8F6B" w14:textId="77777777" w:rsidTr="00DD386E">
        <w:trPr>
          <w:cantSplit/>
        </w:trPr>
        <w:tc>
          <w:tcPr>
            <w:tcW w:w="1728" w:type="dxa"/>
          </w:tcPr>
          <w:p w14:paraId="57EC8F61" w14:textId="77777777" w:rsidR="002E08FF" w:rsidRPr="00757A01" w:rsidRDefault="002E08FF" w:rsidP="00DD386E">
            <w:pPr>
              <w:pStyle w:val="Heading5"/>
            </w:pPr>
            <w:r w:rsidRPr="00757A01">
              <w:t>Introduction</w:t>
            </w:r>
          </w:p>
        </w:tc>
        <w:tc>
          <w:tcPr>
            <w:tcW w:w="7740" w:type="dxa"/>
          </w:tcPr>
          <w:p w14:paraId="57EC8F62" w14:textId="39FF72BF" w:rsidR="002E08FF" w:rsidRPr="00757A01" w:rsidRDefault="002E08FF" w:rsidP="00DD386E">
            <w:pPr>
              <w:pStyle w:val="BlockText"/>
            </w:pPr>
            <w:r w:rsidRPr="00757A01">
              <w:t xml:space="preserve">This topic contains information on </w:t>
            </w:r>
            <w:r w:rsidR="00470623" w:rsidRPr="00757A01">
              <w:t>storing and handling FTI</w:t>
            </w:r>
            <w:r w:rsidR="00867C95" w:rsidRPr="00757A01">
              <w:t xml:space="preserve"> including</w:t>
            </w:r>
          </w:p>
          <w:p w14:paraId="57EC8F63" w14:textId="77777777" w:rsidR="002E08FF" w:rsidRPr="00757A01" w:rsidRDefault="002E08FF" w:rsidP="00DD386E">
            <w:pPr>
              <w:pStyle w:val="BlockText"/>
            </w:pPr>
          </w:p>
          <w:p w14:paraId="57EC8F64" w14:textId="17E1D0B9" w:rsidR="002E08FF" w:rsidRPr="00757A01" w:rsidRDefault="00DA7B0C" w:rsidP="00D36224">
            <w:pPr>
              <w:pStyle w:val="ListParagraph"/>
              <w:numPr>
                <w:ilvl w:val="0"/>
                <w:numId w:val="98"/>
              </w:numPr>
              <w:ind w:left="158" w:hanging="187"/>
            </w:pPr>
            <w:r w:rsidRPr="00757A01">
              <w:t xml:space="preserve">VSC FTI </w:t>
            </w:r>
            <w:r w:rsidR="002E08FF" w:rsidRPr="00757A01">
              <w:t>storage</w:t>
            </w:r>
          </w:p>
          <w:p w14:paraId="0A482EA9" w14:textId="77777777" w:rsidR="00241960" w:rsidRPr="00757A01" w:rsidRDefault="00DA7B0C" w:rsidP="00D36224">
            <w:pPr>
              <w:pStyle w:val="ListParagraph"/>
              <w:numPr>
                <w:ilvl w:val="0"/>
                <w:numId w:val="25"/>
              </w:numPr>
              <w:ind w:left="158" w:hanging="187"/>
            </w:pPr>
            <w:r w:rsidRPr="00757A01">
              <w:t>PMC FTI storage</w:t>
            </w:r>
          </w:p>
          <w:p w14:paraId="57EC8F65" w14:textId="4D10F9AF" w:rsidR="002E08FF" w:rsidRPr="00757A01" w:rsidRDefault="00241960" w:rsidP="00D36224">
            <w:pPr>
              <w:pStyle w:val="ListParagraph"/>
              <w:numPr>
                <w:ilvl w:val="0"/>
                <w:numId w:val="25"/>
              </w:numPr>
              <w:ind w:left="158" w:hanging="187"/>
            </w:pPr>
            <w:r w:rsidRPr="00757A01">
              <w:t>approved systems for FTI</w:t>
            </w:r>
          </w:p>
          <w:p w14:paraId="3A68BC14" w14:textId="77777777" w:rsidR="00DA7B0C" w:rsidRPr="00757A01" w:rsidRDefault="00DA7B0C" w:rsidP="00D36224">
            <w:pPr>
              <w:pStyle w:val="ListParagraph"/>
              <w:numPr>
                <w:ilvl w:val="0"/>
                <w:numId w:val="26"/>
              </w:numPr>
              <w:ind w:left="158" w:hanging="187"/>
            </w:pPr>
            <w:r w:rsidRPr="00757A01">
              <w:t>contents of the VSC FTI folders or secured Virtual VA folder</w:t>
            </w:r>
          </w:p>
          <w:p w14:paraId="15FA39FC" w14:textId="77777777" w:rsidR="00DA7B0C" w:rsidRPr="00757A01" w:rsidRDefault="00DA7B0C" w:rsidP="00D36224">
            <w:pPr>
              <w:pStyle w:val="ListParagraph"/>
              <w:numPr>
                <w:ilvl w:val="0"/>
                <w:numId w:val="26"/>
              </w:numPr>
              <w:ind w:left="158" w:hanging="187"/>
            </w:pPr>
            <w:r w:rsidRPr="00757A01">
              <w:t>award prints</w:t>
            </w:r>
          </w:p>
          <w:p w14:paraId="01030DF9" w14:textId="1F479C6C" w:rsidR="00DA7B0C" w:rsidRPr="00757A01" w:rsidRDefault="00DA7B0C" w:rsidP="00D36224">
            <w:pPr>
              <w:pStyle w:val="ListParagraph"/>
              <w:numPr>
                <w:ilvl w:val="0"/>
                <w:numId w:val="26"/>
              </w:numPr>
              <w:ind w:left="158" w:hanging="187"/>
            </w:pPr>
            <w:r w:rsidRPr="00757A01">
              <w:t xml:space="preserve">destroying contents of the </w:t>
            </w:r>
            <w:r w:rsidR="00165C7D" w:rsidRPr="00757A01">
              <w:t>paper</w:t>
            </w:r>
            <w:r w:rsidRPr="00757A01">
              <w:t xml:space="preserve"> FTI file</w:t>
            </w:r>
          </w:p>
          <w:p w14:paraId="57EC8F66" w14:textId="194899A7" w:rsidR="002E08FF" w:rsidRPr="00757A01" w:rsidRDefault="00DA7B0C" w:rsidP="00D36224">
            <w:pPr>
              <w:pStyle w:val="ListParagraph"/>
              <w:numPr>
                <w:ilvl w:val="0"/>
                <w:numId w:val="26"/>
              </w:numPr>
              <w:ind w:left="158" w:hanging="187"/>
            </w:pPr>
            <w:r w:rsidRPr="00757A01">
              <w:t>destroying scanned FTI</w:t>
            </w:r>
          </w:p>
          <w:p w14:paraId="57EC8F67" w14:textId="2D1B5BD0" w:rsidR="002E08FF" w:rsidRPr="00757A01" w:rsidRDefault="00DA7B0C" w:rsidP="00D36224">
            <w:pPr>
              <w:pStyle w:val="ListParagraph"/>
              <w:numPr>
                <w:ilvl w:val="0"/>
                <w:numId w:val="27"/>
              </w:numPr>
              <w:ind w:left="158" w:hanging="187"/>
            </w:pPr>
            <w:r w:rsidRPr="00757A01">
              <w:t xml:space="preserve">requirements for </w:t>
            </w:r>
            <w:r w:rsidR="002E08FF" w:rsidRPr="00757A01">
              <w:t>des</w:t>
            </w:r>
            <w:r w:rsidRPr="00757A01">
              <w:t>troying</w:t>
            </w:r>
            <w:r w:rsidR="002E08FF" w:rsidRPr="00757A01">
              <w:t xml:space="preserve"> FTI</w:t>
            </w:r>
          </w:p>
          <w:p w14:paraId="57EC8F68" w14:textId="0D9DF2C3" w:rsidR="002E08FF" w:rsidRPr="00757A01" w:rsidRDefault="00E67CBE" w:rsidP="00D36224">
            <w:pPr>
              <w:pStyle w:val="ListParagraph"/>
              <w:numPr>
                <w:ilvl w:val="0"/>
                <w:numId w:val="28"/>
              </w:numPr>
              <w:ind w:left="158" w:hanging="187"/>
            </w:pPr>
            <w:r w:rsidRPr="00757A01">
              <w:t xml:space="preserve">FTI tracking </w:t>
            </w:r>
            <w:r w:rsidR="002E08FF" w:rsidRPr="00757A01">
              <w:t>log</w:t>
            </w:r>
            <w:r w:rsidR="00DA7B0C" w:rsidRPr="00757A01">
              <w:t>, and</w:t>
            </w:r>
          </w:p>
          <w:p w14:paraId="57EC8F6A" w14:textId="7F76DF27" w:rsidR="002E08FF" w:rsidRPr="00757A01" w:rsidRDefault="002E08FF" w:rsidP="00D36224">
            <w:pPr>
              <w:pStyle w:val="ListParagraph"/>
              <w:numPr>
                <w:ilvl w:val="0"/>
                <w:numId w:val="29"/>
              </w:numPr>
              <w:ind w:left="158" w:hanging="187"/>
            </w:pPr>
            <w:r w:rsidRPr="00757A01">
              <w:t xml:space="preserve">transferring </w:t>
            </w:r>
            <w:r w:rsidR="00DA7B0C" w:rsidRPr="00757A01">
              <w:t xml:space="preserve">paper </w:t>
            </w:r>
            <w:r w:rsidRPr="00757A01">
              <w:t>FTI materials</w:t>
            </w:r>
          </w:p>
        </w:tc>
      </w:tr>
    </w:tbl>
    <w:p w14:paraId="57EC8F6C" w14:textId="77777777" w:rsidR="002E08FF" w:rsidRPr="00757A01" w:rsidRDefault="002E08FF" w:rsidP="002E08FF">
      <w:pPr>
        <w:pStyle w:val="BlockLine"/>
      </w:pPr>
    </w:p>
    <w:tbl>
      <w:tblPr>
        <w:tblW w:w="0" w:type="auto"/>
        <w:tblLayout w:type="fixed"/>
        <w:tblLook w:val="0000" w:firstRow="0" w:lastRow="0" w:firstColumn="0" w:lastColumn="0" w:noHBand="0" w:noVBand="0"/>
      </w:tblPr>
      <w:tblGrid>
        <w:gridCol w:w="1728"/>
        <w:gridCol w:w="7740"/>
      </w:tblGrid>
      <w:tr w:rsidR="002E08FF" w:rsidRPr="00757A01" w14:paraId="57EC8F6F" w14:textId="77777777" w:rsidTr="00DD386E">
        <w:trPr>
          <w:cantSplit/>
        </w:trPr>
        <w:tc>
          <w:tcPr>
            <w:tcW w:w="1728" w:type="dxa"/>
          </w:tcPr>
          <w:p w14:paraId="57EC8F6D" w14:textId="77777777" w:rsidR="002E08FF" w:rsidRPr="00757A01" w:rsidRDefault="002E08FF" w:rsidP="00DD386E">
            <w:pPr>
              <w:pStyle w:val="Heading5"/>
            </w:pPr>
            <w:r w:rsidRPr="00757A01">
              <w:t>Change Date</w:t>
            </w:r>
          </w:p>
        </w:tc>
        <w:tc>
          <w:tcPr>
            <w:tcW w:w="7740" w:type="dxa"/>
          </w:tcPr>
          <w:p w14:paraId="57EC8F6E" w14:textId="24332802" w:rsidR="002E08FF" w:rsidRPr="00757A01" w:rsidRDefault="00754C6D" w:rsidP="00DD386E">
            <w:pPr>
              <w:pStyle w:val="BlockText"/>
            </w:pPr>
            <w:r>
              <w:t>March 30, 2015</w:t>
            </w:r>
          </w:p>
        </w:tc>
      </w:tr>
    </w:tbl>
    <w:p w14:paraId="57EC8F70" w14:textId="77777777" w:rsidR="002E08FF" w:rsidRPr="00757A01" w:rsidRDefault="002E08FF" w:rsidP="002E08FF">
      <w:pPr>
        <w:pStyle w:val="BlockLine"/>
      </w:pPr>
    </w:p>
    <w:tbl>
      <w:tblPr>
        <w:tblW w:w="0" w:type="auto"/>
        <w:tblLayout w:type="fixed"/>
        <w:tblLook w:val="0000" w:firstRow="0" w:lastRow="0" w:firstColumn="0" w:lastColumn="0" w:noHBand="0" w:noVBand="0"/>
      </w:tblPr>
      <w:tblGrid>
        <w:gridCol w:w="1728"/>
        <w:gridCol w:w="7740"/>
      </w:tblGrid>
      <w:tr w:rsidR="00DA7B0C" w:rsidRPr="00757A01" w14:paraId="14CA389B" w14:textId="77777777" w:rsidTr="00DA7B0C">
        <w:trPr>
          <w:cantSplit/>
        </w:trPr>
        <w:tc>
          <w:tcPr>
            <w:tcW w:w="1728" w:type="dxa"/>
          </w:tcPr>
          <w:p w14:paraId="1BDD07C1" w14:textId="77777777" w:rsidR="00DA7B0C" w:rsidRPr="00757A01" w:rsidRDefault="00DA7B0C" w:rsidP="00DA7B0C">
            <w:pPr>
              <w:pStyle w:val="Heading5"/>
              <w:ind w:left="346" w:hanging="346"/>
            </w:pPr>
            <w:r w:rsidRPr="00757A01">
              <w:t>a.   VSC FTI Storage</w:t>
            </w:r>
          </w:p>
        </w:tc>
        <w:tc>
          <w:tcPr>
            <w:tcW w:w="7740" w:type="dxa"/>
          </w:tcPr>
          <w:p w14:paraId="235190CE" w14:textId="3C251662" w:rsidR="00DA7B0C" w:rsidRPr="00757A01" w:rsidRDefault="00DA7B0C" w:rsidP="00DA7B0C">
            <w:pPr>
              <w:pStyle w:val="BlockText"/>
            </w:pPr>
            <w:r w:rsidRPr="00757A01">
              <w:t>VSCs must establish an orange, lightweight folder for each case requiring further action.  Tax return information (for example, the worksheet), must be filed in the FTI folder</w:t>
            </w:r>
            <w:r w:rsidR="00A54CAF" w:rsidRPr="00757A01">
              <w:t>, previously referred to as I</w:t>
            </w:r>
            <w:r w:rsidR="008837CB" w:rsidRPr="00757A01">
              <w:t>ncome Verification Match (I</w:t>
            </w:r>
            <w:r w:rsidR="00A54CAF" w:rsidRPr="00757A01">
              <w:t>VM</w:t>
            </w:r>
            <w:r w:rsidR="008837CB" w:rsidRPr="00757A01">
              <w:t>)</w:t>
            </w:r>
            <w:r w:rsidR="00A54CAF" w:rsidRPr="00757A01">
              <w:t xml:space="preserve"> folders</w:t>
            </w:r>
            <w:r w:rsidRPr="00757A01">
              <w:t>.  FTI folders must be kept separately in a locked file.</w:t>
            </w:r>
            <w:r w:rsidR="00A54CAF" w:rsidRPr="00757A01">
              <w:t xml:space="preserve">  </w:t>
            </w:r>
            <w:r w:rsidRPr="00757A01">
              <w:t xml:space="preserve">The </w:t>
            </w:r>
            <w:r w:rsidR="001C2E88" w:rsidRPr="00757A01">
              <w:t>FTI</w:t>
            </w:r>
            <w:r w:rsidRPr="00757A01">
              <w:t xml:space="preserve"> f</w:t>
            </w:r>
            <w:r w:rsidR="001C2E88" w:rsidRPr="00757A01">
              <w:t xml:space="preserve">older </w:t>
            </w:r>
            <w:r w:rsidRPr="00757A01">
              <w:t>must be returned to the locked files at the end of each day.</w:t>
            </w:r>
            <w:r w:rsidR="00A54CAF" w:rsidRPr="00757A01">
              <w:t xml:space="preserve">  </w:t>
            </w:r>
            <w:r w:rsidRPr="00757A01">
              <w:t>There are no exceptions.  Attach an overprint flash to the claims folder to alert employees that there is an FTI folder.</w:t>
            </w:r>
          </w:p>
          <w:p w14:paraId="0B2CEF81" w14:textId="77777777" w:rsidR="00DA7B0C" w:rsidRPr="00757A01" w:rsidRDefault="00DA7B0C" w:rsidP="00DA7B0C">
            <w:pPr>
              <w:pStyle w:val="BlockText"/>
            </w:pPr>
          </w:p>
          <w:p w14:paraId="55ECD1F9" w14:textId="5C04455D" w:rsidR="00DA7B0C" w:rsidRPr="00757A01" w:rsidRDefault="00DA7B0C" w:rsidP="00DA7B0C">
            <w:pPr>
              <w:pStyle w:val="BlockText"/>
            </w:pPr>
            <w:r w:rsidRPr="00757A01">
              <w:rPr>
                <w:b/>
                <w:i/>
              </w:rPr>
              <w:t>Charge Cards</w:t>
            </w:r>
            <w:r w:rsidR="00A1565D" w:rsidRPr="00757A01">
              <w:t>:</w:t>
            </w:r>
          </w:p>
          <w:p w14:paraId="79401A71" w14:textId="77777777" w:rsidR="00DA7B0C" w:rsidRPr="00757A01" w:rsidRDefault="00DA7B0C" w:rsidP="00DA7B0C">
            <w:pPr>
              <w:pStyle w:val="BlockText"/>
            </w:pPr>
            <w:r w:rsidRPr="00757A01">
              <w:t>Charge cards must be used to maintain a complete record of charge-outs and must also reflect the date files are returned to storage.</w:t>
            </w:r>
          </w:p>
          <w:p w14:paraId="2B434ADA" w14:textId="77777777" w:rsidR="00DA7B0C" w:rsidRPr="00757A01" w:rsidRDefault="00DA7B0C" w:rsidP="00DA7B0C">
            <w:pPr>
              <w:pStyle w:val="BlockText"/>
            </w:pPr>
          </w:p>
          <w:p w14:paraId="4F9B52F4" w14:textId="500F1F02" w:rsidR="00DA7B0C" w:rsidRPr="00757A01" w:rsidRDefault="00DA7B0C" w:rsidP="00DA7B0C">
            <w:pPr>
              <w:pStyle w:val="BlockText"/>
            </w:pPr>
            <w:r w:rsidRPr="00757A01">
              <w:rPr>
                <w:b/>
                <w:i/>
              </w:rPr>
              <w:t>Reference</w:t>
            </w:r>
            <w:r w:rsidRPr="00757A01">
              <w:t xml:space="preserve">:  For more information on the maintenance and release of locked files, see </w:t>
            </w:r>
            <w:hyperlink r:id="rId16" w:history="1">
              <w:r w:rsidR="00ED3DCF">
                <w:rPr>
                  <w:rStyle w:val="Hyperlink"/>
                </w:rPr>
                <w:t>M21-1, Part III, Subpart ii, 4.A.3</w:t>
              </w:r>
            </w:hyperlink>
            <w:r w:rsidRPr="00757A01">
              <w:t>.</w:t>
            </w:r>
          </w:p>
        </w:tc>
      </w:tr>
    </w:tbl>
    <w:p w14:paraId="7F386903" w14:textId="05179E4D" w:rsidR="00DA7B0C" w:rsidRPr="00757A01" w:rsidRDefault="00A85820" w:rsidP="00A85820">
      <w:pPr>
        <w:tabs>
          <w:tab w:val="left" w:pos="9360"/>
        </w:tabs>
        <w:ind w:left="1714"/>
      </w:pPr>
      <w:r w:rsidRPr="00757A01">
        <w:rPr>
          <w:u w:val="single"/>
        </w:rPr>
        <w:tab/>
      </w:r>
    </w:p>
    <w:p w14:paraId="076CF7BB" w14:textId="77777777" w:rsidR="00A85820" w:rsidRPr="00757A01" w:rsidRDefault="00A85820" w:rsidP="00A85820"/>
    <w:tbl>
      <w:tblPr>
        <w:tblW w:w="0" w:type="auto"/>
        <w:tblLayout w:type="fixed"/>
        <w:tblLook w:val="0000" w:firstRow="0" w:lastRow="0" w:firstColumn="0" w:lastColumn="0" w:noHBand="0" w:noVBand="0"/>
      </w:tblPr>
      <w:tblGrid>
        <w:gridCol w:w="1728"/>
        <w:gridCol w:w="7740"/>
      </w:tblGrid>
      <w:tr w:rsidR="00DA7B0C" w:rsidRPr="00757A01" w14:paraId="135EE815" w14:textId="77777777" w:rsidTr="00DA7B0C">
        <w:trPr>
          <w:cantSplit/>
        </w:trPr>
        <w:tc>
          <w:tcPr>
            <w:tcW w:w="1728" w:type="dxa"/>
          </w:tcPr>
          <w:p w14:paraId="62236B0C" w14:textId="615E3771" w:rsidR="00DA7B0C" w:rsidRPr="00757A01" w:rsidRDefault="00DA7B0C" w:rsidP="00DA7B0C">
            <w:pPr>
              <w:pStyle w:val="Heading5"/>
            </w:pPr>
            <w:r w:rsidRPr="00757A01">
              <w:t xml:space="preserve">b.  PMC FTI Storage </w:t>
            </w:r>
          </w:p>
        </w:tc>
        <w:tc>
          <w:tcPr>
            <w:tcW w:w="7740" w:type="dxa"/>
          </w:tcPr>
          <w:p w14:paraId="03CE8D12" w14:textId="184E2F3E" w:rsidR="00DA7B0C" w:rsidRPr="00757A01" w:rsidRDefault="00DA7B0C" w:rsidP="00DA7B0C">
            <w:pPr>
              <w:pStyle w:val="BlockText"/>
            </w:pPr>
            <w:r w:rsidRPr="00757A01">
              <w:t xml:space="preserve">PMCs must </w:t>
            </w:r>
            <w:r w:rsidR="002542E0" w:rsidRPr="00757A01">
              <w:t>maintain</w:t>
            </w:r>
            <w:r w:rsidRPr="00757A01">
              <w:t xml:space="preserve"> FTI</w:t>
            </w:r>
            <w:r w:rsidR="002118EA" w:rsidRPr="00757A01">
              <w:t xml:space="preserve"> created </w:t>
            </w:r>
            <w:r w:rsidR="005F0670">
              <w:t xml:space="preserve">for upfront verification </w:t>
            </w:r>
            <w:r w:rsidR="00165C7D" w:rsidRPr="00757A01">
              <w:t>FY</w:t>
            </w:r>
            <w:r w:rsidR="002118EA" w:rsidRPr="00757A01">
              <w:t xml:space="preserve"> 2014</w:t>
            </w:r>
            <w:r w:rsidRPr="00757A01">
              <w:t xml:space="preserve"> in the secured Virtual VA folder.</w:t>
            </w:r>
            <w:r w:rsidR="005F0670">
              <w:t xml:space="preserve"> </w:t>
            </w:r>
            <w:r w:rsidR="00AD3691" w:rsidRPr="00757A01">
              <w:t xml:space="preserve">  </w:t>
            </w:r>
            <w:r w:rsidR="005F0670">
              <w:t>IVMs may be stored in orange folders or Virtual VA.</w:t>
            </w:r>
          </w:p>
          <w:p w14:paraId="2606999F" w14:textId="77777777" w:rsidR="00DA7B0C" w:rsidRPr="00757A01" w:rsidRDefault="00DA7B0C" w:rsidP="00DA7B0C">
            <w:pPr>
              <w:pStyle w:val="BlockText"/>
              <w:rPr>
                <w:b/>
                <w:i/>
              </w:rPr>
            </w:pPr>
          </w:p>
          <w:p w14:paraId="489B92E3" w14:textId="20BC9C3F" w:rsidR="002118EA" w:rsidRPr="00757A01" w:rsidRDefault="00DA7B0C" w:rsidP="009C2A82">
            <w:pPr>
              <w:pStyle w:val="BlockText"/>
            </w:pPr>
            <w:r w:rsidRPr="00757A01">
              <w:rPr>
                <w:b/>
                <w:i/>
              </w:rPr>
              <w:t>Note:</w:t>
            </w:r>
            <w:r w:rsidRPr="00757A01">
              <w:t xml:space="preserve"> For the electronic folders in </w:t>
            </w:r>
            <w:r w:rsidR="009C2A82" w:rsidRPr="00757A01">
              <w:t>Virtual VA</w:t>
            </w:r>
            <w:r w:rsidRPr="00757A01">
              <w:t>, IVM folders will contain FTI related to IVMs and IRS/SSA Verification folders will contain the FTI related to upfront verification.</w:t>
            </w:r>
            <w:r w:rsidR="008814FD" w:rsidRPr="00757A01">
              <w:t xml:space="preserve"> </w:t>
            </w:r>
          </w:p>
        </w:tc>
      </w:tr>
    </w:tbl>
    <w:p w14:paraId="5AEBD4BB" w14:textId="685C360A" w:rsidR="00746CB3" w:rsidRPr="00757A01" w:rsidRDefault="00746CB3" w:rsidP="00746CB3">
      <w:pPr>
        <w:tabs>
          <w:tab w:val="left" w:pos="9360"/>
        </w:tabs>
        <w:ind w:left="1714"/>
      </w:pPr>
      <w:r w:rsidRPr="00757A01">
        <w:rPr>
          <w:u w:val="single"/>
        </w:rPr>
        <w:tab/>
      </w:r>
    </w:p>
    <w:p w14:paraId="5F6DC64E" w14:textId="77777777" w:rsidR="00241960" w:rsidRPr="00757A01" w:rsidRDefault="00241960" w:rsidP="00241960"/>
    <w:tbl>
      <w:tblPr>
        <w:tblW w:w="0" w:type="auto"/>
        <w:tblLayout w:type="fixed"/>
        <w:tblLook w:val="0000" w:firstRow="0" w:lastRow="0" w:firstColumn="0" w:lastColumn="0" w:noHBand="0" w:noVBand="0"/>
      </w:tblPr>
      <w:tblGrid>
        <w:gridCol w:w="1728"/>
        <w:gridCol w:w="7740"/>
      </w:tblGrid>
      <w:tr w:rsidR="00241960" w:rsidRPr="00757A01" w14:paraId="352E501B" w14:textId="77777777" w:rsidTr="00A1565D">
        <w:trPr>
          <w:cantSplit/>
        </w:trPr>
        <w:tc>
          <w:tcPr>
            <w:tcW w:w="1728" w:type="dxa"/>
          </w:tcPr>
          <w:p w14:paraId="115D9507" w14:textId="0E2C3888" w:rsidR="00241960" w:rsidRPr="00757A01" w:rsidRDefault="002118EA" w:rsidP="00241960">
            <w:pPr>
              <w:pStyle w:val="Heading5"/>
            </w:pPr>
            <w:r w:rsidRPr="00757A01">
              <w:lastRenderedPageBreak/>
              <w:t>c</w:t>
            </w:r>
            <w:r w:rsidR="00241960" w:rsidRPr="00757A01">
              <w:t xml:space="preserve">.  Approved VBA Systems for FTI </w:t>
            </w:r>
          </w:p>
        </w:tc>
        <w:tc>
          <w:tcPr>
            <w:tcW w:w="7740" w:type="dxa"/>
          </w:tcPr>
          <w:p w14:paraId="311BCBE3" w14:textId="3256C60C" w:rsidR="00241960" w:rsidRDefault="00241960" w:rsidP="00A1565D">
            <w:pPr>
              <w:pStyle w:val="BlockText"/>
            </w:pPr>
            <w:r w:rsidRPr="00757A01">
              <w:t xml:space="preserve">VBA has obtained approval </w:t>
            </w:r>
            <w:r w:rsidR="009C2A82" w:rsidRPr="00757A01">
              <w:t xml:space="preserve">to </w:t>
            </w:r>
            <w:r w:rsidRPr="00757A01">
              <w:t xml:space="preserve">process or store FTI in the following </w:t>
            </w:r>
            <w:r w:rsidR="00757A01">
              <w:t>systems</w:t>
            </w:r>
          </w:p>
          <w:p w14:paraId="19475078" w14:textId="77777777" w:rsidR="00757A01" w:rsidRPr="00757A01" w:rsidRDefault="00757A01" w:rsidP="00A1565D">
            <w:pPr>
              <w:pStyle w:val="BlockText"/>
            </w:pPr>
          </w:p>
          <w:p w14:paraId="58E358FD" w14:textId="513EE0E5" w:rsidR="00241960" w:rsidRPr="00757A01" w:rsidRDefault="00241960" w:rsidP="00200424">
            <w:pPr>
              <w:pStyle w:val="BlockText"/>
              <w:numPr>
                <w:ilvl w:val="0"/>
                <w:numId w:val="109"/>
              </w:numPr>
              <w:ind w:left="162" w:hanging="162"/>
            </w:pPr>
            <w:r w:rsidRPr="00757A01">
              <w:t xml:space="preserve">Virtual VA in the secured </w:t>
            </w:r>
            <w:r w:rsidR="00200424" w:rsidRPr="00757A01">
              <w:t xml:space="preserve">IRS/SSA or IVM </w:t>
            </w:r>
            <w:r w:rsidRPr="00757A01">
              <w:t>folder, and</w:t>
            </w:r>
          </w:p>
          <w:p w14:paraId="542936B3" w14:textId="77777777" w:rsidR="00241960" w:rsidRPr="00757A01" w:rsidRDefault="00241960" w:rsidP="00200424">
            <w:pPr>
              <w:pStyle w:val="BlockText"/>
              <w:numPr>
                <w:ilvl w:val="0"/>
                <w:numId w:val="109"/>
              </w:numPr>
              <w:ind w:left="162" w:hanging="162"/>
            </w:pPr>
            <w:r w:rsidRPr="00757A01">
              <w:t>MAP-D</w:t>
            </w:r>
          </w:p>
          <w:p w14:paraId="1285E1A6" w14:textId="1B7D4DBB" w:rsidR="00241960" w:rsidRPr="00757A01" w:rsidRDefault="00241960" w:rsidP="00200424">
            <w:pPr>
              <w:pStyle w:val="BlockText"/>
              <w:ind w:left="720"/>
            </w:pPr>
          </w:p>
        </w:tc>
      </w:tr>
    </w:tbl>
    <w:p w14:paraId="3677459C" w14:textId="2B96F183" w:rsidR="00241960" w:rsidRPr="00757A01" w:rsidRDefault="00241960" w:rsidP="00241960">
      <w:pPr>
        <w:tabs>
          <w:tab w:val="left" w:pos="9360"/>
        </w:tabs>
        <w:ind w:left="1714"/>
        <w:rPr>
          <w:u w:val="single"/>
        </w:rPr>
      </w:pPr>
      <w:r w:rsidRPr="00757A01">
        <w:rPr>
          <w:b/>
          <w:i/>
          <w:u w:val="single"/>
        </w:rPr>
        <w:t>Important</w:t>
      </w:r>
      <w:r w:rsidRPr="00757A01">
        <w:rPr>
          <w:u w:val="single"/>
        </w:rPr>
        <w:t>:</w:t>
      </w:r>
      <w:r w:rsidRPr="00757A01">
        <w:t xml:space="preserve">  Do not store</w:t>
      </w:r>
      <w:r w:rsidR="005F0670">
        <w:t xml:space="preserve"> or upload</w:t>
      </w:r>
      <w:r w:rsidRPr="00757A01">
        <w:t xml:space="preserve"> FTI in</w:t>
      </w:r>
      <w:r w:rsidR="005F0670">
        <w:t>to</w:t>
      </w:r>
      <w:r w:rsidRPr="00757A01">
        <w:t xml:space="preserve"> VBMS as this system has not been approved</w:t>
      </w:r>
      <w:r w:rsidR="005F0670">
        <w:t xml:space="preserve"> for storage</w:t>
      </w:r>
      <w:r w:rsidRPr="00757A01">
        <w:t>.</w:t>
      </w:r>
    </w:p>
    <w:p w14:paraId="4CC3FB7E" w14:textId="4C245847" w:rsidR="00241960" w:rsidRPr="00757A01" w:rsidRDefault="00241960" w:rsidP="00241960">
      <w:pPr>
        <w:tabs>
          <w:tab w:val="left" w:pos="9360"/>
        </w:tabs>
        <w:ind w:left="1714"/>
      </w:pPr>
      <w:r w:rsidRPr="00757A01">
        <w:rPr>
          <w:u w:val="single"/>
        </w:rPr>
        <w:tab/>
      </w:r>
    </w:p>
    <w:p w14:paraId="27EEF23B" w14:textId="07A9AF60" w:rsidR="00DA7B0C" w:rsidRPr="00757A01" w:rsidRDefault="00241960" w:rsidP="00200424">
      <w:pPr>
        <w:tabs>
          <w:tab w:val="left" w:pos="4830"/>
        </w:tabs>
        <w:ind w:left="1714"/>
      </w:pPr>
      <w:r w:rsidRPr="00757A01">
        <w:tab/>
      </w:r>
    </w:p>
    <w:tbl>
      <w:tblPr>
        <w:tblW w:w="0" w:type="auto"/>
        <w:tblLayout w:type="fixed"/>
        <w:tblLook w:val="0000" w:firstRow="0" w:lastRow="0" w:firstColumn="0" w:lastColumn="0" w:noHBand="0" w:noVBand="0"/>
      </w:tblPr>
      <w:tblGrid>
        <w:gridCol w:w="1728"/>
        <w:gridCol w:w="7740"/>
      </w:tblGrid>
      <w:tr w:rsidR="00DA7B0C" w:rsidRPr="00757A01" w14:paraId="152CE68A" w14:textId="77777777" w:rsidTr="00DA7B0C">
        <w:trPr>
          <w:cantSplit/>
        </w:trPr>
        <w:tc>
          <w:tcPr>
            <w:tcW w:w="1728" w:type="dxa"/>
          </w:tcPr>
          <w:p w14:paraId="6C77B529" w14:textId="7EC2D514" w:rsidR="00DA7B0C" w:rsidRPr="00757A01" w:rsidRDefault="002118EA" w:rsidP="00DA7B0C">
            <w:pPr>
              <w:pStyle w:val="Heading5"/>
            </w:pPr>
            <w:r w:rsidRPr="00757A01">
              <w:t>d</w:t>
            </w:r>
            <w:r w:rsidR="00DA7B0C" w:rsidRPr="00757A01">
              <w:t xml:space="preserve">.  Contents of the VSC FTI folders or secured Virtual VA folder </w:t>
            </w:r>
          </w:p>
        </w:tc>
        <w:tc>
          <w:tcPr>
            <w:tcW w:w="7740" w:type="dxa"/>
          </w:tcPr>
          <w:p w14:paraId="476DCFD8" w14:textId="27F03B6C" w:rsidR="00DA7B0C" w:rsidRPr="00757A01" w:rsidRDefault="00DA7B0C" w:rsidP="00DA7B0C">
            <w:pPr>
              <w:pStyle w:val="BlockText"/>
            </w:pPr>
            <w:r w:rsidRPr="00757A01">
              <w:t>Only letters or documents containing FTI should be stored in the orange light-weight folders (paper) or secured electronic folder in V</w:t>
            </w:r>
            <w:r w:rsidR="00B365C9" w:rsidRPr="00757A01">
              <w:t xml:space="preserve">irtual </w:t>
            </w:r>
            <w:r w:rsidRPr="00757A01">
              <w:t>VA.  This includes due process letters and awards letters containing FTI.</w:t>
            </w:r>
          </w:p>
          <w:p w14:paraId="5ACB6550" w14:textId="77777777" w:rsidR="00DA7B0C" w:rsidRPr="00757A01" w:rsidRDefault="00DA7B0C" w:rsidP="00DA7B0C">
            <w:pPr>
              <w:pStyle w:val="BlockText"/>
              <w:rPr>
                <w:b/>
              </w:rPr>
            </w:pPr>
          </w:p>
          <w:tbl>
            <w:tblPr>
              <w:tblStyle w:val="TableGrid"/>
              <w:tblW w:w="0" w:type="auto"/>
              <w:tblLayout w:type="fixed"/>
              <w:tblLook w:val="04A0" w:firstRow="1" w:lastRow="0" w:firstColumn="1" w:lastColumn="0" w:noHBand="0" w:noVBand="1"/>
            </w:tblPr>
            <w:tblGrid>
              <w:gridCol w:w="4477"/>
              <w:gridCol w:w="3032"/>
            </w:tblGrid>
            <w:tr w:rsidR="002542E0" w:rsidRPr="00757A01" w14:paraId="324CF4DD" w14:textId="77777777" w:rsidTr="00200424">
              <w:tc>
                <w:tcPr>
                  <w:tcW w:w="4477" w:type="dxa"/>
                </w:tcPr>
                <w:p w14:paraId="53590BB1" w14:textId="36C92941" w:rsidR="002542E0" w:rsidRPr="00757A01" w:rsidRDefault="002542E0" w:rsidP="002542E0">
                  <w:pPr>
                    <w:pStyle w:val="BlockText"/>
                    <w:rPr>
                      <w:b/>
                    </w:rPr>
                  </w:pPr>
                  <w:r w:rsidRPr="00757A01">
                    <w:rPr>
                      <w:b/>
                    </w:rPr>
                    <w:t>If…</w:t>
                  </w:r>
                </w:p>
              </w:tc>
              <w:tc>
                <w:tcPr>
                  <w:tcW w:w="3032" w:type="dxa"/>
                </w:tcPr>
                <w:p w14:paraId="1A225614" w14:textId="5E40781B" w:rsidR="002542E0" w:rsidRPr="00757A01" w:rsidRDefault="002542E0" w:rsidP="00DA7B0C">
                  <w:pPr>
                    <w:pStyle w:val="BlockText"/>
                    <w:rPr>
                      <w:b/>
                    </w:rPr>
                  </w:pPr>
                  <w:r w:rsidRPr="00757A01">
                    <w:rPr>
                      <w:b/>
                    </w:rPr>
                    <w:t>Then store the information in the…</w:t>
                  </w:r>
                </w:p>
              </w:tc>
            </w:tr>
            <w:tr w:rsidR="002542E0" w:rsidRPr="00757A01" w14:paraId="77C19A76" w14:textId="77777777" w:rsidTr="00200424">
              <w:tc>
                <w:tcPr>
                  <w:tcW w:w="4477" w:type="dxa"/>
                </w:tcPr>
                <w:p w14:paraId="4D5A9395" w14:textId="4D5556A5" w:rsidR="002542E0" w:rsidRPr="00757A01" w:rsidRDefault="002542E0" w:rsidP="002542E0">
                  <w:pPr>
                    <w:pStyle w:val="BlockText"/>
                    <w:rPr>
                      <w:b/>
                    </w:rPr>
                  </w:pPr>
                  <w:r w:rsidRPr="00757A01">
                    <w:t>VA generates a letter containing FTI</w:t>
                  </w:r>
                </w:p>
              </w:tc>
              <w:tc>
                <w:tcPr>
                  <w:tcW w:w="3032" w:type="dxa"/>
                </w:tcPr>
                <w:p w14:paraId="26DC980B" w14:textId="0D76F2C0" w:rsidR="002542E0" w:rsidRPr="00757A01" w:rsidRDefault="002542E0" w:rsidP="00DA7B0C">
                  <w:pPr>
                    <w:pStyle w:val="BlockText"/>
                    <w:rPr>
                      <w:b/>
                    </w:rPr>
                  </w:pPr>
                  <w:r w:rsidRPr="00757A01">
                    <w:t>orange light-weight folder or secured Virtual VA folder.</w:t>
                  </w:r>
                </w:p>
              </w:tc>
            </w:tr>
            <w:tr w:rsidR="002542E0" w:rsidRPr="00757A01" w14:paraId="0521F30A" w14:textId="77777777" w:rsidTr="00200424">
              <w:tc>
                <w:tcPr>
                  <w:tcW w:w="4477" w:type="dxa"/>
                </w:tcPr>
                <w:p w14:paraId="757C5548" w14:textId="3429159C" w:rsidR="002542E0" w:rsidRPr="00757A01" w:rsidRDefault="002542E0" w:rsidP="00200424">
                  <w:pPr>
                    <w:pStyle w:val="ListParagraph"/>
                    <w:numPr>
                      <w:ilvl w:val="0"/>
                      <w:numId w:val="111"/>
                    </w:numPr>
                    <w:ind w:left="229" w:hanging="229"/>
                  </w:pPr>
                  <w:r w:rsidRPr="00757A01">
                    <w:t xml:space="preserve">evidence is received by the PMC or VSC, along with a </w:t>
                  </w:r>
                  <w:r w:rsidR="00AD3691" w:rsidRPr="00757A01">
                    <w:t xml:space="preserve">returned </w:t>
                  </w:r>
                  <w:r w:rsidRPr="00757A01">
                    <w:t>VA generated letter containing FTI or</w:t>
                  </w:r>
                </w:p>
                <w:p w14:paraId="594F911C" w14:textId="3DE09B79" w:rsidR="002542E0" w:rsidRPr="00757A01" w:rsidRDefault="002542E0" w:rsidP="00200424">
                  <w:pPr>
                    <w:pStyle w:val="BlockText"/>
                    <w:numPr>
                      <w:ilvl w:val="0"/>
                      <w:numId w:val="111"/>
                    </w:numPr>
                    <w:ind w:left="229" w:hanging="229"/>
                    <w:rPr>
                      <w:b/>
                    </w:rPr>
                  </w:pPr>
                  <w:r w:rsidRPr="00757A01">
                    <w:t>a Veteran provides a copy of his tax return or an IRS Form (W2, 1099-R, etc.)</w:t>
                  </w:r>
                </w:p>
              </w:tc>
              <w:tc>
                <w:tcPr>
                  <w:tcW w:w="3032" w:type="dxa"/>
                </w:tcPr>
                <w:p w14:paraId="5C7EBCE8" w14:textId="274B6B9F" w:rsidR="002542E0" w:rsidRPr="00757A01" w:rsidRDefault="002542E0" w:rsidP="00DA7B0C">
                  <w:pPr>
                    <w:pStyle w:val="BlockText"/>
                    <w:rPr>
                      <w:b/>
                    </w:rPr>
                  </w:pPr>
                  <w:r w:rsidRPr="00757A01">
                    <w:t xml:space="preserve">unsecured folder.  </w:t>
                  </w:r>
                </w:p>
              </w:tc>
            </w:tr>
          </w:tbl>
          <w:p w14:paraId="3D0F75F4" w14:textId="77777777" w:rsidR="00DA7B0C" w:rsidRPr="00757A01" w:rsidRDefault="00DA7B0C" w:rsidP="00DA7B0C">
            <w:pPr>
              <w:pStyle w:val="BlockText"/>
            </w:pPr>
          </w:p>
        </w:tc>
      </w:tr>
    </w:tbl>
    <w:p w14:paraId="04C09DF0" w14:textId="5A38893D" w:rsidR="00DA7B0C" w:rsidRPr="00757A01" w:rsidRDefault="00766E50" w:rsidP="00766E50">
      <w:pPr>
        <w:tabs>
          <w:tab w:val="left" w:pos="9360"/>
        </w:tabs>
        <w:ind w:left="1714"/>
      </w:pPr>
      <w:r w:rsidRPr="00757A01">
        <w:rPr>
          <w:u w:val="single"/>
        </w:rPr>
        <w:tab/>
      </w:r>
    </w:p>
    <w:p w14:paraId="31453373" w14:textId="77777777" w:rsidR="00766E50" w:rsidRPr="00757A01" w:rsidRDefault="00766E50" w:rsidP="00766E50"/>
    <w:tbl>
      <w:tblPr>
        <w:tblW w:w="0" w:type="auto"/>
        <w:tblLayout w:type="fixed"/>
        <w:tblLook w:val="0000" w:firstRow="0" w:lastRow="0" w:firstColumn="0" w:lastColumn="0" w:noHBand="0" w:noVBand="0"/>
      </w:tblPr>
      <w:tblGrid>
        <w:gridCol w:w="1728"/>
        <w:gridCol w:w="7740"/>
      </w:tblGrid>
      <w:tr w:rsidR="00DA7B0C" w:rsidRPr="00757A01" w14:paraId="7B6B5CE0" w14:textId="77777777" w:rsidTr="00DA7B0C">
        <w:trPr>
          <w:cantSplit/>
        </w:trPr>
        <w:tc>
          <w:tcPr>
            <w:tcW w:w="1728" w:type="dxa"/>
          </w:tcPr>
          <w:p w14:paraId="1E0C43A6" w14:textId="13756950" w:rsidR="00DA7B0C" w:rsidRPr="00757A01" w:rsidRDefault="002118EA" w:rsidP="00DA7B0C">
            <w:pPr>
              <w:pStyle w:val="Heading5"/>
            </w:pPr>
            <w:r w:rsidRPr="00757A01">
              <w:t>e</w:t>
            </w:r>
            <w:r w:rsidR="00DA7B0C" w:rsidRPr="00757A01">
              <w:t>.  Award Prints</w:t>
            </w:r>
          </w:p>
        </w:tc>
        <w:tc>
          <w:tcPr>
            <w:tcW w:w="7740" w:type="dxa"/>
          </w:tcPr>
          <w:p w14:paraId="578BF4E5" w14:textId="6B35920F" w:rsidR="00DA7B0C" w:rsidRPr="00757A01" w:rsidRDefault="00DA7B0C" w:rsidP="00DA7B0C">
            <w:pPr>
              <w:pStyle w:val="BlockText"/>
            </w:pPr>
            <w:r w:rsidRPr="00757A01">
              <w:t xml:space="preserve">Keep FTI-related award prints in the claims file.  Annotate the award print,  </w:t>
            </w:r>
            <w:r w:rsidRPr="00757A01">
              <w:rPr>
                <w:i/>
              </w:rPr>
              <w:t xml:space="preserve">See </w:t>
            </w:r>
            <w:r w:rsidR="008C76E9" w:rsidRPr="00757A01">
              <w:rPr>
                <w:i/>
              </w:rPr>
              <w:t>FTI</w:t>
            </w:r>
            <w:r w:rsidRPr="00757A01">
              <w:rPr>
                <w:i/>
              </w:rPr>
              <w:t xml:space="preserve"> Folder,</w:t>
            </w:r>
            <w:r w:rsidRPr="00757A01">
              <w:t xml:space="preserve"> to alert others that the documentation supporting the award action is in the </w:t>
            </w:r>
            <w:r w:rsidR="008C76E9" w:rsidRPr="00757A01">
              <w:t>FTI</w:t>
            </w:r>
            <w:r w:rsidRPr="00757A01">
              <w:t xml:space="preserve"> folder.</w:t>
            </w:r>
          </w:p>
          <w:p w14:paraId="2F3EDADF" w14:textId="77777777" w:rsidR="00DA7B0C" w:rsidRPr="00757A01" w:rsidRDefault="00DA7B0C" w:rsidP="00DA7B0C">
            <w:pPr>
              <w:pStyle w:val="BlockText"/>
            </w:pPr>
          </w:p>
          <w:p w14:paraId="195F6326" w14:textId="5967EE7C" w:rsidR="00DA7B0C" w:rsidRPr="00757A01" w:rsidRDefault="002542E0" w:rsidP="008C76E9">
            <w:pPr>
              <w:pStyle w:val="BlockText"/>
            </w:pPr>
            <w:r w:rsidRPr="00757A01">
              <w:rPr>
                <w:b/>
                <w:i/>
              </w:rPr>
              <w:t>Exception</w:t>
            </w:r>
            <w:r w:rsidR="00DA7B0C" w:rsidRPr="00757A01">
              <w:t xml:space="preserve">:  If the award print has been annotated with FTI, the award print may no longer be stored in the claims file.  It must be stored in the </w:t>
            </w:r>
            <w:r w:rsidR="008C76E9" w:rsidRPr="00757A01">
              <w:t>FTI</w:t>
            </w:r>
            <w:r w:rsidR="00DA7B0C" w:rsidRPr="00757A01">
              <w:t xml:space="preserve"> locked file or in the V</w:t>
            </w:r>
            <w:r w:rsidR="00B365C9" w:rsidRPr="00757A01">
              <w:t xml:space="preserve">irtual </w:t>
            </w:r>
            <w:r w:rsidR="00DA7B0C" w:rsidRPr="00757A01">
              <w:t>VA secure folder.</w:t>
            </w:r>
          </w:p>
        </w:tc>
      </w:tr>
    </w:tbl>
    <w:p w14:paraId="14CF7912" w14:textId="3AC854A4" w:rsidR="00DA7B0C" w:rsidRPr="00757A01" w:rsidRDefault="00766E50" w:rsidP="00766E50">
      <w:pPr>
        <w:tabs>
          <w:tab w:val="left" w:pos="9360"/>
        </w:tabs>
        <w:ind w:left="1714"/>
      </w:pPr>
      <w:r w:rsidRPr="00757A01">
        <w:rPr>
          <w:u w:val="single"/>
        </w:rPr>
        <w:tab/>
      </w:r>
    </w:p>
    <w:p w14:paraId="3263E7FA" w14:textId="6674A2F8" w:rsidR="00C232A2" w:rsidRPr="00757A01" w:rsidRDefault="00C232A2" w:rsidP="00766E50">
      <w:pPr>
        <w:ind w:left="1714"/>
      </w:pPr>
    </w:p>
    <w:tbl>
      <w:tblPr>
        <w:tblW w:w="0" w:type="auto"/>
        <w:tblLayout w:type="fixed"/>
        <w:tblLook w:val="0000" w:firstRow="0" w:lastRow="0" w:firstColumn="0" w:lastColumn="0" w:noHBand="0" w:noVBand="0"/>
      </w:tblPr>
      <w:tblGrid>
        <w:gridCol w:w="1728"/>
        <w:gridCol w:w="7740"/>
      </w:tblGrid>
      <w:tr w:rsidR="00DA7B0C" w:rsidRPr="00757A01" w14:paraId="5FC7C121" w14:textId="77777777" w:rsidTr="00DA7B0C">
        <w:trPr>
          <w:cantSplit/>
        </w:trPr>
        <w:tc>
          <w:tcPr>
            <w:tcW w:w="1728" w:type="dxa"/>
          </w:tcPr>
          <w:p w14:paraId="2BD510F6" w14:textId="21403E74" w:rsidR="00DA7B0C" w:rsidRPr="00757A01" w:rsidRDefault="002118EA" w:rsidP="00B77AE7">
            <w:pPr>
              <w:pStyle w:val="Heading5"/>
            </w:pPr>
            <w:r w:rsidRPr="00757A01">
              <w:t>f</w:t>
            </w:r>
            <w:r w:rsidR="00DA7B0C" w:rsidRPr="00757A01">
              <w:t xml:space="preserve">.  Destroying Contents of the </w:t>
            </w:r>
            <w:r w:rsidR="00B77AE7" w:rsidRPr="00757A01">
              <w:t>paper</w:t>
            </w:r>
            <w:r w:rsidR="00DA7B0C" w:rsidRPr="00757A01">
              <w:t xml:space="preserve"> FTI File </w:t>
            </w:r>
          </w:p>
        </w:tc>
        <w:tc>
          <w:tcPr>
            <w:tcW w:w="7740" w:type="dxa"/>
          </w:tcPr>
          <w:p w14:paraId="27F887F5" w14:textId="6EDC4B3B" w:rsidR="00DA7B0C" w:rsidRPr="00757A01" w:rsidRDefault="00DA7B0C" w:rsidP="00DA7B0C">
            <w:pPr>
              <w:pStyle w:val="BlockText"/>
            </w:pPr>
            <w:r w:rsidRPr="00757A01">
              <w:t xml:space="preserve">An FTI folder and its contents may be destroyed three years after a final decision, based on Federal tax return information, has been made by the </w:t>
            </w:r>
            <w:r w:rsidR="008C76E9" w:rsidRPr="00757A01">
              <w:t xml:space="preserve">VSC, </w:t>
            </w:r>
            <w:r w:rsidRPr="00757A01">
              <w:t>PMC or appellate body.  Any identifying information on the file will be shredded.</w:t>
            </w:r>
          </w:p>
          <w:p w14:paraId="04848CA3" w14:textId="77777777" w:rsidR="00DA7B0C" w:rsidRPr="00757A01" w:rsidRDefault="00DA7B0C" w:rsidP="00DA7B0C">
            <w:pPr>
              <w:pStyle w:val="BlockText"/>
              <w:rPr>
                <w:b/>
              </w:rPr>
            </w:pPr>
          </w:p>
          <w:p w14:paraId="555369A9" w14:textId="30A189A5" w:rsidR="00DA7B0C" w:rsidRPr="00757A01" w:rsidRDefault="00DA7B0C" w:rsidP="00DA7B0C">
            <w:pPr>
              <w:pStyle w:val="BlockText"/>
            </w:pPr>
            <w:r w:rsidRPr="00757A01">
              <w:rPr>
                <w:b/>
                <w:i/>
              </w:rPr>
              <w:t>Exception</w:t>
            </w:r>
            <w:r w:rsidRPr="00757A01">
              <w:t xml:space="preserve">:  The IVM </w:t>
            </w:r>
            <w:r w:rsidRPr="00757A01">
              <w:rPr>
                <w:i/>
              </w:rPr>
              <w:t>worksheet</w:t>
            </w:r>
            <w:r w:rsidRPr="00757A01">
              <w:t xml:space="preserve"> from a case requiring benefit adjustment may be destroyed 30 days after the decision becomes final.</w:t>
            </w:r>
          </w:p>
          <w:p w14:paraId="402A3CFB" w14:textId="77777777" w:rsidR="00DA7B0C" w:rsidRPr="00757A01" w:rsidRDefault="00DA7B0C" w:rsidP="00DA7B0C">
            <w:pPr>
              <w:pStyle w:val="BlockText"/>
            </w:pPr>
          </w:p>
          <w:p w14:paraId="26D8A1E6" w14:textId="305453C3" w:rsidR="00DA7B0C" w:rsidRPr="00757A01" w:rsidRDefault="00DA7B0C" w:rsidP="00DF1F66">
            <w:pPr>
              <w:pStyle w:val="BlockText"/>
            </w:pPr>
            <w:r w:rsidRPr="00757A01">
              <w:rPr>
                <w:b/>
                <w:i/>
              </w:rPr>
              <w:t>Reference</w:t>
            </w:r>
            <w:r w:rsidRPr="00757A01">
              <w:t>:  For information on disposal of the IVM worksheet when verification and further development are unnecessary, see M</w:t>
            </w:r>
            <w:r w:rsidR="002757B0" w:rsidRPr="00757A01">
              <w:t>21-1,</w:t>
            </w:r>
            <w:r w:rsidRPr="00757A01">
              <w:t xml:space="preserve"> Part X, </w:t>
            </w:r>
            <w:r w:rsidR="00DF1F66" w:rsidRPr="00757A01">
              <w:t xml:space="preserve">Chapter 9, Section C, </w:t>
            </w:r>
            <w:r w:rsidR="00ED3DCF">
              <w:t>Topic 5</w:t>
            </w:r>
            <w:r w:rsidRPr="00757A01">
              <w:t>.</w:t>
            </w:r>
          </w:p>
        </w:tc>
      </w:tr>
    </w:tbl>
    <w:p w14:paraId="76646923" w14:textId="08921ADB" w:rsidR="00DA7B0C" w:rsidRPr="00757A01" w:rsidRDefault="00766E50" w:rsidP="00766E50">
      <w:pPr>
        <w:tabs>
          <w:tab w:val="left" w:pos="9360"/>
        </w:tabs>
        <w:ind w:left="1714"/>
      </w:pPr>
      <w:r w:rsidRPr="00757A01">
        <w:rPr>
          <w:u w:val="single"/>
        </w:rPr>
        <w:tab/>
      </w:r>
    </w:p>
    <w:tbl>
      <w:tblPr>
        <w:tblW w:w="0" w:type="auto"/>
        <w:tblLayout w:type="fixed"/>
        <w:tblLook w:val="0000" w:firstRow="0" w:lastRow="0" w:firstColumn="0" w:lastColumn="0" w:noHBand="0" w:noVBand="0"/>
      </w:tblPr>
      <w:tblGrid>
        <w:gridCol w:w="1728"/>
        <w:gridCol w:w="7740"/>
      </w:tblGrid>
      <w:tr w:rsidR="00DA7B0C" w:rsidRPr="00757A01" w14:paraId="02DE61E7" w14:textId="77777777" w:rsidTr="00DA7B0C">
        <w:trPr>
          <w:cantSplit/>
        </w:trPr>
        <w:tc>
          <w:tcPr>
            <w:tcW w:w="1728" w:type="dxa"/>
          </w:tcPr>
          <w:p w14:paraId="0E545184" w14:textId="77777777" w:rsidR="00746CB3" w:rsidRPr="00757A01" w:rsidRDefault="00746CB3" w:rsidP="00DA7B0C">
            <w:pPr>
              <w:pStyle w:val="Heading5"/>
            </w:pPr>
          </w:p>
          <w:p w14:paraId="61BEB5D0" w14:textId="3A91809B" w:rsidR="00DA7B0C" w:rsidRPr="00757A01" w:rsidRDefault="00BE11A7" w:rsidP="00DA7B0C">
            <w:pPr>
              <w:pStyle w:val="Heading5"/>
            </w:pPr>
            <w:r w:rsidRPr="00757A01">
              <w:t>g</w:t>
            </w:r>
            <w:r w:rsidR="00DA7B0C" w:rsidRPr="00757A01">
              <w:t xml:space="preserve">.  Destroying Scanned FTI </w:t>
            </w:r>
          </w:p>
          <w:p w14:paraId="6C51C619" w14:textId="77777777" w:rsidR="00DA7B0C" w:rsidRPr="00757A01" w:rsidRDefault="00DA7B0C" w:rsidP="00DA7B0C">
            <w:pPr>
              <w:pStyle w:val="Heading5"/>
            </w:pPr>
          </w:p>
          <w:p w14:paraId="1829AF9C" w14:textId="77777777" w:rsidR="00DA7B0C" w:rsidRPr="00757A01" w:rsidRDefault="00DA7B0C" w:rsidP="00DA7B0C">
            <w:pPr>
              <w:pStyle w:val="Heading5"/>
            </w:pPr>
          </w:p>
          <w:p w14:paraId="1242B756" w14:textId="77777777" w:rsidR="00DA7B0C" w:rsidRPr="00757A01" w:rsidRDefault="00DA7B0C" w:rsidP="00DA7B0C">
            <w:pPr>
              <w:pStyle w:val="Heading5"/>
            </w:pPr>
          </w:p>
          <w:p w14:paraId="2480128B" w14:textId="77777777" w:rsidR="00DA7B0C" w:rsidRPr="00757A01" w:rsidRDefault="00DA7B0C" w:rsidP="00DA7B0C">
            <w:pPr>
              <w:pStyle w:val="Heading5"/>
            </w:pPr>
          </w:p>
          <w:p w14:paraId="60543017" w14:textId="77777777" w:rsidR="00DA7B0C" w:rsidRPr="00757A01" w:rsidRDefault="00DA7B0C" w:rsidP="00DA7B0C">
            <w:pPr>
              <w:pStyle w:val="Heading5"/>
            </w:pPr>
          </w:p>
          <w:p w14:paraId="18C5DB25" w14:textId="77777777" w:rsidR="00DA7B0C" w:rsidRPr="00757A01" w:rsidRDefault="00DA7B0C" w:rsidP="00DA7B0C">
            <w:pPr>
              <w:pStyle w:val="Heading5"/>
            </w:pPr>
          </w:p>
          <w:p w14:paraId="7974C66C" w14:textId="77777777" w:rsidR="00DA7B0C" w:rsidRPr="00757A01" w:rsidRDefault="00DA7B0C" w:rsidP="00DA7B0C">
            <w:pPr>
              <w:pStyle w:val="Heading5"/>
            </w:pPr>
          </w:p>
          <w:p w14:paraId="0FED0EFB" w14:textId="77777777" w:rsidR="00DA7B0C" w:rsidRPr="00757A01" w:rsidRDefault="00DA7B0C" w:rsidP="00DA7B0C">
            <w:pPr>
              <w:pStyle w:val="Heading5"/>
            </w:pPr>
          </w:p>
          <w:p w14:paraId="14645C79" w14:textId="77777777" w:rsidR="00DA7B0C" w:rsidRPr="00757A01" w:rsidRDefault="00DA7B0C" w:rsidP="00DA7B0C">
            <w:pPr>
              <w:pStyle w:val="Heading5"/>
            </w:pPr>
          </w:p>
          <w:p w14:paraId="693C44A7" w14:textId="77777777" w:rsidR="00DA7B0C" w:rsidRPr="00757A01" w:rsidRDefault="00DA7B0C" w:rsidP="00DA7B0C">
            <w:pPr>
              <w:pStyle w:val="Heading5"/>
            </w:pPr>
          </w:p>
          <w:p w14:paraId="4822AB6F" w14:textId="77777777" w:rsidR="00DA7B0C" w:rsidRPr="00757A01" w:rsidRDefault="00DA7B0C" w:rsidP="00DA7B0C">
            <w:pPr>
              <w:pStyle w:val="Heading5"/>
            </w:pPr>
          </w:p>
          <w:p w14:paraId="7517A952" w14:textId="77777777" w:rsidR="00DA7B0C" w:rsidRPr="00757A01" w:rsidRDefault="00DA7B0C" w:rsidP="00DA7B0C">
            <w:pPr>
              <w:pStyle w:val="Heading5"/>
            </w:pPr>
          </w:p>
          <w:p w14:paraId="27C7B37D" w14:textId="77777777" w:rsidR="00DA7B0C" w:rsidRPr="00757A01" w:rsidRDefault="00DA7B0C" w:rsidP="00DA7B0C">
            <w:pPr>
              <w:pStyle w:val="Heading5"/>
            </w:pPr>
          </w:p>
          <w:p w14:paraId="333D9043" w14:textId="77777777" w:rsidR="00DA7B0C" w:rsidRPr="00757A01" w:rsidRDefault="00DA7B0C" w:rsidP="00DA7B0C">
            <w:pPr>
              <w:pStyle w:val="Heading5"/>
            </w:pPr>
          </w:p>
          <w:p w14:paraId="5BD4299D" w14:textId="77777777" w:rsidR="00DA7B0C" w:rsidRPr="00757A01" w:rsidRDefault="00DA7B0C" w:rsidP="00DA7B0C">
            <w:pPr>
              <w:pStyle w:val="Heading5"/>
            </w:pPr>
          </w:p>
          <w:p w14:paraId="754D4C9D" w14:textId="77777777" w:rsidR="00DA7B0C" w:rsidRPr="00757A01" w:rsidRDefault="00DA7B0C" w:rsidP="00DA7B0C">
            <w:pPr>
              <w:pStyle w:val="Heading5"/>
            </w:pPr>
          </w:p>
          <w:p w14:paraId="31812869" w14:textId="77777777" w:rsidR="00DA7B0C" w:rsidRPr="00757A01" w:rsidRDefault="00DA7B0C" w:rsidP="00DA7B0C">
            <w:pPr>
              <w:pStyle w:val="Heading5"/>
            </w:pPr>
          </w:p>
          <w:p w14:paraId="42F803E9" w14:textId="77777777" w:rsidR="00DA7B0C" w:rsidRPr="00757A01" w:rsidRDefault="00DA7B0C" w:rsidP="00DA7B0C">
            <w:pPr>
              <w:pStyle w:val="Heading5"/>
            </w:pPr>
          </w:p>
          <w:p w14:paraId="0559D3DD" w14:textId="77777777" w:rsidR="00DA7B0C" w:rsidRPr="00757A01" w:rsidRDefault="00DA7B0C" w:rsidP="00DA7B0C">
            <w:pPr>
              <w:pStyle w:val="Heading5"/>
            </w:pPr>
          </w:p>
        </w:tc>
        <w:tc>
          <w:tcPr>
            <w:tcW w:w="7740" w:type="dxa"/>
          </w:tcPr>
          <w:p w14:paraId="51775CA4" w14:textId="66200336" w:rsidR="00746CB3" w:rsidRPr="00757A01" w:rsidRDefault="00746CB3" w:rsidP="00200424">
            <w:pPr>
              <w:pStyle w:val="BlockText"/>
              <w:tabs>
                <w:tab w:val="left" w:pos="9360"/>
              </w:tabs>
              <w:ind w:left="1714"/>
              <w:rPr>
                <w:u w:val="single"/>
              </w:rPr>
            </w:pPr>
          </w:p>
          <w:p w14:paraId="62218041" w14:textId="77777777" w:rsidR="00DA7B0C" w:rsidRPr="00757A01" w:rsidRDefault="00DA7B0C" w:rsidP="00DA7B0C">
            <w:pPr>
              <w:pStyle w:val="BlockText"/>
            </w:pPr>
            <w:r w:rsidRPr="00757A01">
              <w:t>For any paper FTI materials imaged and stored in the secure Virtual VA folder, PMCs need only retain any paper FTI (which includes any extraneous copies, photo impressions, printouts, carbon paper, notes, stenographic notes, and work papers) materials for 90 days, after imaging quality control is complete.  The following are the procedures for destroying paper FTI materials:</w:t>
            </w:r>
          </w:p>
          <w:p w14:paraId="471D3EBD" w14:textId="77777777" w:rsidR="008814FD" w:rsidRPr="00757A01" w:rsidRDefault="008814FD" w:rsidP="00DA7B0C">
            <w:pPr>
              <w:pStyle w:val="BlockText"/>
            </w:pPr>
          </w:p>
          <w:tbl>
            <w:tblPr>
              <w:tblStyle w:val="TableGrid"/>
              <w:tblW w:w="0" w:type="auto"/>
              <w:tblLayout w:type="fixed"/>
              <w:tblLook w:val="04A0" w:firstRow="1" w:lastRow="0" w:firstColumn="1" w:lastColumn="0" w:noHBand="0" w:noVBand="1"/>
            </w:tblPr>
            <w:tblGrid>
              <w:gridCol w:w="787"/>
              <w:gridCol w:w="6722"/>
            </w:tblGrid>
            <w:tr w:rsidR="008814FD" w:rsidRPr="00757A01" w14:paraId="4CCA0B3E" w14:textId="77777777" w:rsidTr="00200424">
              <w:tc>
                <w:tcPr>
                  <w:tcW w:w="787" w:type="dxa"/>
                </w:tcPr>
                <w:p w14:paraId="37AEDE9C" w14:textId="1CB42C89" w:rsidR="008814FD" w:rsidRPr="00757A01" w:rsidRDefault="008814FD" w:rsidP="00DA7B0C">
                  <w:pPr>
                    <w:pStyle w:val="BlockText"/>
                  </w:pPr>
                  <w:r w:rsidRPr="00757A01">
                    <w:t>Stage</w:t>
                  </w:r>
                </w:p>
              </w:tc>
              <w:tc>
                <w:tcPr>
                  <w:tcW w:w="6722" w:type="dxa"/>
                </w:tcPr>
                <w:p w14:paraId="4A9EE528" w14:textId="47FCB0A0" w:rsidR="008814FD" w:rsidRPr="00757A01" w:rsidRDefault="008814FD" w:rsidP="00DA7B0C">
                  <w:pPr>
                    <w:pStyle w:val="BlockText"/>
                  </w:pPr>
                  <w:r w:rsidRPr="00757A01">
                    <w:t>Action</w:t>
                  </w:r>
                </w:p>
              </w:tc>
            </w:tr>
            <w:tr w:rsidR="008814FD" w:rsidRPr="00757A01" w14:paraId="2D3277AD" w14:textId="77777777" w:rsidTr="00200424">
              <w:trPr>
                <w:trHeight w:val="557"/>
              </w:trPr>
              <w:tc>
                <w:tcPr>
                  <w:tcW w:w="787" w:type="dxa"/>
                </w:tcPr>
                <w:p w14:paraId="7E1E2FF2" w14:textId="555B525C" w:rsidR="008814FD" w:rsidRPr="00757A01" w:rsidRDefault="008814FD" w:rsidP="00DA7B0C">
                  <w:pPr>
                    <w:pStyle w:val="BlockText"/>
                  </w:pPr>
                  <w:r w:rsidRPr="00757A01">
                    <w:t>1</w:t>
                  </w:r>
                </w:p>
              </w:tc>
              <w:tc>
                <w:tcPr>
                  <w:tcW w:w="6722" w:type="dxa"/>
                </w:tcPr>
                <w:p w14:paraId="672262BA" w14:textId="47B54143" w:rsidR="008814FD" w:rsidRPr="00757A01" w:rsidRDefault="008814FD" w:rsidP="00200424">
                  <w:r w:rsidRPr="00757A01">
                    <w:t>Scan any FTI material into the FTI folder within the Virtual VA folder</w:t>
                  </w:r>
                </w:p>
              </w:tc>
            </w:tr>
            <w:tr w:rsidR="008814FD" w:rsidRPr="00757A01" w14:paraId="712586CA" w14:textId="77777777" w:rsidTr="00200424">
              <w:tc>
                <w:tcPr>
                  <w:tcW w:w="787" w:type="dxa"/>
                </w:tcPr>
                <w:p w14:paraId="0425F63A" w14:textId="2B737175" w:rsidR="008814FD" w:rsidRPr="00757A01" w:rsidRDefault="008814FD" w:rsidP="00DA7B0C">
                  <w:pPr>
                    <w:pStyle w:val="BlockText"/>
                  </w:pPr>
                  <w:r w:rsidRPr="00757A01">
                    <w:t>2</w:t>
                  </w:r>
                </w:p>
              </w:tc>
              <w:tc>
                <w:tcPr>
                  <w:tcW w:w="6722" w:type="dxa"/>
                </w:tcPr>
                <w:p w14:paraId="3F63C266" w14:textId="0F959410" w:rsidR="008814FD" w:rsidRPr="00757A01" w:rsidRDefault="008814FD" w:rsidP="00200424">
                  <w:r w:rsidRPr="00757A01">
                    <w:t>Store the scanned FTI materials within a locked container (by date scanned) and log the destruction date on the locked container</w:t>
                  </w:r>
                </w:p>
              </w:tc>
            </w:tr>
            <w:tr w:rsidR="008814FD" w:rsidRPr="00757A01" w14:paraId="2E4DA821" w14:textId="77777777" w:rsidTr="00200424">
              <w:tc>
                <w:tcPr>
                  <w:tcW w:w="787" w:type="dxa"/>
                </w:tcPr>
                <w:p w14:paraId="47B0D504" w14:textId="06D46DC6" w:rsidR="008814FD" w:rsidRPr="00757A01" w:rsidRDefault="008814FD" w:rsidP="00DA7B0C">
                  <w:pPr>
                    <w:pStyle w:val="BlockText"/>
                  </w:pPr>
                  <w:r w:rsidRPr="00757A01">
                    <w:t>3</w:t>
                  </w:r>
                </w:p>
              </w:tc>
              <w:tc>
                <w:tcPr>
                  <w:tcW w:w="6722" w:type="dxa"/>
                </w:tcPr>
                <w:p w14:paraId="65E8C800" w14:textId="785DF2CA" w:rsidR="008814FD" w:rsidRPr="00757A01" w:rsidRDefault="008814FD" w:rsidP="00200424">
                  <w:pPr>
                    <w:ind w:left="-29"/>
                  </w:pPr>
                  <w:r w:rsidRPr="00757A01">
                    <w:t>After imaging quality control is complete, retain the scanned FTI materials for at least 90 days</w:t>
                  </w:r>
                </w:p>
              </w:tc>
            </w:tr>
            <w:tr w:rsidR="008814FD" w:rsidRPr="00757A01" w14:paraId="78A9D469" w14:textId="77777777" w:rsidTr="00200424">
              <w:tc>
                <w:tcPr>
                  <w:tcW w:w="787" w:type="dxa"/>
                </w:tcPr>
                <w:p w14:paraId="7437C4B0" w14:textId="1E83F75C" w:rsidR="008814FD" w:rsidRPr="00757A01" w:rsidRDefault="008814FD" w:rsidP="00DA7B0C">
                  <w:pPr>
                    <w:pStyle w:val="BlockText"/>
                  </w:pPr>
                  <w:r w:rsidRPr="00757A01">
                    <w:t>4</w:t>
                  </w:r>
                </w:p>
              </w:tc>
              <w:tc>
                <w:tcPr>
                  <w:tcW w:w="6722" w:type="dxa"/>
                </w:tcPr>
                <w:p w14:paraId="1A8197D0" w14:textId="47382C70" w:rsidR="008814FD" w:rsidRPr="00757A01" w:rsidRDefault="008814FD" w:rsidP="00200424">
                  <w:pPr>
                    <w:ind w:left="-29"/>
                  </w:pPr>
                  <w:r w:rsidRPr="00757A01">
                    <w:t>Update the status of the materials and the scheduled destruction date on the log of documents scanned into the Virtual VA folder</w:t>
                  </w:r>
                </w:p>
              </w:tc>
            </w:tr>
          </w:tbl>
          <w:p w14:paraId="60E5CD92" w14:textId="77777777" w:rsidR="008814FD" w:rsidRPr="00757A01" w:rsidRDefault="008814FD" w:rsidP="00DA7B0C">
            <w:pPr>
              <w:pStyle w:val="BlockText"/>
            </w:pPr>
          </w:p>
          <w:p w14:paraId="28A052BC" w14:textId="5986F23A" w:rsidR="00DA7B0C" w:rsidRPr="00757A01" w:rsidRDefault="008814FD" w:rsidP="00200424">
            <w:pPr>
              <w:ind w:left="-29"/>
            </w:pPr>
            <w:r w:rsidRPr="00757A01">
              <w:rPr>
                <w:b/>
                <w:i/>
              </w:rPr>
              <w:t>Important</w:t>
            </w:r>
            <w:r w:rsidRPr="00757A01">
              <w:t xml:space="preserve">: </w:t>
            </w:r>
            <w:r w:rsidR="00DA7B0C" w:rsidRPr="00757A01">
              <w:t>After the materials have been destroyed, store the log for five years from the date of destruction of the last item on the log.</w:t>
            </w:r>
          </w:p>
          <w:p w14:paraId="2992CEB7" w14:textId="77777777" w:rsidR="00DA7B0C" w:rsidRPr="00757A01" w:rsidRDefault="00DA7B0C" w:rsidP="00DA7B0C">
            <w:pPr>
              <w:pStyle w:val="BlockText"/>
            </w:pPr>
          </w:p>
          <w:p w14:paraId="73A0FC02" w14:textId="17A70FBA" w:rsidR="00DA7B0C" w:rsidRPr="00757A01" w:rsidRDefault="00DA7B0C" w:rsidP="00DF1F66">
            <w:pPr>
              <w:pStyle w:val="BlockText"/>
            </w:pPr>
            <w:r w:rsidRPr="00757A01">
              <w:rPr>
                <w:b/>
                <w:i/>
              </w:rPr>
              <w:t>Exception</w:t>
            </w:r>
            <w:r w:rsidRPr="00757A01">
              <w:t xml:space="preserve">:  The IVM </w:t>
            </w:r>
            <w:r w:rsidRPr="00757A01">
              <w:rPr>
                <w:i/>
              </w:rPr>
              <w:t>worksheet</w:t>
            </w:r>
            <w:r w:rsidRPr="00757A01">
              <w:t xml:space="preserve"> from a case requiring benefit adjustment may be destroyed 30 days after the decision</w:t>
            </w:r>
            <w:r w:rsidR="00EC5316" w:rsidRPr="00757A01">
              <w:t xml:space="preserve"> becomes final.</w:t>
            </w:r>
          </w:p>
        </w:tc>
      </w:tr>
    </w:tbl>
    <w:p w14:paraId="052251C0" w14:textId="6F0C11F2" w:rsidR="00DA7B0C" w:rsidRPr="00757A01" w:rsidRDefault="00766E50" w:rsidP="00766E50">
      <w:pPr>
        <w:tabs>
          <w:tab w:val="left" w:pos="9360"/>
        </w:tabs>
        <w:ind w:left="1714"/>
      </w:pPr>
      <w:r w:rsidRPr="00757A01">
        <w:rPr>
          <w:u w:val="single"/>
        </w:rPr>
        <w:tab/>
      </w:r>
    </w:p>
    <w:p w14:paraId="3D1972D7" w14:textId="14577A99" w:rsidR="00766E50" w:rsidRPr="00757A01" w:rsidRDefault="00766E50" w:rsidP="00766E50">
      <w:pPr>
        <w:ind w:left="1714"/>
      </w:pPr>
    </w:p>
    <w:tbl>
      <w:tblPr>
        <w:tblW w:w="0" w:type="auto"/>
        <w:tblLayout w:type="fixed"/>
        <w:tblLook w:val="0000" w:firstRow="0" w:lastRow="0" w:firstColumn="0" w:lastColumn="0" w:noHBand="0" w:noVBand="0"/>
      </w:tblPr>
      <w:tblGrid>
        <w:gridCol w:w="1728"/>
        <w:gridCol w:w="7740"/>
      </w:tblGrid>
      <w:tr w:rsidR="00DA7B0C" w:rsidRPr="00757A01" w14:paraId="3EAF8BAD" w14:textId="77777777" w:rsidTr="00DA7B0C">
        <w:trPr>
          <w:cantSplit/>
        </w:trPr>
        <w:tc>
          <w:tcPr>
            <w:tcW w:w="1728" w:type="dxa"/>
          </w:tcPr>
          <w:p w14:paraId="4F581765" w14:textId="2907719D" w:rsidR="00DA7B0C" w:rsidRPr="00757A01" w:rsidRDefault="00BE11A7" w:rsidP="00DA7B0C">
            <w:pPr>
              <w:pStyle w:val="Heading5"/>
            </w:pPr>
            <w:r w:rsidRPr="00757A01">
              <w:t>h</w:t>
            </w:r>
            <w:r w:rsidR="00DA7B0C" w:rsidRPr="00757A01">
              <w:t>.  Requirements for Destroying FTI</w:t>
            </w:r>
          </w:p>
        </w:tc>
        <w:tc>
          <w:tcPr>
            <w:tcW w:w="7740" w:type="dxa"/>
          </w:tcPr>
          <w:p w14:paraId="0186634C" w14:textId="77777777" w:rsidR="00DA7B0C" w:rsidRPr="00757A01" w:rsidRDefault="00DA7B0C" w:rsidP="00DA7B0C">
            <w:pPr>
              <w:pStyle w:val="BlockText"/>
            </w:pPr>
            <w:r w:rsidRPr="00757A01">
              <w:t xml:space="preserve">FTI must be destroyed by </w:t>
            </w:r>
          </w:p>
          <w:p w14:paraId="1B9C19C7" w14:textId="77777777" w:rsidR="00DA7B0C" w:rsidRPr="00757A01" w:rsidRDefault="00DA7B0C" w:rsidP="00DF1F66">
            <w:pPr>
              <w:pStyle w:val="ListParagraph"/>
              <w:numPr>
                <w:ilvl w:val="0"/>
                <w:numId w:val="104"/>
              </w:numPr>
              <w:ind w:left="158" w:hanging="187"/>
            </w:pPr>
            <w:r w:rsidRPr="00757A01">
              <w:t>burning in an incinerator that produces enough heat to burn the entire bundle or</w:t>
            </w:r>
          </w:p>
          <w:p w14:paraId="4E959F7D" w14:textId="77777777" w:rsidR="00DA7B0C" w:rsidRPr="00757A01" w:rsidRDefault="00DA7B0C" w:rsidP="00DF1F66">
            <w:pPr>
              <w:pStyle w:val="ListParagraph"/>
              <w:numPr>
                <w:ilvl w:val="0"/>
                <w:numId w:val="105"/>
              </w:numPr>
              <w:ind w:left="158" w:hanging="187"/>
            </w:pPr>
            <w:r w:rsidRPr="00757A01">
              <w:t>shredding into 5/16-inch wide or smaller strips with the paper inserted into the shredder so that the lines are perpendicular to the cutting edge.</w:t>
            </w:r>
          </w:p>
          <w:p w14:paraId="5D146C97" w14:textId="77777777" w:rsidR="00DA7B0C" w:rsidRPr="00757A01" w:rsidRDefault="00DA7B0C" w:rsidP="00DA7B0C">
            <w:pPr>
              <w:pStyle w:val="BlockText"/>
            </w:pPr>
          </w:p>
          <w:p w14:paraId="3FD738EC" w14:textId="29C2B94B" w:rsidR="00DA7B0C" w:rsidRPr="00757A01" w:rsidRDefault="00DA7B0C" w:rsidP="00DA7B0C">
            <w:pPr>
              <w:pStyle w:val="BlockText"/>
            </w:pPr>
            <w:r w:rsidRPr="00757A01">
              <w:rPr>
                <w:b/>
                <w:i/>
              </w:rPr>
              <w:t>Note:</w:t>
            </w:r>
            <w:r w:rsidRPr="00757A01">
              <w:t xml:space="preserve">  Microfilm and microfiche must be shredded to effect 1/35-inch by 3/8 inch strips.</w:t>
            </w:r>
          </w:p>
        </w:tc>
      </w:tr>
    </w:tbl>
    <w:p w14:paraId="6F3F80B4" w14:textId="59D013C0" w:rsidR="00DA7B0C" w:rsidRPr="00757A01" w:rsidRDefault="00766E50" w:rsidP="00766E50">
      <w:pPr>
        <w:tabs>
          <w:tab w:val="left" w:pos="9360"/>
        </w:tabs>
        <w:ind w:left="1714"/>
      </w:pPr>
      <w:r w:rsidRPr="00757A01">
        <w:rPr>
          <w:u w:val="single"/>
        </w:rPr>
        <w:tab/>
      </w:r>
    </w:p>
    <w:p w14:paraId="1E929880" w14:textId="78F1219E" w:rsidR="00766E50" w:rsidRPr="00757A01" w:rsidRDefault="00766E50" w:rsidP="00766E50">
      <w:pPr>
        <w:ind w:left="1714"/>
      </w:pPr>
    </w:p>
    <w:p w14:paraId="55A3904D" w14:textId="77777777" w:rsidR="00766E50" w:rsidRPr="00757A01" w:rsidRDefault="00766E50" w:rsidP="00766E50"/>
    <w:p w14:paraId="72396CDA" w14:textId="77777777" w:rsidR="00DA7B0C" w:rsidRPr="00757A01" w:rsidRDefault="00DA7B0C" w:rsidP="00DF1F66"/>
    <w:p w14:paraId="2011E3F4" w14:textId="77777777" w:rsidR="00DA7B0C" w:rsidRPr="00757A01" w:rsidRDefault="00DA7B0C" w:rsidP="00DF1F66"/>
    <w:p w14:paraId="6962CBC0" w14:textId="77777777" w:rsidR="00DA7B0C" w:rsidRPr="00757A01" w:rsidRDefault="00DA7B0C" w:rsidP="00DF1F66"/>
    <w:p w14:paraId="0E2F62DD" w14:textId="77777777" w:rsidR="00DA7B0C" w:rsidRPr="00757A01" w:rsidRDefault="00DA7B0C" w:rsidP="00DF1F66"/>
    <w:p w14:paraId="4AF07128" w14:textId="77777777" w:rsidR="00DA7B0C" w:rsidRPr="00757A01" w:rsidRDefault="00DA7B0C" w:rsidP="00DF1F66"/>
    <w:p w14:paraId="0531E034" w14:textId="77777777" w:rsidR="00DA7B0C" w:rsidRPr="00757A01" w:rsidRDefault="00DA7B0C" w:rsidP="00DF1F66"/>
    <w:p w14:paraId="6572E81B" w14:textId="77777777" w:rsidR="00DA7B0C" w:rsidRPr="00757A01" w:rsidRDefault="00DA7B0C" w:rsidP="00DF1F66"/>
    <w:tbl>
      <w:tblPr>
        <w:tblW w:w="0" w:type="auto"/>
        <w:tblLayout w:type="fixed"/>
        <w:tblLook w:val="0000" w:firstRow="0" w:lastRow="0" w:firstColumn="0" w:lastColumn="0" w:noHBand="0" w:noVBand="0"/>
      </w:tblPr>
      <w:tblGrid>
        <w:gridCol w:w="1731"/>
        <w:gridCol w:w="7756"/>
      </w:tblGrid>
      <w:tr w:rsidR="00DA7B0C" w:rsidRPr="00757A01" w14:paraId="18FAC95F" w14:textId="77777777" w:rsidTr="006A4D45">
        <w:trPr>
          <w:cantSplit/>
          <w:trHeight w:val="8620"/>
        </w:trPr>
        <w:tc>
          <w:tcPr>
            <w:tcW w:w="1731" w:type="dxa"/>
          </w:tcPr>
          <w:p w14:paraId="22D999F3" w14:textId="19457E95" w:rsidR="00DA7B0C" w:rsidRPr="00757A01" w:rsidRDefault="00BE11A7" w:rsidP="00EA653F">
            <w:pPr>
              <w:pStyle w:val="Heading5"/>
            </w:pPr>
            <w:r w:rsidRPr="00757A01">
              <w:lastRenderedPageBreak/>
              <w:t>i</w:t>
            </w:r>
            <w:r w:rsidR="00DA7B0C" w:rsidRPr="00757A01">
              <w:t xml:space="preserve">.  </w:t>
            </w:r>
            <w:r w:rsidR="00E67CBE" w:rsidRPr="00757A01">
              <w:t>FTI Tracking Log</w:t>
            </w:r>
            <w:r w:rsidR="00DA7B0C" w:rsidRPr="00757A01">
              <w:t xml:space="preserve"> (VSC and PMC)</w:t>
            </w:r>
          </w:p>
        </w:tc>
        <w:tc>
          <w:tcPr>
            <w:tcW w:w="7756" w:type="dxa"/>
          </w:tcPr>
          <w:p w14:paraId="630FA338" w14:textId="51E50053" w:rsidR="00292445" w:rsidRDefault="00DA7B0C" w:rsidP="00DA7B0C">
            <w:pPr>
              <w:pStyle w:val="BlockText"/>
            </w:pPr>
            <w:r w:rsidRPr="00757A01">
              <w:t>Retain a</w:t>
            </w:r>
            <w:r w:rsidR="00E67CBE" w:rsidRPr="00757A01">
              <w:t>n FTI tracking l</w:t>
            </w:r>
            <w:r w:rsidR="000765EF" w:rsidRPr="00757A01">
              <w:t xml:space="preserve">og </w:t>
            </w:r>
            <w:r w:rsidRPr="00757A01">
              <w:t xml:space="preserve">to document the </w:t>
            </w:r>
            <w:r w:rsidR="00E67CBE" w:rsidRPr="00757A01">
              <w:t xml:space="preserve">creation, movement, </w:t>
            </w:r>
            <w:r w:rsidR="00292445" w:rsidRPr="00757A01">
              <w:t xml:space="preserve">and/or </w:t>
            </w:r>
            <w:r w:rsidRPr="00757A01">
              <w:t xml:space="preserve">destruction and content of </w:t>
            </w:r>
          </w:p>
          <w:p w14:paraId="45F89506" w14:textId="77777777" w:rsidR="00757A01" w:rsidRPr="00757A01" w:rsidRDefault="00757A01" w:rsidP="00DA7B0C">
            <w:pPr>
              <w:pStyle w:val="BlockText"/>
            </w:pPr>
          </w:p>
          <w:p w14:paraId="0219121C" w14:textId="77777777" w:rsidR="00292445" w:rsidRPr="00757A01" w:rsidRDefault="00DA7B0C" w:rsidP="006A4D45">
            <w:pPr>
              <w:pStyle w:val="BlockText"/>
              <w:numPr>
                <w:ilvl w:val="0"/>
                <w:numId w:val="113"/>
              </w:numPr>
              <w:ind w:left="159" w:hanging="159"/>
            </w:pPr>
            <w:r w:rsidRPr="00757A01">
              <w:t>FTI paper materials</w:t>
            </w:r>
          </w:p>
          <w:p w14:paraId="6C6AA428" w14:textId="594A4EA3" w:rsidR="00292445" w:rsidRPr="00757A01" w:rsidRDefault="00DA7B0C" w:rsidP="006A4D45">
            <w:pPr>
              <w:pStyle w:val="BlockText"/>
              <w:numPr>
                <w:ilvl w:val="0"/>
                <w:numId w:val="113"/>
              </w:numPr>
              <w:ind w:left="159" w:hanging="159"/>
            </w:pPr>
            <w:r w:rsidRPr="00757A01">
              <w:t xml:space="preserve">electronic FTI converted to paper materials, and </w:t>
            </w:r>
          </w:p>
          <w:p w14:paraId="5C1FBD0F" w14:textId="77777777" w:rsidR="00292445" w:rsidRPr="00757A01" w:rsidRDefault="00DA7B0C" w:rsidP="006A4D45">
            <w:pPr>
              <w:pStyle w:val="BlockText"/>
              <w:numPr>
                <w:ilvl w:val="0"/>
                <w:numId w:val="113"/>
              </w:numPr>
              <w:ind w:left="159" w:hanging="159"/>
            </w:pPr>
            <w:r w:rsidRPr="00757A01">
              <w:t xml:space="preserve">FTI paper materials converted to electronic FTI materials.  </w:t>
            </w:r>
          </w:p>
          <w:p w14:paraId="0B1518A5" w14:textId="77777777" w:rsidR="00292445" w:rsidRPr="00757A01" w:rsidRDefault="00292445" w:rsidP="006A4D45">
            <w:pPr>
              <w:pStyle w:val="BlockText"/>
              <w:ind w:left="159"/>
            </w:pPr>
          </w:p>
          <w:p w14:paraId="10F3C3B1" w14:textId="5F5524BF" w:rsidR="00DA7B0C" w:rsidRPr="00757A01" w:rsidRDefault="00DA7B0C" w:rsidP="00292445">
            <w:pPr>
              <w:pStyle w:val="BlockText"/>
            </w:pPr>
            <w:r w:rsidRPr="00757A01">
              <w:t>The designee of the PMC</w:t>
            </w:r>
            <w:r w:rsidR="0056496E" w:rsidRPr="00757A01">
              <w:t xml:space="preserve"> or </w:t>
            </w:r>
            <w:r w:rsidR="00937E54" w:rsidRPr="00757A01">
              <w:t>VSC</w:t>
            </w:r>
            <w:r w:rsidRPr="00757A01">
              <w:t xml:space="preserve"> Manager must maintain the log.</w:t>
            </w:r>
          </w:p>
          <w:p w14:paraId="72A70A8E" w14:textId="77777777" w:rsidR="00DA7B0C" w:rsidRPr="00757A01" w:rsidRDefault="00DA7B0C" w:rsidP="00DA7B0C">
            <w:pPr>
              <w:pStyle w:val="BlockText"/>
            </w:pPr>
          </w:p>
          <w:p w14:paraId="0D4CDEB4" w14:textId="2958D087" w:rsidR="00DA7B0C" w:rsidRPr="00757A01" w:rsidRDefault="00E67CBE" w:rsidP="00DA7B0C">
            <w:pPr>
              <w:pStyle w:val="BlockText"/>
            </w:pPr>
            <w:r w:rsidRPr="00757A01">
              <w:t>If using the log to track disposal and if</w:t>
            </w:r>
            <w:r w:rsidR="00DA7B0C" w:rsidRPr="00757A01">
              <w:t xml:space="preserve"> all Federal tax return materials for a particular year are destroyed, the log does not have to identify each individual record destroyed.  It is adequate to document that all tax returns for a particular year were destroyed in accordance with established procedures.</w:t>
            </w:r>
          </w:p>
          <w:p w14:paraId="59084F45" w14:textId="77777777" w:rsidR="00DA7B0C" w:rsidRPr="00757A01" w:rsidRDefault="00DA7B0C" w:rsidP="00DA7B0C">
            <w:pPr>
              <w:pStyle w:val="BlockText"/>
            </w:pPr>
          </w:p>
          <w:p w14:paraId="2ED5E687" w14:textId="77777777" w:rsidR="00DA7B0C" w:rsidRPr="00757A01" w:rsidRDefault="00DA7B0C" w:rsidP="00DA7B0C">
            <w:pPr>
              <w:pStyle w:val="BlockText"/>
            </w:pPr>
            <w:r w:rsidRPr="00757A01">
              <w:t>If less than all tax materials for a particular year are destroyed, the disposal log must record the</w:t>
            </w:r>
          </w:p>
          <w:p w14:paraId="5EF9A86D" w14:textId="77777777" w:rsidR="00DA7B0C" w:rsidRPr="00757A01" w:rsidRDefault="00DA7B0C" w:rsidP="00DA7B0C">
            <w:pPr>
              <w:pStyle w:val="BlockText"/>
            </w:pPr>
          </w:p>
          <w:p w14:paraId="2ABF4034" w14:textId="77777777" w:rsidR="00DA7B0C" w:rsidRPr="00757A01" w:rsidRDefault="00DA7B0C" w:rsidP="00DA7B0C">
            <w:pPr>
              <w:pStyle w:val="BulletText1"/>
              <w:numPr>
                <w:ilvl w:val="0"/>
                <w:numId w:val="96"/>
              </w:numPr>
            </w:pPr>
            <w:r w:rsidRPr="00757A01">
              <w:t>claim number</w:t>
            </w:r>
          </w:p>
          <w:p w14:paraId="060EE63B" w14:textId="77777777" w:rsidR="00DA7B0C" w:rsidRPr="00757A01" w:rsidRDefault="00DA7B0C" w:rsidP="00DA7B0C">
            <w:pPr>
              <w:pStyle w:val="BulletText1"/>
              <w:numPr>
                <w:ilvl w:val="0"/>
                <w:numId w:val="96"/>
              </w:numPr>
            </w:pPr>
            <w:r w:rsidRPr="00757A01">
              <w:t>Veteran’s name</w:t>
            </w:r>
          </w:p>
          <w:p w14:paraId="04A32906" w14:textId="77777777" w:rsidR="00DA7B0C" w:rsidRPr="00757A01" w:rsidRDefault="00DA7B0C" w:rsidP="00DA7B0C">
            <w:pPr>
              <w:pStyle w:val="BulletText1"/>
              <w:numPr>
                <w:ilvl w:val="0"/>
                <w:numId w:val="96"/>
              </w:numPr>
            </w:pPr>
            <w:r w:rsidRPr="00757A01">
              <w:t>date the document was destroyed, and</w:t>
            </w:r>
          </w:p>
          <w:p w14:paraId="02697884" w14:textId="77777777" w:rsidR="00DA7B0C" w:rsidRPr="00757A01" w:rsidRDefault="00DA7B0C" w:rsidP="00DA7B0C">
            <w:pPr>
              <w:pStyle w:val="BulletText1"/>
              <w:numPr>
                <w:ilvl w:val="0"/>
                <w:numId w:val="96"/>
              </w:numPr>
            </w:pPr>
            <w:r w:rsidRPr="00757A01">
              <w:t>manner of destruction</w:t>
            </w:r>
          </w:p>
          <w:p w14:paraId="23410F4F" w14:textId="77777777" w:rsidR="00DA7B0C" w:rsidRPr="00757A01" w:rsidRDefault="00DA7B0C" w:rsidP="00DA7B0C">
            <w:pPr>
              <w:pStyle w:val="BlockText"/>
            </w:pPr>
          </w:p>
          <w:p w14:paraId="5820E0C1" w14:textId="332234E8" w:rsidR="00A1565D" w:rsidRPr="00757A01" w:rsidRDefault="00A1565D" w:rsidP="006A4D45">
            <w:r w:rsidRPr="00757A01">
              <w:rPr>
                <w:b/>
                <w:i/>
              </w:rPr>
              <w:t>Note</w:t>
            </w:r>
            <w:r w:rsidRPr="00757A01">
              <w:t>:  The PMC or VSC may place a paper flash on the FTI generated</w:t>
            </w:r>
            <w:r w:rsidR="00292445" w:rsidRPr="00757A01">
              <w:t>, in lieu of a log,</w:t>
            </w:r>
            <w:r w:rsidRPr="00757A01">
              <w:t xml:space="preserve"> so long as the required information </w:t>
            </w:r>
            <w:r w:rsidR="00292445" w:rsidRPr="00757A01">
              <w:t>is on the paper flash</w:t>
            </w:r>
            <w:r w:rsidRPr="00757A01">
              <w:t>.</w:t>
            </w:r>
          </w:p>
          <w:p w14:paraId="3F2A62E6" w14:textId="77777777" w:rsidR="00A1565D" w:rsidRPr="00757A01" w:rsidRDefault="00A1565D" w:rsidP="00DA7B0C">
            <w:pPr>
              <w:pStyle w:val="BlockText"/>
            </w:pPr>
          </w:p>
          <w:p w14:paraId="03365B43" w14:textId="66E1315A" w:rsidR="00DA7B0C" w:rsidRPr="00757A01" w:rsidRDefault="00DA7B0C" w:rsidP="00DA7B0C">
            <w:pPr>
              <w:pStyle w:val="BlockText"/>
            </w:pPr>
            <w:r w:rsidRPr="00757A01">
              <w:t>A sample log is shown below:</w:t>
            </w:r>
          </w:p>
          <w:p w14:paraId="5757C9E4" w14:textId="77777777" w:rsidR="00DA7B0C" w:rsidRPr="00757A01" w:rsidRDefault="00DA7B0C" w:rsidP="00DA7B0C">
            <w:pPr>
              <w:pStyle w:val="BlockText"/>
            </w:pPr>
          </w:p>
          <w:p w14:paraId="5DE924A4" w14:textId="75A4A793" w:rsidR="00DA7B0C" w:rsidRPr="00757A01" w:rsidRDefault="00DA7B0C" w:rsidP="00DA7B0C">
            <w:pPr>
              <w:pStyle w:val="BlockText"/>
            </w:pPr>
            <w:r w:rsidRPr="00757A01">
              <w:rPr>
                <w:noProof/>
              </w:rPr>
              <w:drawing>
                <wp:inline distT="0" distB="0" distL="0" distR="0" wp14:anchorId="55687191" wp14:editId="5877592B">
                  <wp:extent cx="474345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3450" cy="1724025"/>
                          </a:xfrm>
                          <a:prstGeom prst="rect">
                            <a:avLst/>
                          </a:prstGeom>
                          <a:noFill/>
                          <a:ln>
                            <a:noFill/>
                          </a:ln>
                        </pic:spPr>
                      </pic:pic>
                    </a:graphicData>
                  </a:graphic>
                </wp:inline>
              </w:drawing>
            </w:r>
          </w:p>
          <w:p w14:paraId="6C6BF326" w14:textId="77777777" w:rsidR="00292445" w:rsidRPr="00757A01" w:rsidRDefault="00292445" w:rsidP="00292445">
            <w:pPr>
              <w:pStyle w:val="BlockText"/>
              <w:rPr>
                <w:b/>
                <w:i/>
              </w:rPr>
            </w:pPr>
          </w:p>
          <w:p w14:paraId="367ED56F" w14:textId="77777777" w:rsidR="00292445" w:rsidRPr="00757A01" w:rsidRDefault="00292445" w:rsidP="00292445">
            <w:pPr>
              <w:pStyle w:val="BlockText"/>
              <w:rPr>
                <w:b/>
                <w:i/>
              </w:rPr>
            </w:pPr>
            <w:r w:rsidRPr="00757A01">
              <w:rPr>
                <w:b/>
                <w:i/>
              </w:rPr>
              <w:t>Destroying the Log</w:t>
            </w:r>
          </w:p>
          <w:p w14:paraId="41FCC412" w14:textId="3ACEDD77" w:rsidR="00DA7B0C" w:rsidRPr="00757A01" w:rsidRDefault="00292445" w:rsidP="00292445">
            <w:pPr>
              <w:pStyle w:val="BlockText"/>
            </w:pPr>
            <w:r w:rsidRPr="00757A01">
              <w:t xml:space="preserve">The log may be destroyed five years after the destruction of the last item entered in the log.  </w:t>
            </w:r>
          </w:p>
        </w:tc>
      </w:tr>
    </w:tbl>
    <w:p w14:paraId="09145078" w14:textId="77777777" w:rsidR="00DA7B0C" w:rsidRPr="00757A01" w:rsidRDefault="00DA7B0C" w:rsidP="00DF1F66"/>
    <w:p w14:paraId="6B5FBDCB" w14:textId="77777777" w:rsidR="00DA7B0C" w:rsidRPr="00757A01" w:rsidRDefault="00DA7B0C" w:rsidP="00DF1F66"/>
    <w:p w14:paraId="53010969" w14:textId="77777777" w:rsidR="00DA7B0C" w:rsidRPr="00757A01" w:rsidRDefault="00DA7B0C" w:rsidP="00DF1F66"/>
    <w:p w14:paraId="69D2D3F0" w14:textId="77777777" w:rsidR="00DA7B0C" w:rsidRPr="00757A01" w:rsidRDefault="00DA7B0C" w:rsidP="00DF1F66"/>
    <w:p w14:paraId="58199360" w14:textId="77777777" w:rsidR="00DA7B0C" w:rsidRPr="00757A01" w:rsidRDefault="00DA7B0C" w:rsidP="00DF1F66"/>
    <w:p w14:paraId="6837A702" w14:textId="77777777" w:rsidR="00DA7B0C" w:rsidRPr="00757A01" w:rsidRDefault="00DA7B0C" w:rsidP="00DF1F66"/>
    <w:tbl>
      <w:tblPr>
        <w:tblW w:w="0" w:type="auto"/>
        <w:tblLayout w:type="fixed"/>
        <w:tblLook w:val="0000" w:firstRow="0" w:lastRow="0" w:firstColumn="0" w:lastColumn="0" w:noHBand="0" w:noVBand="0"/>
      </w:tblPr>
      <w:tblGrid>
        <w:gridCol w:w="1728"/>
        <w:gridCol w:w="7740"/>
      </w:tblGrid>
      <w:tr w:rsidR="00DA7B0C" w:rsidRPr="00757A01" w14:paraId="77DF75BC" w14:textId="77777777" w:rsidTr="00DA7B0C">
        <w:trPr>
          <w:cantSplit/>
        </w:trPr>
        <w:tc>
          <w:tcPr>
            <w:tcW w:w="1728" w:type="dxa"/>
          </w:tcPr>
          <w:p w14:paraId="63820BCE" w14:textId="74A98279" w:rsidR="00DA7B0C" w:rsidRPr="00757A01" w:rsidRDefault="00BE11A7" w:rsidP="0018073D">
            <w:pPr>
              <w:pStyle w:val="Heading5"/>
            </w:pPr>
            <w:r w:rsidRPr="00757A01">
              <w:t>j</w:t>
            </w:r>
            <w:r w:rsidR="00DA7B0C" w:rsidRPr="00757A01">
              <w:t xml:space="preserve">.  Transferring FTI Materials </w:t>
            </w:r>
            <w:r w:rsidR="008C7CA8" w:rsidRPr="00757A01">
              <w:t xml:space="preserve">When </w:t>
            </w:r>
            <w:r w:rsidR="0018073D" w:rsidRPr="00757A01">
              <w:t>S</w:t>
            </w:r>
            <w:r w:rsidR="008C7CA8" w:rsidRPr="00757A01">
              <w:t>canning is Possible</w:t>
            </w:r>
          </w:p>
        </w:tc>
        <w:tc>
          <w:tcPr>
            <w:tcW w:w="7740" w:type="dxa"/>
          </w:tcPr>
          <w:p w14:paraId="0F0BBBCD" w14:textId="4CF8CB40" w:rsidR="00DA7B0C" w:rsidRPr="00757A01" w:rsidRDefault="00DA7B0C" w:rsidP="00DA7B0C">
            <w:pPr>
              <w:pStyle w:val="BlockText"/>
            </w:pPr>
            <w:r w:rsidRPr="00757A01">
              <w:t xml:space="preserve">If the claims folder is transferred to another PMC or to another location, the FTI must be available to the receiving location (BVA, another RO, </w:t>
            </w:r>
            <w:r w:rsidR="00D00393" w:rsidRPr="00757A01">
              <w:t>Office of Inspector General (</w:t>
            </w:r>
            <w:r w:rsidRPr="00757A01">
              <w:t>OIG</w:t>
            </w:r>
            <w:r w:rsidR="00D00393" w:rsidRPr="00757A01">
              <w:t>)</w:t>
            </w:r>
            <w:r w:rsidRPr="00757A01">
              <w:t>, Committee on Waivers, etc.).</w:t>
            </w:r>
          </w:p>
          <w:p w14:paraId="50305268" w14:textId="77777777" w:rsidR="00DA7B0C" w:rsidRPr="00757A01" w:rsidRDefault="00DA7B0C" w:rsidP="00DA7B0C">
            <w:pPr>
              <w:pStyle w:val="BlockText"/>
            </w:pPr>
          </w:p>
          <w:p w14:paraId="1A18A2C6" w14:textId="7F9A2C44" w:rsidR="0018073D" w:rsidRPr="00757A01" w:rsidRDefault="00DA7B0C" w:rsidP="00DA7B0C">
            <w:pPr>
              <w:pStyle w:val="BlockText"/>
            </w:pPr>
            <w:r w:rsidRPr="00757A01">
              <w:t>Prior to sending the folder, all remaining FTI in orange light-weight folders should be scanned into the secure V</w:t>
            </w:r>
            <w:r w:rsidR="00B365C9" w:rsidRPr="00757A01">
              <w:t xml:space="preserve">irtual </w:t>
            </w:r>
            <w:r w:rsidRPr="00757A01">
              <w:t>VA folder.  Once completed, a flash should be placed in the claims folder noting that FTI is contained in the secured V</w:t>
            </w:r>
            <w:r w:rsidR="00B365C9" w:rsidRPr="00757A01">
              <w:t xml:space="preserve">irtual </w:t>
            </w:r>
            <w:r w:rsidRPr="00757A01">
              <w:t xml:space="preserve">VA folder.  </w:t>
            </w:r>
          </w:p>
          <w:p w14:paraId="533D6556" w14:textId="77777777" w:rsidR="0018073D" w:rsidRPr="00757A01" w:rsidRDefault="0018073D" w:rsidP="00DA7B0C">
            <w:pPr>
              <w:pStyle w:val="BlockText"/>
            </w:pPr>
          </w:p>
          <w:p w14:paraId="337057A7" w14:textId="45A491C4" w:rsidR="008131BB" w:rsidRPr="00757A01" w:rsidRDefault="0018073D" w:rsidP="00EA653F">
            <w:pPr>
              <w:pStyle w:val="BlockText"/>
            </w:pPr>
            <w:r w:rsidRPr="00757A01">
              <w:rPr>
                <w:b/>
                <w:i/>
              </w:rPr>
              <w:t>Important</w:t>
            </w:r>
            <w:r w:rsidRPr="00757A01">
              <w:t>:  Log the scanned FTI in accordance with M21</w:t>
            </w:r>
            <w:r w:rsidR="005A1FA3" w:rsidRPr="00757A01">
              <w:t>-1, Part X, Chapter 9, Section B, Topic 2.i</w:t>
            </w:r>
            <w:r w:rsidRPr="00757A01">
              <w:t>.</w:t>
            </w:r>
          </w:p>
        </w:tc>
      </w:tr>
    </w:tbl>
    <w:p w14:paraId="0B3CFB62" w14:textId="77777777" w:rsidR="008C7CA8" w:rsidRPr="00757A01" w:rsidRDefault="008C7CA8" w:rsidP="008C7CA8">
      <w:pPr>
        <w:pStyle w:val="BlockLine"/>
      </w:pPr>
    </w:p>
    <w:tbl>
      <w:tblPr>
        <w:tblW w:w="0" w:type="auto"/>
        <w:tblLayout w:type="fixed"/>
        <w:tblLook w:val="0000" w:firstRow="0" w:lastRow="0" w:firstColumn="0" w:lastColumn="0" w:noHBand="0" w:noVBand="0"/>
      </w:tblPr>
      <w:tblGrid>
        <w:gridCol w:w="1728"/>
        <w:gridCol w:w="7740"/>
      </w:tblGrid>
      <w:tr w:rsidR="008C7CA8" w:rsidRPr="00757A01" w14:paraId="6DAEEB52" w14:textId="77777777" w:rsidTr="00A1565D">
        <w:trPr>
          <w:cantSplit/>
        </w:trPr>
        <w:tc>
          <w:tcPr>
            <w:tcW w:w="1728" w:type="dxa"/>
          </w:tcPr>
          <w:p w14:paraId="3D848C15" w14:textId="4D8ED0D7" w:rsidR="008C7CA8" w:rsidRPr="00757A01" w:rsidRDefault="00BE11A7" w:rsidP="00241960">
            <w:pPr>
              <w:pStyle w:val="Heading5"/>
            </w:pPr>
            <w:r w:rsidRPr="00757A01">
              <w:t>k</w:t>
            </w:r>
            <w:r w:rsidR="008C7CA8" w:rsidRPr="00757A01">
              <w:t>.  Transferring FTI When Scanning Can Not Be Done</w:t>
            </w:r>
          </w:p>
        </w:tc>
        <w:tc>
          <w:tcPr>
            <w:tcW w:w="7740" w:type="dxa"/>
          </w:tcPr>
          <w:p w14:paraId="03013A99" w14:textId="716C20D9" w:rsidR="008C7CA8" w:rsidRPr="00757A01" w:rsidRDefault="0018073D" w:rsidP="00A1565D">
            <w:pPr>
              <w:pStyle w:val="BlockText"/>
            </w:pPr>
            <w:r w:rsidRPr="00757A01">
              <w:t>If scanning cannot be done and the paper FTI must be transferred to another RO, take the following steps</w:t>
            </w:r>
          </w:p>
          <w:p w14:paraId="6131C0FE" w14:textId="77777777" w:rsidR="008C7CA8" w:rsidRPr="00757A01" w:rsidRDefault="008C7CA8" w:rsidP="00A1565D">
            <w:pPr>
              <w:pStyle w:val="BlockText"/>
            </w:pPr>
          </w:p>
          <w:tbl>
            <w:tblPr>
              <w:tblStyle w:val="TableGrid"/>
              <w:tblW w:w="0" w:type="auto"/>
              <w:tblLayout w:type="fixed"/>
              <w:tblLook w:val="04A0" w:firstRow="1" w:lastRow="0" w:firstColumn="1" w:lastColumn="0" w:noHBand="0" w:noVBand="1"/>
            </w:tblPr>
            <w:tblGrid>
              <w:gridCol w:w="877"/>
              <w:gridCol w:w="6632"/>
            </w:tblGrid>
            <w:tr w:rsidR="008C7CA8" w:rsidRPr="00757A01" w14:paraId="21FC64A6" w14:textId="77777777" w:rsidTr="00200424">
              <w:tc>
                <w:tcPr>
                  <w:tcW w:w="877" w:type="dxa"/>
                </w:tcPr>
                <w:p w14:paraId="1E06FA45" w14:textId="4609AAED" w:rsidR="008C7CA8" w:rsidRPr="00757A01" w:rsidRDefault="008C7CA8" w:rsidP="0018073D">
                  <w:pPr>
                    <w:pStyle w:val="BlockText"/>
                  </w:pPr>
                  <w:r w:rsidRPr="00757A01">
                    <w:t>S</w:t>
                  </w:r>
                  <w:r w:rsidR="0018073D" w:rsidRPr="00757A01">
                    <w:t>tep</w:t>
                  </w:r>
                </w:p>
              </w:tc>
              <w:tc>
                <w:tcPr>
                  <w:tcW w:w="6632" w:type="dxa"/>
                </w:tcPr>
                <w:p w14:paraId="0CBBF6EC" w14:textId="7CE1A325" w:rsidR="008C7CA8" w:rsidRPr="00757A01" w:rsidRDefault="008C7CA8" w:rsidP="00A1565D">
                  <w:pPr>
                    <w:pStyle w:val="BlockText"/>
                  </w:pPr>
                  <w:r w:rsidRPr="00757A01">
                    <w:t>Action</w:t>
                  </w:r>
                </w:p>
              </w:tc>
            </w:tr>
            <w:tr w:rsidR="008C7CA8" w:rsidRPr="00757A01" w14:paraId="17776B11" w14:textId="77777777" w:rsidTr="00200424">
              <w:tc>
                <w:tcPr>
                  <w:tcW w:w="877" w:type="dxa"/>
                </w:tcPr>
                <w:p w14:paraId="6AADEE86" w14:textId="151DE1C7" w:rsidR="008C7CA8" w:rsidRPr="00757A01" w:rsidRDefault="008C7CA8" w:rsidP="00A1565D">
                  <w:pPr>
                    <w:pStyle w:val="BlockText"/>
                  </w:pPr>
                  <w:r w:rsidRPr="00757A01">
                    <w:t>1</w:t>
                  </w:r>
                </w:p>
              </w:tc>
              <w:tc>
                <w:tcPr>
                  <w:tcW w:w="6632" w:type="dxa"/>
                </w:tcPr>
                <w:p w14:paraId="2DA469B1" w14:textId="77EAA041" w:rsidR="008C7CA8" w:rsidRPr="00757A01" w:rsidRDefault="008C7CA8" w:rsidP="00241960">
                  <w:pPr>
                    <w:pStyle w:val="BlockText"/>
                  </w:pPr>
                  <w:r w:rsidRPr="00757A01">
                    <w:t>Place the orange light-weight folder in two envelopes.</w:t>
                  </w:r>
                </w:p>
              </w:tc>
            </w:tr>
            <w:tr w:rsidR="008C7CA8" w:rsidRPr="00757A01" w14:paraId="1C75EEBE" w14:textId="77777777" w:rsidTr="00200424">
              <w:trPr>
                <w:trHeight w:val="1187"/>
              </w:trPr>
              <w:tc>
                <w:tcPr>
                  <w:tcW w:w="877" w:type="dxa"/>
                </w:tcPr>
                <w:p w14:paraId="5B5334C1" w14:textId="366B4312" w:rsidR="008C7CA8" w:rsidRPr="00757A01" w:rsidRDefault="008C7CA8" w:rsidP="00A1565D">
                  <w:pPr>
                    <w:pStyle w:val="BlockText"/>
                  </w:pPr>
                  <w:r w:rsidRPr="00757A01">
                    <w:t>2</w:t>
                  </w:r>
                </w:p>
              </w:tc>
              <w:tc>
                <w:tcPr>
                  <w:tcW w:w="6632" w:type="dxa"/>
                </w:tcPr>
                <w:p w14:paraId="76DF786D" w14:textId="77777777" w:rsidR="008C7CA8" w:rsidRPr="00757A01" w:rsidRDefault="008C7CA8" w:rsidP="00A1565D">
                  <w:pPr>
                    <w:pStyle w:val="BlockText"/>
                  </w:pPr>
                  <w:r w:rsidRPr="00757A01">
                    <w:t>Mark the envelopes with the following:</w:t>
                  </w:r>
                </w:p>
                <w:p w14:paraId="0897D74A" w14:textId="77777777" w:rsidR="008C7CA8" w:rsidRPr="00757A01" w:rsidRDefault="008C7CA8" w:rsidP="008C7CA8">
                  <w:pPr>
                    <w:pStyle w:val="ListParagraph"/>
                    <w:numPr>
                      <w:ilvl w:val="0"/>
                      <w:numId w:val="106"/>
                    </w:numPr>
                    <w:ind w:left="346" w:hanging="187"/>
                  </w:pPr>
                  <w:r w:rsidRPr="00757A01">
                    <w:rPr>
                      <w:i/>
                    </w:rPr>
                    <w:t>FTI Material (or File) Enclosed</w:t>
                  </w:r>
                  <w:r w:rsidRPr="00757A01">
                    <w:t>, and</w:t>
                  </w:r>
                </w:p>
                <w:p w14:paraId="221BB831" w14:textId="286F7DC5" w:rsidR="008C7CA8" w:rsidRPr="00757A01" w:rsidRDefault="008C7CA8" w:rsidP="00200424">
                  <w:pPr>
                    <w:pStyle w:val="ListParagraph"/>
                    <w:numPr>
                      <w:ilvl w:val="0"/>
                      <w:numId w:val="107"/>
                    </w:numPr>
                    <w:ind w:left="346" w:hanging="187"/>
                  </w:pPr>
                  <w:r w:rsidRPr="00757A01">
                    <w:rPr>
                      <w:i/>
                    </w:rPr>
                    <w:t>to be opened by the VSCM</w:t>
                  </w:r>
                  <w:r w:rsidRPr="00757A01">
                    <w:t xml:space="preserve"> </w:t>
                  </w:r>
                  <w:r w:rsidR="00292445" w:rsidRPr="00757A01">
                    <w:rPr>
                      <w:i/>
                    </w:rPr>
                    <w:t>or PMCM</w:t>
                  </w:r>
                  <w:r w:rsidR="00292445" w:rsidRPr="00757A01">
                    <w:t xml:space="preserve"> </w:t>
                  </w:r>
                  <w:r w:rsidRPr="00757A01">
                    <w:t>(the VSCM may designate a person to perform this function).</w:t>
                  </w:r>
                </w:p>
              </w:tc>
            </w:tr>
            <w:tr w:rsidR="008C7CA8" w:rsidRPr="00757A01" w14:paraId="1E2B132A" w14:textId="77777777" w:rsidTr="00200424">
              <w:tc>
                <w:tcPr>
                  <w:tcW w:w="877" w:type="dxa"/>
                </w:tcPr>
                <w:p w14:paraId="7354B8AD" w14:textId="18807588" w:rsidR="008C7CA8" w:rsidRPr="00757A01" w:rsidRDefault="008C7CA8" w:rsidP="00A1565D">
                  <w:pPr>
                    <w:pStyle w:val="BlockText"/>
                  </w:pPr>
                  <w:r w:rsidRPr="00757A01">
                    <w:t>3</w:t>
                  </w:r>
                </w:p>
              </w:tc>
              <w:tc>
                <w:tcPr>
                  <w:tcW w:w="6632" w:type="dxa"/>
                </w:tcPr>
                <w:p w14:paraId="143DB3E5" w14:textId="1329A04D" w:rsidR="008C7CA8" w:rsidRPr="00757A01" w:rsidRDefault="008C7CA8" w:rsidP="00241960">
                  <w:pPr>
                    <w:pStyle w:val="BlockText"/>
                  </w:pPr>
                  <w:r w:rsidRPr="00757A01">
                    <w:t>send an e-mail to the receiving agency advising that FTI material is being shipped and provide an expected arrival date</w:t>
                  </w:r>
                </w:p>
              </w:tc>
            </w:tr>
            <w:tr w:rsidR="008C7CA8" w:rsidRPr="00757A01" w14:paraId="3610033A" w14:textId="77777777" w:rsidTr="008C7CA8">
              <w:tc>
                <w:tcPr>
                  <w:tcW w:w="877" w:type="dxa"/>
                </w:tcPr>
                <w:p w14:paraId="1ECB4533" w14:textId="2900A607" w:rsidR="008C7CA8" w:rsidRPr="00757A01" w:rsidRDefault="008C7CA8" w:rsidP="00A1565D">
                  <w:pPr>
                    <w:pStyle w:val="BlockText"/>
                  </w:pPr>
                  <w:r w:rsidRPr="00757A01">
                    <w:t>4</w:t>
                  </w:r>
                </w:p>
              </w:tc>
              <w:tc>
                <w:tcPr>
                  <w:tcW w:w="6632" w:type="dxa"/>
                </w:tcPr>
                <w:p w14:paraId="772A8A7E" w14:textId="48FB9CF3" w:rsidR="008C7CA8" w:rsidRPr="00757A01" w:rsidRDefault="008C7CA8" w:rsidP="00292445">
                  <w:pPr>
                    <w:pStyle w:val="BlockText"/>
                  </w:pPr>
                  <w:r w:rsidRPr="00757A01">
                    <w:t>follow up with the receiving agency to determine if the FTI folder was received.  Alternatively, the receiving office can email the POC that shipped the FTI to confirm receipt.</w:t>
                  </w:r>
                  <w:r w:rsidR="00292445" w:rsidRPr="00757A01">
                    <w:t xml:space="preserve"> </w:t>
                  </w:r>
                </w:p>
              </w:tc>
            </w:tr>
          </w:tbl>
          <w:p w14:paraId="20FEE549" w14:textId="165CD918" w:rsidR="008C7CA8" w:rsidRPr="00757A01" w:rsidRDefault="008C7CA8" w:rsidP="00A1565D">
            <w:pPr>
              <w:pStyle w:val="BlockText"/>
            </w:pPr>
          </w:p>
        </w:tc>
      </w:tr>
    </w:tbl>
    <w:p w14:paraId="18EE1FEE" w14:textId="77777777" w:rsidR="008C7CA8" w:rsidRPr="00757A01" w:rsidRDefault="008C7CA8" w:rsidP="008C7CA8">
      <w:pPr>
        <w:tabs>
          <w:tab w:val="left" w:pos="9360"/>
        </w:tabs>
        <w:ind w:left="1714"/>
        <w:rPr>
          <w:u w:val="single"/>
        </w:rPr>
      </w:pPr>
    </w:p>
    <w:p w14:paraId="2C254A2A" w14:textId="2148957A" w:rsidR="008C7CA8" w:rsidRPr="00757A01" w:rsidRDefault="008C7CA8" w:rsidP="008C7CA8">
      <w:pPr>
        <w:tabs>
          <w:tab w:val="left" w:pos="9360"/>
        </w:tabs>
        <w:ind w:left="1714"/>
        <w:rPr>
          <w:u w:val="single"/>
        </w:rPr>
      </w:pPr>
      <w:r w:rsidRPr="00757A01">
        <w:rPr>
          <w:b/>
          <w:i/>
        </w:rPr>
        <w:t>Important</w:t>
      </w:r>
      <w:r w:rsidRPr="00757A01">
        <w:t>:  The transporting and receiving location log the FTI in accordance with M21</w:t>
      </w:r>
      <w:r w:rsidR="005A1FA3" w:rsidRPr="00757A01">
        <w:t>-1, Part X, Chapter 9, Section B, Topic 2.i</w:t>
      </w:r>
      <w:r w:rsidRPr="00757A01">
        <w:t>.</w:t>
      </w:r>
    </w:p>
    <w:p w14:paraId="6A86A5C4" w14:textId="69C54477" w:rsidR="008C7CA8" w:rsidRPr="00757A01" w:rsidRDefault="008C7CA8" w:rsidP="008C7CA8">
      <w:pPr>
        <w:tabs>
          <w:tab w:val="left" w:pos="9360"/>
        </w:tabs>
        <w:ind w:left="1714"/>
      </w:pPr>
      <w:r w:rsidRPr="00757A01">
        <w:rPr>
          <w:u w:val="single"/>
        </w:rPr>
        <w:tab/>
      </w:r>
    </w:p>
    <w:p w14:paraId="4A924F82" w14:textId="77777777" w:rsidR="008C7CA8" w:rsidRPr="00757A01" w:rsidRDefault="008C7CA8" w:rsidP="008C7CA8"/>
    <w:p w14:paraId="1AEA18EB" w14:textId="77777777" w:rsidR="00EF53FC" w:rsidRPr="00757A01" w:rsidRDefault="00EF53FC">
      <w:pPr>
        <w:spacing w:after="200" w:line="276" w:lineRule="auto"/>
        <w:rPr>
          <w:rFonts w:ascii="Arial" w:hAnsi="Arial"/>
          <w:b/>
          <w:sz w:val="32"/>
          <w:szCs w:val="20"/>
        </w:rPr>
      </w:pPr>
      <w:r w:rsidRPr="00757A01">
        <w:br w:type="page"/>
      </w:r>
    </w:p>
    <w:p w14:paraId="57EC9002" w14:textId="6B50EEE8" w:rsidR="00D8233C" w:rsidRPr="00757A01" w:rsidRDefault="00C34731" w:rsidP="00D8233C">
      <w:pPr>
        <w:pStyle w:val="Heading4"/>
      </w:pPr>
      <w:r w:rsidRPr="00757A01">
        <w:lastRenderedPageBreak/>
        <w:t>3</w:t>
      </w:r>
      <w:r w:rsidR="00D8233C" w:rsidRPr="00757A01">
        <w:t xml:space="preserve">.  Disclosure of FTI </w:t>
      </w:r>
    </w:p>
    <w:p w14:paraId="57EC9003" w14:textId="77777777" w:rsidR="00D8233C" w:rsidRPr="00757A01" w:rsidRDefault="00D8233C" w:rsidP="00D8233C">
      <w:pPr>
        <w:pStyle w:val="BlockLine"/>
      </w:pPr>
    </w:p>
    <w:tbl>
      <w:tblPr>
        <w:tblW w:w="0" w:type="auto"/>
        <w:tblLayout w:type="fixed"/>
        <w:tblLook w:val="0000" w:firstRow="0" w:lastRow="0" w:firstColumn="0" w:lastColumn="0" w:noHBand="0" w:noVBand="0"/>
      </w:tblPr>
      <w:tblGrid>
        <w:gridCol w:w="1728"/>
        <w:gridCol w:w="7740"/>
      </w:tblGrid>
      <w:tr w:rsidR="00D8233C" w:rsidRPr="00757A01" w14:paraId="57EC900C" w14:textId="77777777" w:rsidTr="00DD386E">
        <w:trPr>
          <w:cantSplit/>
        </w:trPr>
        <w:tc>
          <w:tcPr>
            <w:tcW w:w="1728" w:type="dxa"/>
          </w:tcPr>
          <w:p w14:paraId="57EC9004" w14:textId="77777777" w:rsidR="00D8233C" w:rsidRPr="00757A01" w:rsidRDefault="00D8233C" w:rsidP="00DD386E">
            <w:pPr>
              <w:pStyle w:val="Heading5"/>
            </w:pPr>
            <w:r w:rsidRPr="00757A01">
              <w:t>Introduction</w:t>
            </w:r>
          </w:p>
        </w:tc>
        <w:tc>
          <w:tcPr>
            <w:tcW w:w="7740" w:type="dxa"/>
          </w:tcPr>
          <w:p w14:paraId="57EC9005" w14:textId="2BCCE581" w:rsidR="00D8233C" w:rsidRPr="00757A01" w:rsidRDefault="00D8233C" w:rsidP="00DD386E">
            <w:pPr>
              <w:pStyle w:val="BlockText"/>
            </w:pPr>
            <w:r w:rsidRPr="00757A01">
              <w:t xml:space="preserve">This topic contains information </w:t>
            </w:r>
            <w:r w:rsidR="00C8312C" w:rsidRPr="00757A01">
              <w:t>on FOIA requests</w:t>
            </w:r>
            <w:r w:rsidRPr="00757A01">
              <w:t>, including</w:t>
            </w:r>
          </w:p>
          <w:p w14:paraId="57EC9006" w14:textId="77777777" w:rsidR="00D8233C" w:rsidRPr="00757A01" w:rsidRDefault="00D8233C" w:rsidP="00DD386E">
            <w:pPr>
              <w:pStyle w:val="BlockText"/>
            </w:pPr>
          </w:p>
          <w:p w14:paraId="57EC9007" w14:textId="77777777" w:rsidR="00D8233C" w:rsidRPr="00757A01" w:rsidRDefault="00D8233C" w:rsidP="00DF1F66">
            <w:pPr>
              <w:pStyle w:val="ListParagraph"/>
              <w:numPr>
                <w:ilvl w:val="0"/>
                <w:numId w:val="46"/>
              </w:numPr>
              <w:ind w:left="158" w:hanging="187"/>
            </w:pPr>
            <w:r w:rsidRPr="00757A01">
              <w:t>releasing FTI</w:t>
            </w:r>
          </w:p>
          <w:p w14:paraId="0E8B6CAE" w14:textId="15D4F893" w:rsidR="00C8312C" w:rsidRPr="00757A01" w:rsidRDefault="00C8312C" w:rsidP="00DF1F66">
            <w:pPr>
              <w:pStyle w:val="ListParagraph"/>
              <w:numPr>
                <w:ilvl w:val="0"/>
                <w:numId w:val="46"/>
              </w:numPr>
              <w:ind w:left="158" w:hanging="187"/>
            </w:pPr>
            <w:r w:rsidRPr="00757A01">
              <w:t>FOIA requests for tax information by someone other than a taxpayer</w:t>
            </w:r>
          </w:p>
          <w:p w14:paraId="4BA44197" w14:textId="6E8D4912" w:rsidR="00C8312C" w:rsidRPr="00757A01" w:rsidRDefault="00D8233C" w:rsidP="00DF1F66">
            <w:pPr>
              <w:pStyle w:val="ListParagraph"/>
              <w:numPr>
                <w:ilvl w:val="0"/>
                <w:numId w:val="47"/>
              </w:numPr>
              <w:ind w:left="158" w:hanging="187"/>
            </w:pPr>
            <w:r w:rsidRPr="00757A01">
              <w:t>disclosure to POA</w:t>
            </w:r>
          </w:p>
          <w:p w14:paraId="600FB0DF" w14:textId="56B7AA38" w:rsidR="00C8312C" w:rsidRPr="00757A01" w:rsidRDefault="00297F2C" w:rsidP="00DF1F66">
            <w:pPr>
              <w:pStyle w:val="ListParagraph"/>
              <w:numPr>
                <w:ilvl w:val="0"/>
                <w:numId w:val="47"/>
              </w:numPr>
              <w:ind w:left="158" w:hanging="187"/>
            </w:pPr>
            <w:r w:rsidRPr="00757A01">
              <w:t xml:space="preserve">prohibition of </w:t>
            </w:r>
            <w:r w:rsidR="00D8233C" w:rsidRPr="00757A01">
              <w:t xml:space="preserve">releasing </w:t>
            </w:r>
            <w:r w:rsidR="00C8312C" w:rsidRPr="00757A01">
              <w:t>FTI</w:t>
            </w:r>
            <w:r w:rsidR="00D8233C" w:rsidRPr="00757A01">
              <w:t xml:space="preserve"> to a Member of Congress</w:t>
            </w:r>
          </w:p>
          <w:p w14:paraId="57EC900A" w14:textId="5F0A1CE1" w:rsidR="00D8233C" w:rsidRPr="00757A01" w:rsidRDefault="00C8312C" w:rsidP="00DF1F66">
            <w:pPr>
              <w:pStyle w:val="ListParagraph"/>
              <w:numPr>
                <w:ilvl w:val="0"/>
                <w:numId w:val="47"/>
              </w:numPr>
              <w:ind w:left="158" w:hanging="187"/>
            </w:pPr>
            <w:r w:rsidRPr="00757A01">
              <w:t xml:space="preserve">releasing non-FTI to a Member of Congress, and </w:t>
            </w:r>
          </w:p>
          <w:p w14:paraId="57EC900B" w14:textId="77777777" w:rsidR="00D8233C" w:rsidRPr="00757A01" w:rsidRDefault="00D8233C" w:rsidP="00DF1F66">
            <w:pPr>
              <w:pStyle w:val="ListParagraph"/>
              <w:numPr>
                <w:ilvl w:val="0"/>
                <w:numId w:val="50"/>
              </w:numPr>
              <w:ind w:left="158" w:hanging="187"/>
            </w:pPr>
            <w:r w:rsidRPr="00757A01">
              <w:t>Committee on Waivers decisions.</w:t>
            </w:r>
          </w:p>
        </w:tc>
      </w:tr>
    </w:tbl>
    <w:p w14:paraId="57EC900D" w14:textId="77777777" w:rsidR="00D8233C" w:rsidRPr="00757A01" w:rsidRDefault="00D8233C" w:rsidP="00D8233C">
      <w:pPr>
        <w:pStyle w:val="BlockLine"/>
      </w:pPr>
    </w:p>
    <w:tbl>
      <w:tblPr>
        <w:tblW w:w="0" w:type="auto"/>
        <w:tblLayout w:type="fixed"/>
        <w:tblLook w:val="0000" w:firstRow="0" w:lastRow="0" w:firstColumn="0" w:lastColumn="0" w:noHBand="0" w:noVBand="0"/>
      </w:tblPr>
      <w:tblGrid>
        <w:gridCol w:w="1728"/>
        <w:gridCol w:w="7740"/>
      </w:tblGrid>
      <w:tr w:rsidR="00D8233C" w:rsidRPr="00757A01" w14:paraId="57EC9010" w14:textId="77777777" w:rsidTr="00DD386E">
        <w:trPr>
          <w:cantSplit/>
        </w:trPr>
        <w:tc>
          <w:tcPr>
            <w:tcW w:w="1728" w:type="dxa"/>
          </w:tcPr>
          <w:p w14:paraId="57EC900E" w14:textId="77777777" w:rsidR="00D8233C" w:rsidRPr="00757A01" w:rsidRDefault="00D8233C" w:rsidP="00DD386E">
            <w:pPr>
              <w:pStyle w:val="Heading5"/>
            </w:pPr>
            <w:r w:rsidRPr="00757A01">
              <w:t>Change Date</w:t>
            </w:r>
          </w:p>
        </w:tc>
        <w:tc>
          <w:tcPr>
            <w:tcW w:w="7740" w:type="dxa"/>
          </w:tcPr>
          <w:p w14:paraId="57EC900F" w14:textId="59929CF5" w:rsidR="00D8233C" w:rsidRPr="00757A01" w:rsidRDefault="00754C6D" w:rsidP="00DD386E">
            <w:pPr>
              <w:pStyle w:val="BlockText"/>
            </w:pPr>
            <w:r>
              <w:t>March 30, 2015</w:t>
            </w:r>
          </w:p>
        </w:tc>
      </w:tr>
    </w:tbl>
    <w:p w14:paraId="57EC9011" w14:textId="12307B68" w:rsidR="00D8233C" w:rsidRPr="00757A01" w:rsidRDefault="00D8233C" w:rsidP="00D8233C">
      <w:pPr>
        <w:pStyle w:val="BlockLine"/>
      </w:pPr>
    </w:p>
    <w:tbl>
      <w:tblPr>
        <w:tblW w:w="0" w:type="auto"/>
        <w:tblLayout w:type="fixed"/>
        <w:tblLook w:val="0000" w:firstRow="0" w:lastRow="0" w:firstColumn="0" w:lastColumn="0" w:noHBand="0" w:noVBand="0"/>
      </w:tblPr>
      <w:tblGrid>
        <w:gridCol w:w="1728"/>
        <w:gridCol w:w="7740"/>
      </w:tblGrid>
      <w:tr w:rsidR="00C8312C" w:rsidRPr="00757A01" w14:paraId="6E2B137E" w14:textId="77777777" w:rsidTr="00A316B9">
        <w:trPr>
          <w:cantSplit/>
        </w:trPr>
        <w:tc>
          <w:tcPr>
            <w:tcW w:w="1728" w:type="dxa"/>
          </w:tcPr>
          <w:p w14:paraId="57353F24" w14:textId="77777777" w:rsidR="00C8312C" w:rsidRPr="00757A01" w:rsidRDefault="00C8312C" w:rsidP="00A316B9">
            <w:pPr>
              <w:pStyle w:val="Heading5"/>
            </w:pPr>
            <w:r w:rsidRPr="00757A01">
              <w:t>a.  Releasing FTI</w:t>
            </w:r>
          </w:p>
        </w:tc>
        <w:tc>
          <w:tcPr>
            <w:tcW w:w="7740" w:type="dxa"/>
          </w:tcPr>
          <w:p w14:paraId="30C41A20" w14:textId="77777777" w:rsidR="00C8312C" w:rsidRPr="00757A01" w:rsidRDefault="00C8312C" w:rsidP="00A316B9">
            <w:pPr>
              <w:pStyle w:val="BlockText"/>
            </w:pPr>
            <w:r w:rsidRPr="00757A01">
              <w:t>FTI can be released only as permitted by IRC 6103.  Generally, tax return information may be released to the taxpayer, usually the income payer or income recipient.</w:t>
            </w:r>
          </w:p>
        </w:tc>
      </w:tr>
    </w:tbl>
    <w:p w14:paraId="57EC9016" w14:textId="5B05822A" w:rsidR="00D8233C" w:rsidRPr="00757A01" w:rsidRDefault="00193724" w:rsidP="00193724">
      <w:pPr>
        <w:tabs>
          <w:tab w:val="left" w:pos="9360"/>
        </w:tabs>
        <w:ind w:left="1714"/>
      </w:pPr>
      <w:r w:rsidRPr="00757A01">
        <w:rPr>
          <w:u w:val="single"/>
        </w:rPr>
        <w:tab/>
      </w:r>
    </w:p>
    <w:p w14:paraId="13ACDFB2" w14:textId="77777777" w:rsidR="00193724" w:rsidRPr="00757A01" w:rsidRDefault="00193724" w:rsidP="00193724"/>
    <w:tbl>
      <w:tblPr>
        <w:tblW w:w="0" w:type="auto"/>
        <w:tblLayout w:type="fixed"/>
        <w:tblLook w:val="0000" w:firstRow="0" w:lastRow="0" w:firstColumn="0" w:lastColumn="0" w:noHBand="0" w:noVBand="0"/>
      </w:tblPr>
      <w:tblGrid>
        <w:gridCol w:w="1728"/>
        <w:gridCol w:w="7740"/>
      </w:tblGrid>
      <w:tr w:rsidR="00C8312C" w:rsidRPr="00757A01" w14:paraId="132CA22D" w14:textId="77777777" w:rsidTr="00A316B9">
        <w:trPr>
          <w:cantSplit/>
        </w:trPr>
        <w:tc>
          <w:tcPr>
            <w:tcW w:w="1728" w:type="dxa"/>
          </w:tcPr>
          <w:p w14:paraId="25D5146E" w14:textId="77777777" w:rsidR="00C8312C" w:rsidRPr="00757A01" w:rsidRDefault="00C8312C" w:rsidP="00A316B9">
            <w:pPr>
              <w:pStyle w:val="Heading5"/>
            </w:pPr>
            <w:r w:rsidRPr="00757A01">
              <w:t>b.  FOIA Request for Tax Information by Someone Other than Taxpayer</w:t>
            </w:r>
          </w:p>
        </w:tc>
        <w:tc>
          <w:tcPr>
            <w:tcW w:w="7740" w:type="dxa"/>
          </w:tcPr>
          <w:p w14:paraId="7A7D98E6" w14:textId="77777777" w:rsidR="00C8312C" w:rsidRPr="00757A01" w:rsidRDefault="00C8312C" w:rsidP="00A316B9">
            <w:pPr>
              <w:pStyle w:val="BlockText"/>
            </w:pPr>
            <w:r w:rsidRPr="00757A01">
              <w:t xml:space="preserve">If a Freedom of Information Act (FOIA) request for tax return information is received from someone other than the tax payer, the written reply to the FOIA request must tell </w:t>
            </w:r>
            <w:r w:rsidRPr="00757A01">
              <w:br w:type="page"/>
              <w:t>the requester that IRC 6103 prohibits disclosure of tax return information in response to a FOIA request and cite FOIA exemption (b)(3).</w:t>
            </w:r>
          </w:p>
          <w:p w14:paraId="3F5FA0B2" w14:textId="77777777" w:rsidR="00C8312C" w:rsidRPr="00757A01" w:rsidRDefault="00C8312C" w:rsidP="00A316B9">
            <w:pPr>
              <w:pStyle w:val="BlockText"/>
            </w:pPr>
          </w:p>
          <w:p w14:paraId="52A4B124" w14:textId="77777777" w:rsidR="00C8312C" w:rsidRPr="00757A01" w:rsidRDefault="00C8312C" w:rsidP="00A316B9">
            <w:pPr>
              <w:pStyle w:val="BlockText"/>
            </w:pPr>
            <w:r w:rsidRPr="00757A01">
              <w:t>The reply also must advise the requester of the right to appeal the withholding of this information to VA General Counsel.  Questions concerning the release of tax return information to anyone other than the taxpayer should be referred to the Regional Counsel.</w:t>
            </w:r>
          </w:p>
        </w:tc>
      </w:tr>
    </w:tbl>
    <w:p w14:paraId="57EC9018" w14:textId="054D6A14" w:rsidR="00D8233C" w:rsidRPr="00757A01" w:rsidRDefault="00193724" w:rsidP="00193724">
      <w:pPr>
        <w:tabs>
          <w:tab w:val="left" w:pos="9360"/>
        </w:tabs>
        <w:ind w:left="1714"/>
      </w:pPr>
      <w:r w:rsidRPr="00757A01">
        <w:rPr>
          <w:u w:val="single"/>
        </w:rPr>
        <w:tab/>
      </w:r>
    </w:p>
    <w:p w14:paraId="05EB2A41" w14:textId="29C0C0CD" w:rsidR="00193724" w:rsidRPr="00757A01" w:rsidRDefault="00193724" w:rsidP="00193724">
      <w:pPr>
        <w:ind w:left="1714"/>
      </w:pPr>
    </w:p>
    <w:tbl>
      <w:tblPr>
        <w:tblW w:w="0" w:type="auto"/>
        <w:tblLayout w:type="fixed"/>
        <w:tblLook w:val="0000" w:firstRow="0" w:lastRow="0" w:firstColumn="0" w:lastColumn="0" w:noHBand="0" w:noVBand="0"/>
      </w:tblPr>
      <w:tblGrid>
        <w:gridCol w:w="1728"/>
        <w:gridCol w:w="7740"/>
      </w:tblGrid>
      <w:tr w:rsidR="00C8312C" w:rsidRPr="00757A01" w14:paraId="45283792" w14:textId="77777777" w:rsidTr="00A316B9">
        <w:trPr>
          <w:cantSplit/>
        </w:trPr>
        <w:tc>
          <w:tcPr>
            <w:tcW w:w="1728" w:type="dxa"/>
          </w:tcPr>
          <w:p w14:paraId="0A55319A" w14:textId="77777777" w:rsidR="00C8312C" w:rsidRPr="00757A01" w:rsidRDefault="00C8312C" w:rsidP="00A316B9">
            <w:pPr>
              <w:pStyle w:val="Heading5"/>
            </w:pPr>
            <w:r w:rsidRPr="00757A01">
              <w:lastRenderedPageBreak/>
              <w:t>c.  Disclosure to POA</w:t>
            </w:r>
          </w:p>
        </w:tc>
        <w:tc>
          <w:tcPr>
            <w:tcW w:w="7740" w:type="dxa"/>
          </w:tcPr>
          <w:p w14:paraId="015C9B65" w14:textId="4B642AFF" w:rsidR="00C8312C" w:rsidRPr="00757A01" w:rsidRDefault="00C8312C" w:rsidP="00A316B9">
            <w:pPr>
              <w:pStyle w:val="BlockText"/>
            </w:pPr>
            <w:r w:rsidRPr="00757A01">
              <w:t>VA may disclose tax return information to an individual or a service organization</w:t>
            </w:r>
            <w:r w:rsidR="00931FED" w:rsidRPr="00757A01">
              <w:t xml:space="preserve"> designated by the individual that the tax information pertains to</w:t>
            </w:r>
            <w:r w:rsidRPr="00757A01">
              <w:t xml:space="preserve">.  For FTI purposes, the assignment of a service organization as power of attorney (POA) is restricted to five years from the date the </w:t>
            </w:r>
            <w:r w:rsidRPr="00757A01">
              <w:rPr>
                <w:i/>
                <w:iCs/>
              </w:rPr>
              <w:t>VA Form 21-22</w:t>
            </w:r>
            <w:r w:rsidRPr="00757A01">
              <w:t xml:space="preserve"> is signed.  If the beneficiary and his/her spouse are both income recipients for the same tax year match, each must execute a separate POA.  </w:t>
            </w:r>
          </w:p>
          <w:p w14:paraId="58C218E1" w14:textId="77777777" w:rsidR="00C8312C" w:rsidRPr="00757A01" w:rsidRDefault="00C8312C" w:rsidP="00A316B9">
            <w:pPr>
              <w:pStyle w:val="BlockText"/>
            </w:pPr>
          </w:p>
          <w:p w14:paraId="29414981" w14:textId="77777777" w:rsidR="00C8312C" w:rsidRPr="00757A01" w:rsidRDefault="00C8312C" w:rsidP="00A316B9">
            <w:pPr>
              <w:pStyle w:val="BlockText"/>
            </w:pPr>
            <w:r w:rsidRPr="00757A01">
              <w:t xml:space="preserve">The individual representative of a Veteran’s service organization need not be a named individual.  It is sufficient that </w:t>
            </w:r>
            <w:r w:rsidRPr="00757A01">
              <w:rPr>
                <w:i/>
                <w:iCs/>
              </w:rPr>
              <w:t>VA Form 21-22</w:t>
            </w:r>
            <w:r w:rsidRPr="00757A01">
              <w:t xml:space="preserve"> contain the job title, for example, “any DAV service officer,” of the service organization representative. </w:t>
            </w:r>
          </w:p>
          <w:p w14:paraId="48ADB008" w14:textId="77777777" w:rsidR="00C8312C" w:rsidRPr="00757A01" w:rsidRDefault="00C8312C" w:rsidP="00A316B9">
            <w:pPr>
              <w:pStyle w:val="BlockText"/>
            </w:pPr>
          </w:p>
          <w:p w14:paraId="4A46F866" w14:textId="77777777" w:rsidR="00C8312C" w:rsidRPr="00757A01" w:rsidRDefault="00C8312C" w:rsidP="00A316B9">
            <w:pPr>
              <w:pStyle w:val="BlockText"/>
            </w:pPr>
            <w:r w:rsidRPr="00757A01">
              <w:rPr>
                <w:b/>
                <w:bCs/>
                <w:i/>
                <w:iCs/>
              </w:rPr>
              <w:t>Note</w:t>
            </w:r>
            <w:r w:rsidRPr="00757A01">
              <w:t xml:space="preserve">:  If a specific person is named on </w:t>
            </w:r>
            <w:r w:rsidRPr="00757A01">
              <w:rPr>
                <w:i/>
                <w:iCs/>
              </w:rPr>
              <w:t>VA Form 21-22</w:t>
            </w:r>
            <w:r w:rsidRPr="00757A01">
              <w:t>, access should be limited to only that individual.</w:t>
            </w:r>
          </w:p>
          <w:p w14:paraId="1FB44490" w14:textId="77777777" w:rsidR="00C8312C" w:rsidRPr="00757A01" w:rsidRDefault="00C8312C" w:rsidP="00A316B9">
            <w:pPr>
              <w:pStyle w:val="BlockText"/>
            </w:pPr>
          </w:p>
          <w:p w14:paraId="61B7042E" w14:textId="26C467D0" w:rsidR="00C8312C" w:rsidRPr="00757A01" w:rsidRDefault="00C8312C" w:rsidP="00223EE5">
            <w:pPr>
              <w:pStyle w:val="BlockText"/>
            </w:pPr>
            <w:r w:rsidRPr="00757A01">
              <w:t xml:space="preserve">If IVM development action appears necessary and the </w:t>
            </w:r>
            <w:r w:rsidR="00223EE5" w:rsidRPr="00757A01">
              <w:t xml:space="preserve">date the </w:t>
            </w:r>
            <w:r w:rsidR="00223EE5" w:rsidRPr="00757A01">
              <w:rPr>
                <w:i/>
              </w:rPr>
              <w:t xml:space="preserve">VA Form     21-22 </w:t>
            </w:r>
            <w:r w:rsidR="00223EE5" w:rsidRPr="00757A01">
              <w:t xml:space="preserve">was signed </w:t>
            </w:r>
            <w:r w:rsidRPr="00757A01">
              <w:t xml:space="preserve">exceeds five years, or will likely be so before the FTI action is completed, then forward the claimant a new </w:t>
            </w:r>
            <w:r w:rsidRPr="00757A01">
              <w:rPr>
                <w:i/>
                <w:iCs/>
              </w:rPr>
              <w:t>VA Form 21-22</w:t>
            </w:r>
            <w:r w:rsidRPr="00757A01">
              <w:t xml:space="preserve"> to complete.</w:t>
            </w:r>
          </w:p>
        </w:tc>
      </w:tr>
    </w:tbl>
    <w:p w14:paraId="57EC901D" w14:textId="79539617" w:rsidR="00D8233C" w:rsidRPr="00757A01" w:rsidRDefault="00746CB3" w:rsidP="00746CB3">
      <w:pPr>
        <w:tabs>
          <w:tab w:val="left" w:pos="9360"/>
        </w:tabs>
        <w:ind w:left="1714"/>
      </w:pPr>
      <w:r w:rsidRPr="00757A01">
        <w:rPr>
          <w:u w:val="single"/>
        </w:rPr>
        <w:tab/>
      </w:r>
    </w:p>
    <w:p w14:paraId="16B1F834" w14:textId="448BA281" w:rsidR="00746CB3" w:rsidRPr="00757A01" w:rsidRDefault="00746CB3" w:rsidP="00746CB3">
      <w:pPr>
        <w:ind w:left="1714"/>
      </w:pPr>
    </w:p>
    <w:tbl>
      <w:tblPr>
        <w:tblW w:w="0" w:type="auto"/>
        <w:tblLayout w:type="fixed"/>
        <w:tblLook w:val="0000" w:firstRow="0" w:lastRow="0" w:firstColumn="0" w:lastColumn="0" w:noHBand="0" w:noVBand="0"/>
      </w:tblPr>
      <w:tblGrid>
        <w:gridCol w:w="1728"/>
        <w:gridCol w:w="7740"/>
      </w:tblGrid>
      <w:tr w:rsidR="00C8312C" w:rsidRPr="00757A01" w14:paraId="1E19004A" w14:textId="77777777" w:rsidTr="00A316B9">
        <w:trPr>
          <w:cantSplit/>
        </w:trPr>
        <w:tc>
          <w:tcPr>
            <w:tcW w:w="1728" w:type="dxa"/>
          </w:tcPr>
          <w:p w14:paraId="2E1B1F53" w14:textId="24357BFD" w:rsidR="00C8312C" w:rsidRPr="00757A01" w:rsidRDefault="00C8312C" w:rsidP="00A316B9">
            <w:pPr>
              <w:pStyle w:val="Heading5"/>
            </w:pPr>
            <w:r w:rsidRPr="00757A01">
              <w:t xml:space="preserve">d.  </w:t>
            </w:r>
            <w:r w:rsidR="00297F2C" w:rsidRPr="00757A01">
              <w:t xml:space="preserve">Prohibition of </w:t>
            </w:r>
            <w:r w:rsidRPr="00757A01">
              <w:t xml:space="preserve">Releasing FTI to a Member of Congress </w:t>
            </w:r>
          </w:p>
        </w:tc>
        <w:tc>
          <w:tcPr>
            <w:tcW w:w="7740" w:type="dxa"/>
          </w:tcPr>
          <w:p w14:paraId="618D72D7" w14:textId="77777777" w:rsidR="00C8312C" w:rsidRPr="00757A01" w:rsidRDefault="00C8312C" w:rsidP="00A316B9">
            <w:pPr>
              <w:pStyle w:val="BlockText"/>
            </w:pPr>
            <w:r w:rsidRPr="00757A01">
              <w:t>Do not release FTI to a Member of Congress.  If a Congressional inquiry is received as a result of a proposal to reduce or terminate benefits or after benefits have been reduced or discontinued, inform the Representative or Senator that</w:t>
            </w:r>
          </w:p>
          <w:p w14:paraId="0A7B8B15" w14:textId="77777777" w:rsidR="00C8312C" w:rsidRPr="00757A01" w:rsidRDefault="00C8312C" w:rsidP="00A316B9">
            <w:pPr>
              <w:pStyle w:val="BlockText"/>
            </w:pPr>
          </w:p>
          <w:p w14:paraId="40936A76" w14:textId="30A42478" w:rsidR="00C8312C" w:rsidRPr="00757A01" w:rsidRDefault="00C8312C" w:rsidP="00C8312C">
            <w:pPr>
              <w:pStyle w:val="BulletText1"/>
              <w:numPr>
                <w:ilvl w:val="0"/>
                <w:numId w:val="96"/>
              </w:numPr>
            </w:pPr>
            <w:r w:rsidRPr="00757A01">
              <w:t>the beneficiary’s benefits have been reduced or discontinued, or VA is proposing to reduce or discontinue benefits because of a change in family income, and</w:t>
            </w:r>
          </w:p>
          <w:p w14:paraId="19493CD5" w14:textId="77777777" w:rsidR="00C8312C" w:rsidRPr="00757A01" w:rsidRDefault="00C8312C" w:rsidP="00C8312C">
            <w:pPr>
              <w:pStyle w:val="BulletText1"/>
              <w:numPr>
                <w:ilvl w:val="0"/>
                <w:numId w:val="96"/>
              </w:numPr>
            </w:pPr>
            <w:r w:rsidRPr="00757A01">
              <w:br w:type="page"/>
              <w:t>IRC 6103 prohibits VA from releasing tax return information, but VA has provided the Veteran or beneficiary with complete information concerning the reduction or termination or the proposed reduction or discontinuance.</w:t>
            </w:r>
          </w:p>
          <w:p w14:paraId="654A5050" w14:textId="77777777" w:rsidR="00470623" w:rsidRPr="00757A01" w:rsidRDefault="00470623" w:rsidP="00D00393">
            <w:pPr>
              <w:pStyle w:val="BulletText1"/>
              <w:numPr>
                <w:ilvl w:val="0"/>
                <w:numId w:val="0"/>
              </w:numPr>
            </w:pPr>
          </w:p>
          <w:p w14:paraId="726815CB" w14:textId="3593C641" w:rsidR="00470623" w:rsidRPr="00757A01" w:rsidRDefault="00470623" w:rsidP="00D00393">
            <w:pPr>
              <w:pStyle w:val="BulletText1"/>
              <w:numPr>
                <w:ilvl w:val="0"/>
                <w:numId w:val="0"/>
              </w:numPr>
            </w:pPr>
            <w:r w:rsidRPr="00757A01">
              <w:rPr>
                <w:b/>
                <w:i/>
              </w:rPr>
              <w:t>Note</w:t>
            </w:r>
            <w:r w:rsidRPr="00757A01">
              <w:t>:  The exact amount of reduction may be furnished.</w:t>
            </w:r>
          </w:p>
        </w:tc>
      </w:tr>
    </w:tbl>
    <w:p w14:paraId="57EC901E" w14:textId="3C522D38" w:rsidR="00D8233C" w:rsidRPr="00757A01" w:rsidRDefault="00746CB3" w:rsidP="00746CB3">
      <w:pPr>
        <w:tabs>
          <w:tab w:val="left" w:pos="9360"/>
        </w:tabs>
        <w:ind w:left="1714"/>
      </w:pPr>
      <w:r w:rsidRPr="00757A01">
        <w:rPr>
          <w:u w:val="single"/>
        </w:rPr>
        <w:tab/>
      </w:r>
    </w:p>
    <w:p w14:paraId="379D88DF" w14:textId="3198B073" w:rsidR="00746CB3" w:rsidRPr="00757A01" w:rsidRDefault="00746CB3" w:rsidP="00746CB3">
      <w:pPr>
        <w:ind w:left="1714"/>
      </w:pPr>
    </w:p>
    <w:tbl>
      <w:tblPr>
        <w:tblW w:w="0" w:type="auto"/>
        <w:tblLayout w:type="fixed"/>
        <w:tblLook w:val="0000" w:firstRow="0" w:lastRow="0" w:firstColumn="0" w:lastColumn="0" w:noHBand="0" w:noVBand="0"/>
      </w:tblPr>
      <w:tblGrid>
        <w:gridCol w:w="1728"/>
        <w:gridCol w:w="7740"/>
      </w:tblGrid>
      <w:tr w:rsidR="00C8312C" w:rsidRPr="00757A01" w14:paraId="07A87190" w14:textId="77777777" w:rsidTr="00A316B9">
        <w:trPr>
          <w:cantSplit/>
        </w:trPr>
        <w:tc>
          <w:tcPr>
            <w:tcW w:w="1728" w:type="dxa"/>
          </w:tcPr>
          <w:p w14:paraId="73A0F2FB" w14:textId="77777777" w:rsidR="00C8312C" w:rsidRPr="00757A01" w:rsidRDefault="00C8312C" w:rsidP="00A316B9">
            <w:pPr>
              <w:pStyle w:val="Heading5"/>
            </w:pPr>
            <w:r w:rsidRPr="00757A01">
              <w:t>e.  Releasing Non-FTI</w:t>
            </w:r>
          </w:p>
        </w:tc>
        <w:tc>
          <w:tcPr>
            <w:tcW w:w="7740" w:type="dxa"/>
          </w:tcPr>
          <w:p w14:paraId="00968179" w14:textId="4372012C" w:rsidR="00C8312C" w:rsidRPr="00757A01" w:rsidRDefault="00C8312C" w:rsidP="00A316B9">
            <w:pPr>
              <w:pStyle w:val="BlockText"/>
            </w:pPr>
            <w:r w:rsidRPr="00757A01">
              <w:t>Information which is not FTI, including income information provided to VA by an income payer</w:t>
            </w:r>
            <w:r w:rsidR="008026D2" w:rsidRPr="00757A01">
              <w:t xml:space="preserve"> including copies of W-2s or IRS Form 1040s filed with the IRS</w:t>
            </w:r>
            <w:r w:rsidRPr="00757A01">
              <w:t>, may be released to a Member of Congress only when the Member seeks the</w:t>
            </w:r>
          </w:p>
          <w:p w14:paraId="28F19CDB" w14:textId="77777777" w:rsidR="00C8312C" w:rsidRPr="00757A01" w:rsidRDefault="00C8312C" w:rsidP="00A316B9">
            <w:pPr>
              <w:pStyle w:val="BlockText"/>
            </w:pPr>
          </w:p>
          <w:p w14:paraId="581B433E" w14:textId="77777777" w:rsidR="00C8312C" w:rsidRPr="00757A01" w:rsidRDefault="00C8312C" w:rsidP="00C8312C">
            <w:pPr>
              <w:pStyle w:val="BulletText1"/>
              <w:numPr>
                <w:ilvl w:val="0"/>
                <w:numId w:val="96"/>
              </w:numPr>
            </w:pPr>
            <w:r w:rsidRPr="00757A01">
              <w:t>information at the request of the beneficiary or someone authorized to exercise the beneficiary’s access right under these statutes, or</w:t>
            </w:r>
          </w:p>
          <w:p w14:paraId="28EF8405" w14:textId="77777777" w:rsidR="00C8312C" w:rsidRPr="00757A01" w:rsidRDefault="00C8312C" w:rsidP="00C8312C">
            <w:pPr>
              <w:pStyle w:val="BulletText1"/>
              <w:numPr>
                <w:ilvl w:val="0"/>
                <w:numId w:val="96"/>
              </w:numPr>
            </w:pPr>
            <w:r w:rsidRPr="00757A01">
              <w:t>records on behalf of a Congressional committee with VA oversight jurisdiction for committee business.</w:t>
            </w:r>
          </w:p>
        </w:tc>
      </w:tr>
    </w:tbl>
    <w:p w14:paraId="57EC901F" w14:textId="41ED8463" w:rsidR="00D8233C" w:rsidRPr="00757A01" w:rsidRDefault="00746CB3" w:rsidP="00746CB3">
      <w:pPr>
        <w:tabs>
          <w:tab w:val="left" w:pos="9360"/>
        </w:tabs>
        <w:ind w:left="1714"/>
      </w:pPr>
      <w:r w:rsidRPr="00757A01">
        <w:rPr>
          <w:u w:val="single"/>
        </w:rPr>
        <w:tab/>
      </w:r>
    </w:p>
    <w:p w14:paraId="72BE0D98" w14:textId="77777777" w:rsidR="00746CB3" w:rsidRPr="00757A01" w:rsidRDefault="00746CB3" w:rsidP="00193724"/>
    <w:p w14:paraId="1A6F7CD6" w14:textId="77777777" w:rsidR="00EF53FC" w:rsidRPr="00757A01" w:rsidRDefault="00EF53FC" w:rsidP="00EF53FC">
      <w:pPr>
        <w:tabs>
          <w:tab w:val="left" w:pos="9360"/>
        </w:tabs>
        <w:ind w:left="1714"/>
      </w:pPr>
      <w:r w:rsidRPr="00757A01">
        <w:rPr>
          <w:u w:val="single"/>
        </w:rPr>
        <w:lastRenderedPageBreak/>
        <w:tab/>
      </w:r>
    </w:p>
    <w:p w14:paraId="4214E2C0" w14:textId="77777777" w:rsidR="00EF53FC" w:rsidRPr="00757A01" w:rsidRDefault="00EF53FC" w:rsidP="00EF53FC">
      <w:pPr>
        <w:ind w:left="1714"/>
      </w:pPr>
    </w:p>
    <w:tbl>
      <w:tblPr>
        <w:tblW w:w="0" w:type="auto"/>
        <w:tblLayout w:type="fixed"/>
        <w:tblLook w:val="0000" w:firstRow="0" w:lastRow="0" w:firstColumn="0" w:lastColumn="0" w:noHBand="0" w:noVBand="0"/>
      </w:tblPr>
      <w:tblGrid>
        <w:gridCol w:w="1728"/>
        <w:gridCol w:w="7740"/>
      </w:tblGrid>
      <w:tr w:rsidR="00EF53FC" w:rsidRPr="00757A01" w14:paraId="5CEB7ABA" w14:textId="77777777" w:rsidTr="00EF53FC">
        <w:trPr>
          <w:cantSplit/>
        </w:trPr>
        <w:tc>
          <w:tcPr>
            <w:tcW w:w="1728" w:type="dxa"/>
          </w:tcPr>
          <w:p w14:paraId="364BC4C1" w14:textId="76E1F0D9" w:rsidR="00EF53FC" w:rsidRPr="00757A01" w:rsidRDefault="00EF53FC" w:rsidP="00EF53FC">
            <w:pPr>
              <w:pStyle w:val="Heading5"/>
            </w:pPr>
            <w:r w:rsidRPr="00757A01">
              <w:t>f.  Committee on Waivers decisions</w:t>
            </w:r>
            <w:r w:rsidRPr="00757A01">
              <w:rPr>
                <w:rStyle w:val="CommentReference"/>
                <w:b w:val="0"/>
                <w:color w:val="000000"/>
                <w:szCs w:val="24"/>
              </w:rPr>
              <w:t xml:space="preserve"> </w:t>
            </w:r>
          </w:p>
        </w:tc>
        <w:tc>
          <w:tcPr>
            <w:tcW w:w="7740" w:type="dxa"/>
          </w:tcPr>
          <w:p w14:paraId="6DCFEE07" w14:textId="28CC00C2" w:rsidR="00EF53FC" w:rsidRPr="00757A01" w:rsidRDefault="00EF53FC" w:rsidP="00EF53FC">
            <w:pPr>
              <w:pStyle w:val="BulletText1"/>
              <w:numPr>
                <w:ilvl w:val="0"/>
                <w:numId w:val="0"/>
              </w:numPr>
            </w:pPr>
            <w:r w:rsidRPr="00757A01">
              <w:t>Copies of Committee on Waivers decisions, including relevant tax return information, may be referred to the Debt Management Center (DMC).</w:t>
            </w:r>
          </w:p>
        </w:tc>
      </w:tr>
    </w:tbl>
    <w:p w14:paraId="50D018E5" w14:textId="77777777" w:rsidR="00EF53FC" w:rsidRPr="00757A01" w:rsidRDefault="00EF53FC" w:rsidP="00EF53FC">
      <w:pPr>
        <w:tabs>
          <w:tab w:val="left" w:pos="9360"/>
        </w:tabs>
        <w:ind w:left="1714"/>
      </w:pPr>
      <w:r w:rsidRPr="00757A01">
        <w:rPr>
          <w:u w:val="single"/>
        </w:rPr>
        <w:tab/>
      </w:r>
    </w:p>
    <w:p w14:paraId="5A57F589" w14:textId="77777777" w:rsidR="00EF53FC" w:rsidRPr="00757A01" w:rsidRDefault="00EF53FC" w:rsidP="00EF53FC">
      <w:pPr>
        <w:ind w:left="1714"/>
      </w:pPr>
    </w:p>
    <w:p w14:paraId="78379515" w14:textId="77777777" w:rsidR="00EF53FC" w:rsidRPr="00757A01" w:rsidRDefault="00EF53FC" w:rsidP="00D8233C">
      <w:pPr>
        <w:pStyle w:val="Heading4"/>
      </w:pPr>
    </w:p>
    <w:p w14:paraId="6E695CE6" w14:textId="77777777" w:rsidR="00EF53FC" w:rsidRPr="00757A01" w:rsidRDefault="00EF53FC">
      <w:pPr>
        <w:spacing w:after="200" w:line="276" w:lineRule="auto"/>
        <w:rPr>
          <w:rFonts w:ascii="Arial" w:hAnsi="Arial"/>
          <w:b/>
          <w:sz w:val="32"/>
          <w:szCs w:val="20"/>
        </w:rPr>
      </w:pPr>
      <w:r w:rsidRPr="00757A01">
        <w:br w:type="page"/>
      </w:r>
    </w:p>
    <w:p w14:paraId="57EC9075" w14:textId="075F4F14" w:rsidR="00D8233C" w:rsidRPr="00757A01" w:rsidRDefault="00C34731" w:rsidP="00D8233C">
      <w:pPr>
        <w:pStyle w:val="Heading4"/>
      </w:pPr>
      <w:r w:rsidRPr="00757A01">
        <w:lastRenderedPageBreak/>
        <w:t>4</w:t>
      </w:r>
      <w:r w:rsidR="00D8233C" w:rsidRPr="00757A01">
        <w:t>.  Limitation on Fiduciary Contact</w:t>
      </w:r>
    </w:p>
    <w:p w14:paraId="57EC9076" w14:textId="77777777" w:rsidR="00D8233C" w:rsidRPr="00757A01" w:rsidRDefault="00D8233C" w:rsidP="00D8233C">
      <w:pPr>
        <w:pStyle w:val="BlockLine"/>
      </w:pPr>
    </w:p>
    <w:tbl>
      <w:tblPr>
        <w:tblW w:w="0" w:type="auto"/>
        <w:tblLayout w:type="fixed"/>
        <w:tblLook w:val="0000" w:firstRow="0" w:lastRow="0" w:firstColumn="0" w:lastColumn="0" w:noHBand="0" w:noVBand="0"/>
      </w:tblPr>
      <w:tblGrid>
        <w:gridCol w:w="1728"/>
        <w:gridCol w:w="7740"/>
      </w:tblGrid>
      <w:tr w:rsidR="00D8233C" w:rsidRPr="00757A01" w14:paraId="57EC907F" w14:textId="77777777" w:rsidTr="00DD386E">
        <w:trPr>
          <w:cantSplit/>
        </w:trPr>
        <w:tc>
          <w:tcPr>
            <w:tcW w:w="1728" w:type="dxa"/>
          </w:tcPr>
          <w:p w14:paraId="57EC9077" w14:textId="77777777" w:rsidR="00D8233C" w:rsidRPr="00757A01" w:rsidRDefault="00D8233C" w:rsidP="00DD386E">
            <w:pPr>
              <w:pStyle w:val="Heading5"/>
            </w:pPr>
            <w:r w:rsidRPr="00757A01">
              <w:t>Introduction</w:t>
            </w:r>
          </w:p>
        </w:tc>
        <w:tc>
          <w:tcPr>
            <w:tcW w:w="7740" w:type="dxa"/>
          </w:tcPr>
          <w:p w14:paraId="57EC9078" w14:textId="77777777" w:rsidR="00D8233C" w:rsidRPr="00757A01" w:rsidRDefault="00D8233C" w:rsidP="00DD386E">
            <w:pPr>
              <w:pStyle w:val="BlockText"/>
            </w:pPr>
            <w:r w:rsidRPr="00757A01">
              <w:t>This topic contains information on limitations on fiduciary contact, including</w:t>
            </w:r>
          </w:p>
          <w:p w14:paraId="57EC9079" w14:textId="77777777" w:rsidR="00D8233C" w:rsidRPr="00757A01" w:rsidRDefault="00D8233C" w:rsidP="00DD386E">
            <w:pPr>
              <w:pStyle w:val="BlockText"/>
            </w:pPr>
          </w:p>
          <w:p w14:paraId="57EC907A" w14:textId="77777777" w:rsidR="00D8233C" w:rsidRPr="00757A01" w:rsidRDefault="00D8233C" w:rsidP="002D6C54">
            <w:pPr>
              <w:pStyle w:val="ListParagraph"/>
              <w:numPr>
                <w:ilvl w:val="0"/>
                <w:numId w:val="57"/>
              </w:numPr>
              <w:ind w:left="158" w:hanging="187"/>
            </w:pPr>
            <w:r w:rsidRPr="00757A01">
              <w:t>IRS limits on the Department of Veterans Affairs (VA)</w:t>
            </w:r>
          </w:p>
          <w:p w14:paraId="57EC907B" w14:textId="77777777" w:rsidR="00D8233C" w:rsidRPr="00757A01" w:rsidRDefault="00D8233C" w:rsidP="002D6C54">
            <w:pPr>
              <w:pStyle w:val="ListParagraph"/>
              <w:numPr>
                <w:ilvl w:val="0"/>
                <w:numId w:val="58"/>
              </w:numPr>
              <w:ind w:left="158" w:hanging="187"/>
            </w:pPr>
            <w:r w:rsidRPr="00757A01">
              <w:t>worksheets</w:t>
            </w:r>
          </w:p>
          <w:p w14:paraId="57EC907C" w14:textId="77777777" w:rsidR="00D8233C" w:rsidRPr="00757A01" w:rsidRDefault="00D8233C" w:rsidP="002D6C54">
            <w:pPr>
              <w:pStyle w:val="ListParagraph"/>
              <w:numPr>
                <w:ilvl w:val="0"/>
                <w:numId w:val="59"/>
              </w:numPr>
              <w:ind w:left="158" w:hanging="187"/>
            </w:pPr>
            <w:r w:rsidRPr="00757A01">
              <w:t>a court-appointed guardian</w:t>
            </w:r>
          </w:p>
          <w:p w14:paraId="57EC907D" w14:textId="77777777" w:rsidR="00D8233C" w:rsidRPr="00757A01" w:rsidRDefault="00D8233C" w:rsidP="002D6C54">
            <w:pPr>
              <w:pStyle w:val="ListParagraph"/>
              <w:numPr>
                <w:ilvl w:val="0"/>
                <w:numId w:val="60"/>
              </w:numPr>
              <w:ind w:left="158" w:hanging="187"/>
            </w:pPr>
            <w:r w:rsidRPr="00757A01">
              <w:t>when the payee is a Federal fiduciary, and</w:t>
            </w:r>
          </w:p>
          <w:p w14:paraId="57EC907E" w14:textId="77777777" w:rsidR="00D8233C" w:rsidRPr="00757A01" w:rsidRDefault="00D8233C" w:rsidP="002D6C54">
            <w:pPr>
              <w:pStyle w:val="ListParagraph"/>
              <w:numPr>
                <w:ilvl w:val="0"/>
                <w:numId w:val="61"/>
              </w:numPr>
              <w:ind w:left="158" w:hanging="187"/>
            </w:pPr>
            <w:r w:rsidRPr="00757A01">
              <w:t>VA fiduciary underreported income.</w:t>
            </w:r>
          </w:p>
        </w:tc>
      </w:tr>
    </w:tbl>
    <w:p w14:paraId="57EC9080" w14:textId="77777777" w:rsidR="00D8233C" w:rsidRPr="00757A01" w:rsidRDefault="00D8233C" w:rsidP="00D8233C">
      <w:pPr>
        <w:pStyle w:val="BlockLine"/>
      </w:pPr>
    </w:p>
    <w:tbl>
      <w:tblPr>
        <w:tblW w:w="0" w:type="auto"/>
        <w:tblLayout w:type="fixed"/>
        <w:tblLook w:val="0000" w:firstRow="0" w:lastRow="0" w:firstColumn="0" w:lastColumn="0" w:noHBand="0" w:noVBand="0"/>
      </w:tblPr>
      <w:tblGrid>
        <w:gridCol w:w="1728"/>
        <w:gridCol w:w="7740"/>
      </w:tblGrid>
      <w:tr w:rsidR="00D8233C" w:rsidRPr="00757A01" w14:paraId="57EC9083" w14:textId="77777777" w:rsidTr="00DD386E">
        <w:trPr>
          <w:cantSplit/>
        </w:trPr>
        <w:tc>
          <w:tcPr>
            <w:tcW w:w="1728" w:type="dxa"/>
          </w:tcPr>
          <w:p w14:paraId="57EC9081" w14:textId="77777777" w:rsidR="00D8233C" w:rsidRPr="00757A01" w:rsidRDefault="00D8233C" w:rsidP="00DD386E">
            <w:pPr>
              <w:pStyle w:val="Heading5"/>
            </w:pPr>
            <w:r w:rsidRPr="00757A01">
              <w:t>Change Date</w:t>
            </w:r>
          </w:p>
        </w:tc>
        <w:tc>
          <w:tcPr>
            <w:tcW w:w="7740" w:type="dxa"/>
          </w:tcPr>
          <w:p w14:paraId="57EC9082" w14:textId="689C40BD" w:rsidR="00D8233C" w:rsidRPr="00757A01" w:rsidRDefault="00754C6D" w:rsidP="00DD386E">
            <w:pPr>
              <w:pStyle w:val="BlockText"/>
            </w:pPr>
            <w:r>
              <w:t>March 30, 2015</w:t>
            </w:r>
          </w:p>
        </w:tc>
      </w:tr>
    </w:tbl>
    <w:p w14:paraId="57EC9084" w14:textId="77777777" w:rsidR="00D8233C" w:rsidRPr="00757A01" w:rsidRDefault="00D8233C" w:rsidP="00D8233C">
      <w:pPr>
        <w:pStyle w:val="BlockLine"/>
      </w:pPr>
    </w:p>
    <w:tbl>
      <w:tblPr>
        <w:tblW w:w="0" w:type="auto"/>
        <w:tblLayout w:type="fixed"/>
        <w:tblLook w:val="0000" w:firstRow="0" w:lastRow="0" w:firstColumn="0" w:lastColumn="0" w:noHBand="0" w:noVBand="0"/>
      </w:tblPr>
      <w:tblGrid>
        <w:gridCol w:w="1728"/>
        <w:gridCol w:w="7740"/>
      </w:tblGrid>
      <w:tr w:rsidR="00C8312C" w:rsidRPr="00757A01" w14:paraId="44D23E24" w14:textId="77777777" w:rsidTr="00A316B9">
        <w:trPr>
          <w:cantSplit/>
        </w:trPr>
        <w:tc>
          <w:tcPr>
            <w:tcW w:w="1728" w:type="dxa"/>
          </w:tcPr>
          <w:p w14:paraId="0ACB6D89" w14:textId="77777777" w:rsidR="00C8312C" w:rsidRPr="00757A01" w:rsidRDefault="00C8312C" w:rsidP="00A316B9">
            <w:pPr>
              <w:pStyle w:val="Heading5"/>
            </w:pPr>
            <w:r w:rsidRPr="00757A01">
              <w:t>a.  IRS Limits on VA</w:t>
            </w:r>
          </w:p>
        </w:tc>
        <w:tc>
          <w:tcPr>
            <w:tcW w:w="7740" w:type="dxa"/>
          </w:tcPr>
          <w:p w14:paraId="3935E208" w14:textId="77777777" w:rsidR="00C8312C" w:rsidRPr="00757A01" w:rsidRDefault="00C8312C" w:rsidP="00A316B9">
            <w:pPr>
              <w:pStyle w:val="BlockText"/>
            </w:pPr>
            <w:r w:rsidRPr="00757A01">
              <w:t>IRS regulations do not permit VA to contact a fiduciary for verification of  FTI unless the fiduciary is a court-appointed guardian.  If the corporate record shows the beneficiary is incompetent and not being paid directly, send verification letters to the beneficiary and or beneficiary’s spouse (the person the FTI was received on).</w:t>
            </w:r>
          </w:p>
          <w:p w14:paraId="632D2EC3" w14:textId="77777777" w:rsidR="00C8312C" w:rsidRPr="00757A01" w:rsidRDefault="00C8312C" w:rsidP="00A316B9">
            <w:pPr>
              <w:pStyle w:val="BlockText"/>
            </w:pPr>
          </w:p>
          <w:p w14:paraId="5767D138" w14:textId="77777777" w:rsidR="00C8312C" w:rsidRPr="00757A01" w:rsidRDefault="00C8312C" w:rsidP="00A316B9">
            <w:pPr>
              <w:pStyle w:val="BlockText"/>
            </w:pPr>
            <w:r w:rsidRPr="00757A01">
              <w:rPr>
                <w:b/>
                <w:i/>
              </w:rPr>
              <w:t>Important</w:t>
            </w:r>
            <w:r w:rsidRPr="00757A01">
              <w:rPr>
                <w:b/>
              </w:rPr>
              <w:t>:</w:t>
            </w:r>
            <w:r w:rsidRPr="00757A01">
              <w:t xml:space="preserve">  Coordination will be required with fiduciary hubs to obtain the beneficiary’s mailing address as it may differ from the fiduciary address.</w:t>
            </w:r>
          </w:p>
        </w:tc>
      </w:tr>
    </w:tbl>
    <w:p w14:paraId="4FB43A46" w14:textId="3FE799E8" w:rsidR="00C8312C" w:rsidRPr="00757A01" w:rsidRDefault="00193724" w:rsidP="00193724">
      <w:pPr>
        <w:tabs>
          <w:tab w:val="left" w:pos="9360"/>
        </w:tabs>
        <w:ind w:left="1714"/>
      </w:pPr>
      <w:r w:rsidRPr="00757A01">
        <w:rPr>
          <w:u w:val="single"/>
        </w:rPr>
        <w:tab/>
      </w:r>
    </w:p>
    <w:p w14:paraId="06D09B5C" w14:textId="77777777" w:rsidR="00193724" w:rsidRPr="00757A01" w:rsidRDefault="00193724"/>
    <w:tbl>
      <w:tblPr>
        <w:tblW w:w="0" w:type="auto"/>
        <w:tblLayout w:type="fixed"/>
        <w:tblLook w:val="0000" w:firstRow="0" w:lastRow="0" w:firstColumn="0" w:lastColumn="0" w:noHBand="0" w:noVBand="0"/>
      </w:tblPr>
      <w:tblGrid>
        <w:gridCol w:w="1728"/>
        <w:gridCol w:w="7740"/>
      </w:tblGrid>
      <w:tr w:rsidR="00C8312C" w:rsidRPr="00757A01" w14:paraId="7F75EB15" w14:textId="77777777" w:rsidTr="00A316B9">
        <w:trPr>
          <w:cantSplit/>
        </w:trPr>
        <w:tc>
          <w:tcPr>
            <w:tcW w:w="1728" w:type="dxa"/>
          </w:tcPr>
          <w:p w14:paraId="528C7C48" w14:textId="77777777" w:rsidR="00C8312C" w:rsidRPr="00757A01" w:rsidRDefault="00C8312C" w:rsidP="00A316B9">
            <w:pPr>
              <w:pStyle w:val="Heading5"/>
            </w:pPr>
            <w:r w:rsidRPr="00757A01">
              <w:t>b.  Worksheets</w:t>
            </w:r>
          </w:p>
        </w:tc>
        <w:tc>
          <w:tcPr>
            <w:tcW w:w="7740" w:type="dxa"/>
          </w:tcPr>
          <w:p w14:paraId="7288A6DA" w14:textId="345FA343" w:rsidR="00C8312C" w:rsidRPr="00757A01" w:rsidRDefault="006E7893" w:rsidP="006E7893">
            <w:pPr>
              <w:pStyle w:val="BlockText"/>
            </w:pPr>
            <w:r w:rsidRPr="00757A01">
              <w:t>Prior to FY 2015, w</w:t>
            </w:r>
            <w:r w:rsidR="00C8312C" w:rsidRPr="00757A01">
              <w:t>orksheets</w:t>
            </w:r>
            <w:r w:rsidRPr="00757A01">
              <w:t xml:space="preserve"> </w:t>
            </w:r>
            <w:r w:rsidR="00C8312C" w:rsidRPr="00757A01">
              <w:t xml:space="preserve">for fiduciary cases </w:t>
            </w:r>
            <w:r w:rsidRPr="00757A01">
              <w:t>were</w:t>
            </w:r>
            <w:r w:rsidR="00C8312C" w:rsidRPr="00757A01">
              <w:t xml:space="preserve"> sent separately to the PMCs with a transmittal stating that the referrals </w:t>
            </w:r>
            <w:r w:rsidRPr="00757A01">
              <w:t>were</w:t>
            </w:r>
            <w:r w:rsidR="00C8312C" w:rsidRPr="00757A01">
              <w:t xml:space="preserve"> fiduciary cases.  These cases must be reviewed to determine which have court-appointed guardians.</w:t>
            </w:r>
          </w:p>
        </w:tc>
      </w:tr>
    </w:tbl>
    <w:p w14:paraId="10E98815" w14:textId="014A12C1" w:rsidR="00C8312C" w:rsidRPr="00757A01" w:rsidRDefault="00193724" w:rsidP="00193724">
      <w:pPr>
        <w:tabs>
          <w:tab w:val="left" w:pos="9360"/>
        </w:tabs>
        <w:ind w:left="1714"/>
      </w:pPr>
      <w:r w:rsidRPr="00757A01">
        <w:rPr>
          <w:u w:val="single"/>
        </w:rPr>
        <w:tab/>
      </w:r>
    </w:p>
    <w:p w14:paraId="17D92857" w14:textId="77777777" w:rsidR="00193724" w:rsidRPr="00757A01" w:rsidRDefault="00193724"/>
    <w:tbl>
      <w:tblPr>
        <w:tblW w:w="0" w:type="auto"/>
        <w:tblLayout w:type="fixed"/>
        <w:tblLook w:val="0000" w:firstRow="0" w:lastRow="0" w:firstColumn="0" w:lastColumn="0" w:noHBand="0" w:noVBand="0"/>
      </w:tblPr>
      <w:tblGrid>
        <w:gridCol w:w="1728"/>
        <w:gridCol w:w="7740"/>
      </w:tblGrid>
      <w:tr w:rsidR="00C8312C" w:rsidRPr="00757A01" w14:paraId="7DE5FA57" w14:textId="77777777" w:rsidTr="00A316B9">
        <w:trPr>
          <w:cantSplit/>
        </w:trPr>
        <w:tc>
          <w:tcPr>
            <w:tcW w:w="1728" w:type="dxa"/>
          </w:tcPr>
          <w:p w14:paraId="051EBD14" w14:textId="77777777" w:rsidR="00C8312C" w:rsidRPr="00757A01" w:rsidRDefault="00C8312C" w:rsidP="00A316B9">
            <w:pPr>
              <w:pStyle w:val="Heading5"/>
            </w:pPr>
            <w:r w:rsidRPr="00757A01">
              <w:t>c.  Court-Appointed Guardian</w:t>
            </w:r>
          </w:p>
        </w:tc>
        <w:tc>
          <w:tcPr>
            <w:tcW w:w="7740" w:type="dxa"/>
          </w:tcPr>
          <w:p w14:paraId="07485B5F" w14:textId="77777777" w:rsidR="00C8312C" w:rsidRPr="00757A01" w:rsidRDefault="00C8312C" w:rsidP="00A316B9">
            <w:pPr>
              <w:pStyle w:val="BlockText"/>
            </w:pPr>
            <w:r w:rsidRPr="00757A01">
              <w:t>If there is a court-appointed guardian, ask the guardian to verify the information on the worksheet.  Allow 60 days for a response.</w:t>
            </w:r>
          </w:p>
        </w:tc>
      </w:tr>
    </w:tbl>
    <w:p w14:paraId="6A1644B3" w14:textId="62A5D147" w:rsidR="00C8312C" w:rsidRPr="00757A01" w:rsidRDefault="00193724" w:rsidP="00193724">
      <w:pPr>
        <w:tabs>
          <w:tab w:val="left" w:pos="9360"/>
        </w:tabs>
        <w:ind w:left="1714"/>
      </w:pPr>
      <w:r w:rsidRPr="00757A01">
        <w:rPr>
          <w:u w:val="single"/>
        </w:rPr>
        <w:tab/>
      </w:r>
    </w:p>
    <w:p w14:paraId="13ED6BA5" w14:textId="77777777" w:rsidR="00193724" w:rsidRPr="00757A01" w:rsidRDefault="00193724"/>
    <w:tbl>
      <w:tblPr>
        <w:tblW w:w="0" w:type="auto"/>
        <w:tblLayout w:type="fixed"/>
        <w:tblLook w:val="0000" w:firstRow="0" w:lastRow="0" w:firstColumn="0" w:lastColumn="0" w:noHBand="0" w:noVBand="0"/>
      </w:tblPr>
      <w:tblGrid>
        <w:gridCol w:w="1728"/>
        <w:gridCol w:w="7740"/>
      </w:tblGrid>
      <w:tr w:rsidR="00C8312C" w:rsidRPr="00757A01" w14:paraId="0E73AF79" w14:textId="77777777" w:rsidTr="00A316B9">
        <w:trPr>
          <w:cantSplit/>
        </w:trPr>
        <w:tc>
          <w:tcPr>
            <w:tcW w:w="1728" w:type="dxa"/>
          </w:tcPr>
          <w:p w14:paraId="6DDFFD50" w14:textId="77777777" w:rsidR="00C8312C" w:rsidRPr="00757A01" w:rsidRDefault="00C8312C" w:rsidP="00A316B9">
            <w:pPr>
              <w:pStyle w:val="Heading5"/>
            </w:pPr>
            <w:r w:rsidRPr="00757A01">
              <w:t xml:space="preserve">d.  When the Payee Is a Federal Fiduciary </w:t>
            </w:r>
          </w:p>
        </w:tc>
        <w:tc>
          <w:tcPr>
            <w:tcW w:w="7740" w:type="dxa"/>
          </w:tcPr>
          <w:p w14:paraId="4505E6CA" w14:textId="77777777" w:rsidR="00C8312C" w:rsidRPr="00757A01" w:rsidRDefault="00C8312C" w:rsidP="00A316B9">
            <w:pPr>
              <w:pStyle w:val="BlockText"/>
            </w:pPr>
            <w:r w:rsidRPr="00757A01">
              <w:t>If the payee is a Federal fiduciary who is appointed by VA only, ask the income recipient to verify the information on the worksheet.</w:t>
            </w:r>
          </w:p>
        </w:tc>
      </w:tr>
    </w:tbl>
    <w:p w14:paraId="1302AF63" w14:textId="49A746E5" w:rsidR="00C8312C" w:rsidRPr="00757A01" w:rsidRDefault="00193724" w:rsidP="00193724">
      <w:pPr>
        <w:tabs>
          <w:tab w:val="left" w:pos="9360"/>
        </w:tabs>
        <w:ind w:left="1714"/>
      </w:pPr>
      <w:r w:rsidRPr="00757A01">
        <w:rPr>
          <w:u w:val="single"/>
        </w:rPr>
        <w:tab/>
      </w:r>
    </w:p>
    <w:p w14:paraId="315798A8" w14:textId="08883A3A" w:rsidR="00193724" w:rsidRPr="00757A01" w:rsidRDefault="00193724" w:rsidP="00193724">
      <w:pPr>
        <w:ind w:left="1714"/>
      </w:pPr>
    </w:p>
    <w:tbl>
      <w:tblPr>
        <w:tblW w:w="0" w:type="auto"/>
        <w:tblLayout w:type="fixed"/>
        <w:tblLook w:val="0000" w:firstRow="0" w:lastRow="0" w:firstColumn="0" w:lastColumn="0" w:noHBand="0" w:noVBand="0"/>
      </w:tblPr>
      <w:tblGrid>
        <w:gridCol w:w="1720"/>
        <w:gridCol w:w="7748"/>
      </w:tblGrid>
      <w:tr w:rsidR="00C8312C" w:rsidRPr="00757A01" w14:paraId="2C68B7C6" w14:textId="77777777" w:rsidTr="00A316B9">
        <w:tc>
          <w:tcPr>
            <w:tcW w:w="1720" w:type="dxa"/>
            <w:shd w:val="clear" w:color="auto" w:fill="auto"/>
          </w:tcPr>
          <w:p w14:paraId="45383DC6" w14:textId="77777777" w:rsidR="00C8312C" w:rsidRPr="00757A01" w:rsidRDefault="00C8312C" w:rsidP="00A316B9">
            <w:pPr>
              <w:pStyle w:val="Heading5"/>
            </w:pPr>
            <w:r w:rsidRPr="00757A01">
              <w:t>e.  VA Fiduciary Underreported Income</w:t>
            </w:r>
          </w:p>
        </w:tc>
        <w:tc>
          <w:tcPr>
            <w:tcW w:w="7748" w:type="dxa"/>
            <w:shd w:val="clear" w:color="auto" w:fill="auto"/>
          </w:tcPr>
          <w:p w14:paraId="19A6BB36" w14:textId="77777777" w:rsidR="00C8312C" w:rsidRPr="00757A01" w:rsidRDefault="00C8312C" w:rsidP="00A316B9">
            <w:pPr>
              <w:pStyle w:val="BlockText"/>
            </w:pPr>
            <w:r w:rsidRPr="00757A01">
              <w:t>If it is determined that a VA fiduciary underreported income, notify the fiduciary activity at the time of reduction or discontinuance.</w:t>
            </w:r>
          </w:p>
        </w:tc>
      </w:tr>
    </w:tbl>
    <w:p w14:paraId="071F7181" w14:textId="77777777" w:rsidR="00C8312C" w:rsidRPr="00757A01" w:rsidRDefault="00C8312C" w:rsidP="002D6C54"/>
    <w:p w14:paraId="5C520C59" w14:textId="77777777" w:rsidR="00C8312C" w:rsidRPr="00757A01" w:rsidRDefault="00C8312C" w:rsidP="002D6C54"/>
    <w:p w14:paraId="57EC909D" w14:textId="05F9E3BF" w:rsidR="00D8233C" w:rsidRPr="00757A01" w:rsidRDefault="00C34731" w:rsidP="00D8233C">
      <w:pPr>
        <w:pStyle w:val="Heading4"/>
      </w:pPr>
      <w:r w:rsidRPr="00757A01">
        <w:lastRenderedPageBreak/>
        <w:t>5</w:t>
      </w:r>
      <w:r w:rsidR="00D8233C" w:rsidRPr="00757A01">
        <w:t>.  Internal Inspection</w:t>
      </w:r>
      <w:r w:rsidR="00335719" w:rsidRPr="00757A01">
        <w:t>s</w:t>
      </w:r>
      <w:r w:rsidR="00D8233C" w:rsidRPr="00757A01">
        <w:t xml:space="preserve"> Report</w:t>
      </w:r>
    </w:p>
    <w:p w14:paraId="57EC909E" w14:textId="77777777" w:rsidR="00D8233C" w:rsidRPr="00757A01" w:rsidRDefault="00D8233C" w:rsidP="00D8233C">
      <w:pPr>
        <w:pStyle w:val="BlockLine"/>
      </w:pPr>
    </w:p>
    <w:tbl>
      <w:tblPr>
        <w:tblW w:w="0" w:type="auto"/>
        <w:tblLayout w:type="fixed"/>
        <w:tblLook w:val="0000" w:firstRow="0" w:lastRow="0" w:firstColumn="0" w:lastColumn="0" w:noHBand="0" w:noVBand="0"/>
      </w:tblPr>
      <w:tblGrid>
        <w:gridCol w:w="1728"/>
        <w:gridCol w:w="7740"/>
      </w:tblGrid>
      <w:tr w:rsidR="00D8233C" w:rsidRPr="00757A01" w14:paraId="57EC90A8" w14:textId="77777777" w:rsidTr="00DD386E">
        <w:trPr>
          <w:cantSplit/>
        </w:trPr>
        <w:tc>
          <w:tcPr>
            <w:tcW w:w="1728" w:type="dxa"/>
          </w:tcPr>
          <w:p w14:paraId="57EC909F" w14:textId="77777777" w:rsidR="00D8233C" w:rsidRPr="00757A01" w:rsidRDefault="00D8233C" w:rsidP="00DD386E">
            <w:pPr>
              <w:pStyle w:val="Heading5"/>
            </w:pPr>
            <w:r w:rsidRPr="00757A01">
              <w:t>Introduction</w:t>
            </w:r>
          </w:p>
        </w:tc>
        <w:tc>
          <w:tcPr>
            <w:tcW w:w="7740" w:type="dxa"/>
          </w:tcPr>
          <w:p w14:paraId="57EC90A0" w14:textId="2A0B4668" w:rsidR="00D8233C" w:rsidRPr="00757A01" w:rsidRDefault="00D8233C" w:rsidP="00DD386E">
            <w:pPr>
              <w:pStyle w:val="BlockText"/>
            </w:pPr>
            <w:r w:rsidRPr="00757A01">
              <w:t>This topic contains information on Internal Inspections Report</w:t>
            </w:r>
            <w:r w:rsidR="00335719" w:rsidRPr="00757A01">
              <w:t xml:space="preserve"> (IIR)</w:t>
            </w:r>
            <w:r w:rsidRPr="00757A01">
              <w:t>, including</w:t>
            </w:r>
          </w:p>
          <w:p w14:paraId="57EC90A1" w14:textId="77777777" w:rsidR="00D8233C" w:rsidRPr="00757A01" w:rsidRDefault="00D8233C" w:rsidP="00DD386E">
            <w:pPr>
              <w:pStyle w:val="BlockText"/>
            </w:pPr>
          </w:p>
          <w:p w14:paraId="57EC90A2" w14:textId="77777777" w:rsidR="00D8233C" w:rsidRPr="00757A01" w:rsidRDefault="00D8233C" w:rsidP="002D6C54">
            <w:pPr>
              <w:pStyle w:val="ListParagraph"/>
              <w:numPr>
                <w:ilvl w:val="0"/>
                <w:numId w:val="62"/>
              </w:numPr>
              <w:ind w:left="158" w:hanging="187"/>
            </w:pPr>
            <w:r w:rsidRPr="00757A01">
              <w:t>inspection of security procedures</w:t>
            </w:r>
          </w:p>
          <w:p w14:paraId="0D98D4C8" w14:textId="3B27BDB2" w:rsidR="00335719" w:rsidRPr="00757A01" w:rsidRDefault="00335719" w:rsidP="002D6C54">
            <w:pPr>
              <w:pStyle w:val="ListParagraph"/>
              <w:numPr>
                <w:ilvl w:val="0"/>
                <w:numId w:val="62"/>
              </w:numPr>
              <w:ind w:left="158" w:hanging="187"/>
            </w:pPr>
            <w:r w:rsidRPr="00757A01">
              <w:t>information to include in the IIR</w:t>
            </w:r>
          </w:p>
          <w:p w14:paraId="1D08D7FD" w14:textId="268010F3" w:rsidR="00E9533F" w:rsidRPr="00757A01" w:rsidRDefault="00335719" w:rsidP="002D6C54">
            <w:pPr>
              <w:pStyle w:val="ListParagraph"/>
              <w:numPr>
                <w:ilvl w:val="0"/>
                <w:numId w:val="63"/>
              </w:numPr>
              <w:ind w:left="158" w:hanging="187"/>
            </w:pPr>
            <w:r w:rsidRPr="00757A01">
              <w:t>IIR retention</w:t>
            </w:r>
          </w:p>
          <w:p w14:paraId="2CC81494" w14:textId="120D1B91" w:rsidR="00E9533F" w:rsidRPr="00757A01" w:rsidRDefault="00335719" w:rsidP="00D00393">
            <w:pPr>
              <w:pStyle w:val="ListParagraph"/>
              <w:numPr>
                <w:ilvl w:val="0"/>
                <w:numId w:val="63"/>
              </w:numPr>
              <w:ind w:left="158" w:hanging="187"/>
            </w:pPr>
            <w:r w:rsidRPr="00757A01">
              <w:t>deficiencies</w:t>
            </w:r>
            <w:r w:rsidR="00E9533F" w:rsidRPr="00757A01">
              <w:t>, and</w:t>
            </w:r>
          </w:p>
          <w:p w14:paraId="2E6014D5" w14:textId="77777777" w:rsidR="00E9533F" w:rsidRPr="00757A01" w:rsidRDefault="00E9533F" w:rsidP="00D00393">
            <w:pPr>
              <w:pStyle w:val="ListParagraph"/>
              <w:numPr>
                <w:ilvl w:val="0"/>
                <w:numId w:val="63"/>
              </w:numPr>
              <w:ind w:left="158" w:hanging="187"/>
            </w:pPr>
            <w:r w:rsidRPr="00757A01">
              <w:t>where and when to send the report.</w:t>
            </w:r>
            <w:r w:rsidRPr="00757A01" w:rsidDel="00E9533F">
              <w:t xml:space="preserve"> </w:t>
            </w:r>
          </w:p>
          <w:p w14:paraId="57EC90A7" w14:textId="6494F769" w:rsidR="00D8233C" w:rsidRPr="00757A01" w:rsidRDefault="00D8233C" w:rsidP="00D00393">
            <w:pPr>
              <w:ind w:left="-29"/>
            </w:pPr>
          </w:p>
        </w:tc>
      </w:tr>
    </w:tbl>
    <w:p w14:paraId="57EC90A9" w14:textId="12CA4CCE" w:rsidR="00D8233C" w:rsidRPr="00757A01" w:rsidRDefault="00D8233C" w:rsidP="00D00393">
      <w:pPr>
        <w:pStyle w:val="BlockLine"/>
        <w:spacing w:before="0"/>
      </w:pPr>
    </w:p>
    <w:tbl>
      <w:tblPr>
        <w:tblW w:w="0" w:type="auto"/>
        <w:tblLayout w:type="fixed"/>
        <w:tblLook w:val="0000" w:firstRow="0" w:lastRow="0" w:firstColumn="0" w:lastColumn="0" w:noHBand="0" w:noVBand="0"/>
      </w:tblPr>
      <w:tblGrid>
        <w:gridCol w:w="1728"/>
        <w:gridCol w:w="7740"/>
      </w:tblGrid>
      <w:tr w:rsidR="00D8233C" w:rsidRPr="00757A01" w14:paraId="57EC90AC" w14:textId="77777777" w:rsidTr="00DD386E">
        <w:trPr>
          <w:cantSplit/>
        </w:trPr>
        <w:tc>
          <w:tcPr>
            <w:tcW w:w="1728" w:type="dxa"/>
          </w:tcPr>
          <w:p w14:paraId="57EC90AA" w14:textId="77777777" w:rsidR="00D8233C" w:rsidRPr="00757A01" w:rsidRDefault="00D8233C" w:rsidP="00E9533F">
            <w:pPr>
              <w:pStyle w:val="Heading5"/>
            </w:pPr>
            <w:r w:rsidRPr="00757A01">
              <w:t>Change Date</w:t>
            </w:r>
          </w:p>
        </w:tc>
        <w:tc>
          <w:tcPr>
            <w:tcW w:w="7740" w:type="dxa"/>
          </w:tcPr>
          <w:p w14:paraId="62D5BDCB" w14:textId="4D6C756A" w:rsidR="00E9533F" w:rsidRPr="00757A01" w:rsidRDefault="00754C6D" w:rsidP="00E9533F">
            <w:pPr>
              <w:pStyle w:val="BlockText"/>
            </w:pPr>
            <w:r>
              <w:t>March 30, 2015</w:t>
            </w:r>
          </w:p>
          <w:p w14:paraId="57EC90AB" w14:textId="41E457E1" w:rsidR="00D8233C" w:rsidRPr="00757A01" w:rsidRDefault="00D8233C" w:rsidP="00E9533F">
            <w:pPr>
              <w:pStyle w:val="BlockText"/>
            </w:pPr>
          </w:p>
        </w:tc>
      </w:tr>
    </w:tbl>
    <w:p w14:paraId="42EC5112" w14:textId="77777777" w:rsidR="00E9533F" w:rsidRPr="00757A01" w:rsidRDefault="00E9533F" w:rsidP="00D00393">
      <w:pPr>
        <w:pStyle w:val="BlockLine"/>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35719" w:rsidRPr="00757A01" w14:paraId="6F241833" w14:textId="77777777" w:rsidTr="002D6C54">
        <w:tc>
          <w:tcPr>
            <w:tcW w:w="1728" w:type="dxa"/>
            <w:shd w:val="clear" w:color="auto" w:fill="auto"/>
          </w:tcPr>
          <w:p w14:paraId="2A928F23" w14:textId="56C14A5F" w:rsidR="00335719" w:rsidRPr="00757A01" w:rsidRDefault="00335719" w:rsidP="00335719">
            <w:pPr>
              <w:rPr>
                <w:b/>
                <w:sz w:val="22"/>
              </w:rPr>
            </w:pPr>
            <w:r w:rsidRPr="00757A01">
              <w:rPr>
                <w:b/>
                <w:sz w:val="22"/>
              </w:rPr>
              <w:t>a.  Inspection of Security Procedures</w:t>
            </w:r>
          </w:p>
        </w:tc>
        <w:tc>
          <w:tcPr>
            <w:tcW w:w="7740" w:type="dxa"/>
            <w:shd w:val="clear" w:color="auto" w:fill="auto"/>
          </w:tcPr>
          <w:p w14:paraId="29831FD0" w14:textId="77777777" w:rsidR="00335719" w:rsidRPr="00757A01" w:rsidRDefault="00335719" w:rsidP="00335719">
            <w:pPr>
              <w:pStyle w:val="BlockText"/>
            </w:pPr>
            <w:r w:rsidRPr="00757A01">
              <w:t>Every three years, a person designated by the Director must conduct an independent inspection of security procedures.  This review must be conducted by someone who is not in the VSC or PMC and who has no authority or responsibility for maintenance of claims files.</w:t>
            </w:r>
          </w:p>
          <w:p w14:paraId="266839CB" w14:textId="77777777" w:rsidR="00335719" w:rsidRPr="00757A01" w:rsidRDefault="00335719" w:rsidP="00335719"/>
          <w:p w14:paraId="035FC812" w14:textId="77777777" w:rsidR="00335719" w:rsidRPr="00757A01" w:rsidRDefault="00335719" w:rsidP="00335719">
            <w:pPr>
              <w:pStyle w:val="BlockText"/>
            </w:pPr>
            <w:r w:rsidRPr="00757A01">
              <w:rPr>
                <w:b/>
                <w:i/>
              </w:rPr>
              <w:t>Example</w:t>
            </w:r>
            <w:r w:rsidRPr="00757A01">
              <w:t>:  A management analyst in the Director’s office.</w:t>
            </w:r>
          </w:p>
          <w:p w14:paraId="4C74CED5" w14:textId="77777777" w:rsidR="00335719" w:rsidRPr="00757A01" w:rsidRDefault="00335719" w:rsidP="00335719"/>
          <w:p w14:paraId="5389F90C" w14:textId="1D0812E5" w:rsidR="00335719" w:rsidRPr="00757A01" w:rsidRDefault="00335719" w:rsidP="00335719">
            <w:r w:rsidRPr="00757A01">
              <w:t>The schedule is located on the Pension and Fiduciary Service homepage</w:t>
            </w:r>
            <w:r w:rsidR="00863BAD" w:rsidRPr="00757A01">
              <w:t>.</w:t>
            </w:r>
          </w:p>
        </w:tc>
      </w:tr>
    </w:tbl>
    <w:p w14:paraId="4039D1DA" w14:textId="77777777" w:rsidR="00E9533F" w:rsidRPr="00757A01" w:rsidRDefault="00E9533F" w:rsidP="00E9533F">
      <w:pPr>
        <w:tabs>
          <w:tab w:val="left" w:pos="9360"/>
        </w:tabs>
        <w:ind w:left="1714"/>
      </w:pPr>
      <w:r w:rsidRPr="00757A01">
        <w:rPr>
          <w:u w:val="single"/>
        </w:rPr>
        <w:tab/>
      </w:r>
    </w:p>
    <w:tbl>
      <w:tblPr>
        <w:tblW w:w="0" w:type="auto"/>
        <w:tblLayout w:type="fixed"/>
        <w:tblLook w:val="0000" w:firstRow="0" w:lastRow="0" w:firstColumn="0" w:lastColumn="0" w:noHBand="0" w:noVBand="0"/>
      </w:tblPr>
      <w:tblGrid>
        <w:gridCol w:w="1728"/>
        <w:gridCol w:w="7740"/>
      </w:tblGrid>
      <w:tr w:rsidR="00E9533F" w:rsidRPr="00757A01" w14:paraId="15773268" w14:textId="77777777" w:rsidTr="009853B6">
        <w:trPr>
          <w:cantSplit/>
        </w:trPr>
        <w:tc>
          <w:tcPr>
            <w:tcW w:w="1728" w:type="dxa"/>
          </w:tcPr>
          <w:p w14:paraId="053467EC" w14:textId="4C62EB23" w:rsidR="00E9533F" w:rsidRPr="00757A01" w:rsidRDefault="00E9533F" w:rsidP="00E9533F">
            <w:pPr>
              <w:pStyle w:val="Heading5"/>
            </w:pPr>
            <w:r w:rsidRPr="00757A01">
              <w:tab/>
            </w:r>
          </w:p>
        </w:tc>
        <w:tc>
          <w:tcPr>
            <w:tcW w:w="7740" w:type="dxa"/>
          </w:tcPr>
          <w:p w14:paraId="3EC7E3B3" w14:textId="77777777" w:rsidR="00E9533F" w:rsidRPr="00757A01" w:rsidRDefault="00E9533F" w:rsidP="00E9533F">
            <w:pPr>
              <w:pStyle w:val="BlockText"/>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740"/>
      </w:tblGrid>
      <w:tr w:rsidR="00335719" w:rsidRPr="00757A01" w14:paraId="104AE75D" w14:textId="77777777" w:rsidTr="002D6C54">
        <w:tc>
          <w:tcPr>
            <w:tcW w:w="1728" w:type="dxa"/>
            <w:shd w:val="clear" w:color="auto" w:fill="auto"/>
          </w:tcPr>
          <w:p w14:paraId="53C7BA4C" w14:textId="592AE82F" w:rsidR="00335719" w:rsidRPr="00757A01" w:rsidRDefault="00335719" w:rsidP="00335719">
            <w:pPr>
              <w:rPr>
                <w:b/>
                <w:sz w:val="22"/>
                <w:szCs w:val="22"/>
              </w:rPr>
            </w:pPr>
            <w:r w:rsidRPr="00757A01">
              <w:rPr>
                <w:b/>
                <w:sz w:val="22"/>
                <w:szCs w:val="22"/>
              </w:rPr>
              <w:t>b.  Information to Include in the IIR</w:t>
            </w:r>
          </w:p>
        </w:tc>
        <w:tc>
          <w:tcPr>
            <w:tcW w:w="7740" w:type="dxa"/>
            <w:shd w:val="clear" w:color="auto" w:fill="auto"/>
          </w:tcPr>
          <w:p w14:paraId="5B5F5870" w14:textId="77777777" w:rsidR="00335719" w:rsidRPr="00757A01" w:rsidRDefault="00335719" w:rsidP="00335719">
            <w:pPr>
              <w:pStyle w:val="BlockText"/>
            </w:pPr>
            <w:r w:rsidRPr="00757A01">
              <w:t>Include the following items in the written report:</w:t>
            </w:r>
          </w:p>
          <w:p w14:paraId="73D0B9EB" w14:textId="77777777" w:rsidR="00335719" w:rsidRPr="00757A01" w:rsidRDefault="00335719" w:rsidP="00335719"/>
          <w:p w14:paraId="7CA6ACA5" w14:textId="77777777" w:rsidR="001A70CF" w:rsidRPr="00757A01" w:rsidRDefault="001A70CF" w:rsidP="001A70CF">
            <w:pPr>
              <w:pStyle w:val="BulletText1"/>
              <w:numPr>
                <w:ilvl w:val="0"/>
                <w:numId w:val="96"/>
              </w:numPr>
            </w:pPr>
            <w:r w:rsidRPr="00757A01">
              <w:t>verification that Federal tax information has not been commingled with other information in such a way that its confidentiality could be inadvertently compromised</w:t>
            </w:r>
          </w:p>
          <w:p w14:paraId="213A2942" w14:textId="77777777" w:rsidR="001A70CF" w:rsidRPr="00757A01" w:rsidRDefault="001A70CF" w:rsidP="001A70CF">
            <w:pPr>
              <w:pStyle w:val="BulletText1"/>
              <w:numPr>
                <w:ilvl w:val="0"/>
                <w:numId w:val="96"/>
              </w:numPr>
            </w:pPr>
            <w:r w:rsidRPr="00757A01">
              <w:t>a statement to the effect that personnel with access to tax return information were briefed on the criminal and civil penalties for unauthorized disclosure of tax return information</w:t>
            </w:r>
          </w:p>
          <w:p w14:paraId="4F4D916E" w14:textId="77777777" w:rsidR="001A70CF" w:rsidRPr="00757A01" w:rsidRDefault="001A70CF" w:rsidP="001A70CF">
            <w:pPr>
              <w:pStyle w:val="BulletText1"/>
              <w:numPr>
                <w:ilvl w:val="0"/>
                <w:numId w:val="96"/>
              </w:numPr>
            </w:pPr>
            <w:r w:rsidRPr="00757A01">
              <w:t>an assessment of facility security features</w:t>
            </w:r>
          </w:p>
          <w:p w14:paraId="6DD11B99" w14:textId="77777777" w:rsidR="001A70CF" w:rsidRPr="00757A01" w:rsidRDefault="001A70CF" w:rsidP="001A70CF">
            <w:pPr>
              <w:pStyle w:val="BulletText1"/>
              <w:numPr>
                <w:ilvl w:val="0"/>
                <w:numId w:val="96"/>
              </w:numPr>
            </w:pPr>
            <w:r w:rsidRPr="00757A01">
              <w:t>an analysis of security procedures and instructions to employees</w:t>
            </w:r>
          </w:p>
          <w:p w14:paraId="0A1CB957" w14:textId="77777777" w:rsidR="001A70CF" w:rsidRPr="00757A01" w:rsidRDefault="001A70CF" w:rsidP="001A70CF">
            <w:pPr>
              <w:pStyle w:val="BulletText1"/>
              <w:numPr>
                <w:ilvl w:val="0"/>
                <w:numId w:val="96"/>
              </w:numPr>
            </w:pPr>
            <w:r w:rsidRPr="00757A01">
              <w:t>an audit of the charge cards showing charge-outs and charge-ins, and</w:t>
            </w:r>
          </w:p>
          <w:p w14:paraId="0AFF02B8" w14:textId="77777777" w:rsidR="001A70CF" w:rsidRPr="00757A01" w:rsidRDefault="001A70CF" w:rsidP="001A70CF">
            <w:pPr>
              <w:pStyle w:val="BulletText1"/>
              <w:numPr>
                <w:ilvl w:val="0"/>
                <w:numId w:val="96"/>
              </w:numPr>
            </w:pPr>
            <w:r w:rsidRPr="00757A01">
              <w:t>a review of</w:t>
            </w:r>
          </w:p>
          <w:p w14:paraId="74180496" w14:textId="77777777" w:rsidR="001A70CF" w:rsidRPr="00757A01" w:rsidRDefault="001A70CF" w:rsidP="001A70CF">
            <w:pPr>
              <w:pStyle w:val="BulletText2"/>
            </w:pPr>
            <w:r w:rsidRPr="00757A01">
              <w:t>the storage and handling of Federal tax information</w:t>
            </w:r>
          </w:p>
          <w:p w14:paraId="5874F417" w14:textId="77777777" w:rsidR="001A70CF" w:rsidRPr="00757A01" w:rsidRDefault="001A70CF" w:rsidP="001A70CF">
            <w:pPr>
              <w:pStyle w:val="BulletText2"/>
            </w:pPr>
            <w:r w:rsidRPr="00757A01">
              <w:t>how access to Federal tax information is granted to employees</w:t>
            </w:r>
          </w:p>
          <w:p w14:paraId="19C4EB1A" w14:textId="77777777" w:rsidR="001A70CF" w:rsidRPr="00757A01" w:rsidRDefault="001A70CF" w:rsidP="001A70CF">
            <w:pPr>
              <w:pStyle w:val="BulletText2"/>
            </w:pPr>
            <w:r w:rsidRPr="00757A01">
              <w:t>after-hours security</w:t>
            </w:r>
          </w:p>
          <w:p w14:paraId="327C08A2" w14:textId="77777777" w:rsidR="001A70CF" w:rsidRPr="00757A01" w:rsidRDefault="001A70CF" w:rsidP="001A70CF">
            <w:pPr>
              <w:pStyle w:val="BulletText2"/>
            </w:pPr>
            <w:r w:rsidRPr="00757A01">
              <w:t>the list of employees who attended the last two yearly briefings to ensure that all employees attended and that briefings are being conducted annually, and</w:t>
            </w:r>
          </w:p>
          <w:p w14:paraId="5B63ED91" w14:textId="77777777" w:rsidR="001A70CF" w:rsidRPr="00757A01" w:rsidRDefault="001A70CF" w:rsidP="001A70CF">
            <w:pPr>
              <w:pStyle w:val="BulletText2"/>
            </w:pPr>
            <w:r w:rsidRPr="00757A01">
              <w:t>the disposal log.</w:t>
            </w:r>
          </w:p>
          <w:p w14:paraId="43CCEFCB" w14:textId="77777777" w:rsidR="00335719" w:rsidRPr="00757A01" w:rsidRDefault="00335719" w:rsidP="00335719"/>
          <w:p w14:paraId="4079133F" w14:textId="77777777" w:rsidR="005204AB" w:rsidRPr="00757A01" w:rsidRDefault="001A70CF" w:rsidP="005204AB">
            <w:pPr>
              <w:pStyle w:val="Heading5"/>
              <w:outlineLvl w:val="4"/>
              <w:rPr>
                <w:b w:val="0"/>
                <w:sz w:val="24"/>
                <w:szCs w:val="24"/>
              </w:rPr>
            </w:pPr>
            <w:r w:rsidRPr="00757A01">
              <w:rPr>
                <w:bCs/>
                <w:i/>
                <w:iCs/>
                <w:sz w:val="24"/>
                <w:szCs w:val="24"/>
              </w:rPr>
              <w:t>Reference</w:t>
            </w:r>
            <w:r w:rsidRPr="00757A01">
              <w:rPr>
                <w:b w:val="0"/>
                <w:sz w:val="24"/>
                <w:szCs w:val="24"/>
              </w:rPr>
              <w:t xml:space="preserve">: </w:t>
            </w:r>
            <w:r w:rsidRPr="00757A01">
              <w:rPr>
                <w:sz w:val="24"/>
                <w:szCs w:val="24"/>
              </w:rPr>
              <w:t xml:space="preserve"> </w:t>
            </w:r>
            <w:r w:rsidR="005204AB" w:rsidRPr="00757A01">
              <w:rPr>
                <w:b w:val="0"/>
                <w:sz w:val="24"/>
                <w:szCs w:val="24"/>
              </w:rPr>
              <w:t xml:space="preserve">Templates for the IIR are located on the Pension and Fiduciary Service homepage. </w:t>
            </w:r>
          </w:p>
          <w:p w14:paraId="3042DDFC" w14:textId="3E990F45" w:rsidR="001A70CF" w:rsidRPr="00757A01" w:rsidRDefault="005204AB" w:rsidP="005204AB">
            <w:r w:rsidRPr="00757A01">
              <w:t>_____________________________________________________________</w:t>
            </w:r>
          </w:p>
        </w:tc>
      </w:tr>
    </w:tbl>
    <w:p w14:paraId="34652EDA" w14:textId="77777777" w:rsidR="00335719" w:rsidRPr="00757A01" w:rsidRDefault="00335719" w:rsidP="002D6C54"/>
    <w:tbl>
      <w:tblPr>
        <w:tblW w:w="0" w:type="auto"/>
        <w:tblLayout w:type="fixed"/>
        <w:tblLook w:val="0000" w:firstRow="0" w:lastRow="0" w:firstColumn="0" w:lastColumn="0" w:noHBand="0" w:noVBand="0"/>
      </w:tblPr>
      <w:tblGrid>
        <w:gridCol w:w="1728"/>
        <w:gridCol w:w="7740"/>
      </w:tblGrid>
      <w:tr w:rsidR="001A70CF" w:rsidRPr="00757A01" w14:paraId="2A9B3745" w14:textId="77777777" w:rsidTr="00A316B9">
        <w:trPr>
          <w:cantSplit/>
        </w:trPr>
        <w:tc>
          <w:tcPr>
            <w:tcW w:w="1728" w:type="dxa"/>
          </w:tcPr>
          <w:p w14:paraId="45CBA4D7" w14:textId="77777777" w:rsidR="001A70CF" w:rsidRPr="00757A01" w:rsidRDefault="001A70CF" w:rsidP="00A316B9">
            <w:pPr>
              <w:pStyle w:val="Heading5"/>
            </w:pPr>
            <w:r w:rsidRPr="00757A01">
              <w:t>c.  IIR Retention</w:t>
            </w:r>
          </w:p>
        </w:tc>
        <w:tc>
          <w:tcPr>
            <w:tcW w:w="7740" w:type="dxa"/>
          </w:tcPr>
          <w:p w14:paraId="6418211D" w14:textId="77777777" w:rsidR="001A70CF" w:rsidRPr="00757A01" w:rsidRDefault="001A70CF" w:rsidP="00A316B9">
            <w:pPr>
              <w:pStyle w:val="BlockText"/>
            </w:pPr>
            <w:r w:rsidRPr="00757A01">
              <w:t>The inspection records will be filed in a separate file and for purposes of meeting IRC 6103(p)(4) requirements, will be retained for a period of five full years (even if reviewed by the IRS).  At that time the inspection records may be destroyed.</w:t>
            </w:r>
          </w:p>
          <w:p w14:paraId="307F9C48" w14:textId="718A7A11" w:rsidR="005204AB" w:rsidRPr="00757A01" w:rsidRDefault="005204AB" w:rsidP="00A316B9">
            <w:pPr>
              <w:pStyle w:val="BlockText"/>
              <w:rPr>
                <w:b/>
              </w:rPr>
            </w:pPr>
            <w:r w:rsidRPr="00757A01">
              <w:t>______________________________________________________________</w:t>
            </w:r>
          </w:p>
        </w:tc>
      </w:tr>
    </w:tbl>
    <w:p w14:paraId="75B03036" w14:textId="77777777" w:rsidR="005204AB" w:rsidRPr="00757A01" w:rsidRDefault="005204AB" w:rsidP="005204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A70CF" w:rsidRPr="00757A01" w14:paraId="565C979F" w14:textId="77777777" w:rsidTr="002D6C54">
        <w:tc>
          <w:tcPr>
            <w:tcW w:w="1728" w:type="dxa"/>
            <w:shd w:val="clear" w:color="auto" w:fill="auto"/>
          </w:tcPr>
          <w:p w14:paraId="6927EC96" w14:textId="3931A1B4" w:rsidR="001A70CF" w:rsidRPr="00757A01" w:rsidRDefault="001A70CF" w:rsidP="00335719">
            <w:pPr>
              <w:rPr>
                <w:b/>
                <w:sz w:val="22"/>
              </w:rPr>
            </w:pPr>
            <w:r w:rsidRPr="00757A01">
              <w:rPr>
                <w:b/>
                <w:sz w:val="22"/>
              </w:rPr>
              <w:t>d.  Deficiencies</w:t>
            </w:r>
          </w:p>
        </w:tc>
        <w:tc>
          <w:tcPr>
            <w:tcW w:w="7740" w:type="dxa"/>
            <w:shd w:val="clear" w:color="auto" w:fill="auto"/>
          </w:tcPr>
          <w:p w14:paraId="543FF90F" w14:textId="77777777" w:rsidR="001A70CF" w:rsidRPr="00757A01" w:rsidRDefault="001A70CF" w:rsidP="001A70CF">
            <w:pPr>
              <w:pStyle w:val="NoteText"/>
            </w:pPr>
            <w:r w:rsidRPr="00757A01">
              <w:t>If any unresolved deficiencies are noted during the reporting period, the RO management analyst (or designee) will</w:t>
            </w:r>
          </w:p>
          <w:p w14:paraId="354288E5" w14:textId="4F2B9772" w:rsidR="001A70CF" w:rsidRPr="00757A01" w:rsidRDefault="001A70CF" w:rsidP="001A70CF">
            <w:pPr>
              <w:pStyle w:val="BulletText1"/>
              <w:numPr>
                <w:ilvl w:val="0"/>
                <w:numId w:val="96"/>
              </w:numPr>
            </w:pPr>
            <w:r w:rsidRPr="00757A01">
              <w:t xml:space="preserve">annotate the current </w:t>
            </w:r>
            <w:r w:rsidRPr="00757A01">
              <w:rPr>
                <w:i/>
                <w:iCs/>
              </w:rPr>
              <w:t>IRS</w:t>
            </w:r>
            <w:r w:rsidRPr="00757A01">
              <w:t xml:space="preserve"> </w:t>
            </w:r>
            <w:r w:rsidR="00870D63" w:rsidRPr="00757A01">
              <w:rPr>
                <w:i/>
                <w:iCs/>
              </w:rPr>
              <w:t>Internal Inspections</w:t>
            </w:r>
            <w:r w:rsidRPr="00757A01">
              <w:rPr>
                <w:i/>
                <w:iCs/>
              </w:rPr>
              <w:t xml:space="preserve"> Report</w:t>
            </w:r>
            <w:r w:rsidRPr="00757A01">
              <w:t xml:space="preserve"> with the projected date of resolution of the deficiencies, and</w:t>
            </w:r>
          </w:p>
          <w:p w14:paraId="3BAC26E3" w14:textId="42C3C4A5" w:rsidR="005204AB" w:rsidRPr="00757A01" w:rsidRDefault="001A70CF" w:rsidP="005204AB">
            <w:pPr>
              <w:pStyle w:val="BulletText1"/>
              <w:numPr>
                <w:ilvl w:val="0"/>
                <w:numId w:val="96"/>
              </w:numPr>
            </w:pPr>
            <w:r w:rsidRPr="00757A01">
              <w:t xml:space="preserve">in the next annual </w:t>
            </w:r>
            <w:r w:rsidRPr="00757A01">
              <w:rPr>
                <w:i/>
                <w:iCs/>
              </w:rPr>
              <w:t>IRS</w:t>
            </w:r>
            <w:r w:rsidRPr="00757A01">
              <w:t xml:space="preserve"> </w:t>
            </w:r>
            <w:r w:rsidR="00870D63" w:rsidRPr="00757A01">
              <w:rPr>
                <w:i/>
                <w:iCs/>
              </w:rPr>
              <w:t>Internal Inspections</w:t>
            </w:r>
            <w:r w:rsidRPr="00757A01">
              <w:rPr>
                <w:i/>
                <w:iCs/>
              </w:rPr>
              <w:t xml:space="preserve"> Report</w:t>
            </w:r>
            <w:r w:rsidRPr="00757A01">
              <w:t>, document the action taken to resolve the deficiencies.</w:t>
            </w:r>
          </w:p>
        </w:tc>
      </w:tr>
    </w:tbl>
    <w:p w14:paraId="7EE04B92" w14:textId="77777777" w:rsidR="005204AB" w:rsidRPr="00757A01" w:rsidRDefault="005204AB" w:rsidP="005204AB">
      <w:pPr>
        <w:tabs>
          <w:tab w:val="left" w:pos="9360"/>
        </w:tabs>
        <w:ind w:left="1714"/>
      </w:pPr>
      <w:r w:rsidRPr="00757A01">
        <w:rPr>
          <w:u w:val="single"/>
        </w:rPr>
        <w:tab/>
      </w:r>
    </w:p>
    <w:tbl>
      <w:tblPr>
        <w:tblW w:w="0" w:type="auto"/>
        <w:tblLayout w:type="fixed"/>
        <w:tblLook w:val="0000" w:firstRow="0" w:lastRow="0" w:firstColumn="0" w:lastColumn="0" w:noHBand="0" w:noVBand="0"/>
      </w:tblPr>
      <w:tblGrid>
        <w:gridCol w:w="1728"/>
        <w:gridCol w:w="7740"/>
      </w:tblGrid>
      <w:tr w:rsidR="001A70CF" w:rsidRPr="00A16A03" w14:paraId="75F9753B" w14:textId="77777777" w:rsidTr="00A316B9">
        <w:trPr>
          <w:cantSplit/>
        </w:trPr>
        <w:tc>
          <w:tcPr>
            <w:tcW w:w="1728" w:type="dxa"/>
          </w:tcPr>
          <w:p w14:paraId="259BE595" w14:textId="77777777" w:rsidR="00EF53FC" w:rsidRPr="00757A01" w:rsidRDefault="00EF53FC" w:rsidP="00A316B9">
            <w:pPr>
              <w:pStyle w:val="Heading5"/>
            </w:pPr>
          </w:p>
          <w:p w14:paraId="04EF6BF4" w14:textId="5196EA00" w:rsidR="001A70CF" w:rsidRPr="00757A01" w:rsidRDefault="005204AB" w:rsidP="00A316B9">
            <w:pPr>
              <w:pStyle w:val="Heading5"/>
            </w:pPr>
            <w:r w:rsidRPr="00757A01">
              <w:t>e</w:t>
            </w:r>
            <w:r w:rsidR="001A70CF" w:rsidRPr="00757A01">
              <w:t xml:space="preserve">.  Where </w:t>
            </w:r>
            <w:r w:rsidR="007737D5" w:rsidRPr="00757A01">
              <w:t xml:space="preserve">to </w:t>
            </w:r>
            <w:r w:rsidR="001A70CF" w:rsidRPr="00757A01">
              <w:t>Send Reports and Direct Questions</w:t>
            </w:r>
          </w:p>
        </w:tc>
        <w:tc>
          <w:tcPr>
            <w:tcW w:w="7740" w:type="dxa"/>
          </w:tcPr>
          <w:p w14:paraId="68C347F6" w14:textId="77777777" w:rsidR="00EF53FC" w:rsidRPr="00757A01" w:rsidRDefault="00EF53FC" w:rsidP="00A316B9">
            <w:pPr>
              <w:pStyle w:val="BlockText"/>
            </w:pPr>
          </w:p>
          <w:p w14:paraId="700D1C72" w14:textId="431501A1" w:rsidR="001A70CF" w:rsidRDefault="001A70CF" w:rsidP="00A316B9">
            <w:pPr>
              <w:pStyle w:val="BlockText"/>
            </w:pPr>
            <w:r w:rsidRPr="00757A01">
              <w:t>Send reports and direct questions on the IIR the Director, Pension and Fiduciary Service by email at</w:t>
            </w:r>
            <w:r w:rsidR="002D6C54" w:rsidRPr="00757A01">
              <w:t xml:space="preserve">: </w:t>
            </w:r>
            <w:hyperlink r:id="rId18" w:history="1">
              <w:r w:rsidR="002D6C54" w:rsidRPr="00757A01">
                <w:rPr>
                  <w:rStyle w:val="Hyperlink"/>
                </w:rPr>
                <w:t>VAVBAWAS/CO/21P1 IRS/SSA</w:t>
              </w:r>
            </w:hyperlink>
            <w:r w:rsidR="00863BAD" w:rsidRPr="00757A01">
              <w:t>.</w:t>
            </w:r>
          </w:p>
          <w:p w14:paraId="42093315" w14:textId="77777777" w:rsidR="001A70CF" w:rsidRPr="00A16A03" w:rsidRDefault="001A70CF" w:rsidP="00A316B9">
            <w:pPr>
              <w:pStyle w:val="BlockText"/>
            </w:pPr>
          </w:p>
        </w:tc>
      </w:tr>
    </w:tbl>
    <w:p w14:paraId="57EC912C" w14:textId="77777777" w:rsidR="00D33C12" w:rsidRPr="0025779D" w:rsidRDefault="00D33C12" w:rsidP="00D00393"/>
    <w:sectPr w:rsidR="00D33C12" w:rsidRPr="002577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35A5F" w14:textId="77777777" w:rsidR="00EF53FC" w:rsidRDefault="00EF53FC" w:rsidP="00C52FF2">
      <w:r>
        <w:separator/>
      </w:r>
    </w:p>
  </w:endnote>
  <w:endnote w:type="continuationSeparator" w:id="0">
    <w:p w14:paraId="587C8CE6" w14:textId="77777777" w:rsidR="00EF53FC" w:rsidRDefault="00EF53FC" w:rsidP="00C5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65768" w14:textId="77777777" w:rsidR="00EF53FC" w:rsidRDefault="00EF53FC" w:rsidP="00C52FF2">
      <w:r>
        <w:separator/>
      </w:r>
    </w:p>
  </w:footnote>
  <w:footnote w:type="continuationSeparator" w:id="0">
    <w:p w14:paraId="15071E2F" w14:textId="77777777" w:rsidR="00EF53FC" w:rsidRDefault="00EF53FC" w:rsidP="00C52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2E1299"/>
    <w:multiLevelType w:val="hybridMultilevel"/>
    <w:tmpl w:val="5594A6CC"/>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8A6129"/>
    <w:multiLevelType w:val="hybridMultilevel"/>
    <w:tmpl w:val="555E7646"/>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3A0E3F"/>
    <w:multiLevelType w:val="hybridMultilevel"/>
    <w:tmpl w:val="504E5752"/>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EF0BE1"/>
    <w:multiLevelType w:val="hybridMultilevel"/>
    <w:tmpl w:val="B85662A0"/>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D679B2"/>
    <w:multiLevelType w:val="hybridMultilevel"/>
    <w:tmpl w:val="0420B0B4"/>
    <w:lvl w:ilvl="0" w:tplc="4FD294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EC05E6"/>
    <w:multiLevelType w:val="hybridMultilevel"/>
    <w:tmpl w:val="E4A8B53E"/>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1D3B6D"/>
    <w:multiLevelType w:val="hybridMultilevel"/>
    <w:tmpl w:val="F6EA269C"/>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11515"/>
    <w:multiLevelType w:val="hybridMultilevel"/>
    <w:tmpl w:val="D9B8E322"/>
    <w:lvl w:ilvl="0" w:tplc="F72CE2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777B8A"/>
    <w:multiLevelType w:val="hybridMultilevel"/>
    <w:tmpl w:val="80B627C0"/>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9E4870"/>
    <w:multiLevelType w:val="hybridMultilevel"/>
    <w:tmpl w:val="5F5E2788"/>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9962AF"/>
    <w:multiLevelType w:val="hybridMultilevel"/>
    <w:tmpl w:val="5CE4175A"/>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D01C9B"/>
    <w:multiLevelType w:val="hybridMultilevel"/>
    <w:tmpl w:val="25D6D480"/>
    <w:lvl w:ilvl="0" w:tplc="F1FACB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EB2503"/>
    <w:multiLevelType w:val="hybridMultilevel"/>
    <w:tmpl w:val="3D10E7D4"/>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3F49E4"/>
    <w:multiLevelType w:val="hybridMultilevel"/>
    <w:tmpl w:val="C62642C6"/>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910159"/>
    <w:multiLevelType w:val="hybridMultilevel"/>
    <w:tmpl w:val="DE24C80C"/>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DD7277"/>
    <w:multiLevelType w:val="hybridMultilevel"/>
    <w:tmpl w:val="1CA42112"/>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7E6536"/>
    <w:multiLevelType w:val="hybridMultilevel"/>
    <w:tmpl w:val="27CC3A7C"/>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0D5E64"/>
    <w:multiLevelType w:val="hybridMultilevel"/>
    <w:tmpl w:val="B902344E"/>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022553"/>
    <w:multiLevelType w:val="hybridMultilevel"/>
    <w:tmpl w:val="271E223A"/>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F63D49"/>
    <w:multiLevelType w:val="hybridMultilevel"/>
    <w:tmpl w:val="C37CE49E"/>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6B3768"/>
    <w:multiLevelType w:val="hybridMultilevel"/>
    <w:tmpl w:val="A1ACAE68"/>
    <w:lvl w:ilvl="0" w:tplc="2558F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0963C9"/>
    <w:multiLevelType w:val="hybridMultilevel"/>
    <w:tmpl w:val="DE26EAA0"/>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AC49EA"/>
    <w:multiLevelType w:val="hybridMultilevel"/>
    <w:tmpl w:val="9A9E4D02"/>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274C89"/>
    <w:multiLevelType w:val="hybridMultilevel"/>
    <w:tmpl w:val="F184EA56"/>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FD1308"/>
    <w:multiLevelType w:val="hybridMultilevel"/>
    <w:tmpl w:val="796A5B3A"/>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4C7AD2"/>
    <w:multiLevelType w:val="hybridMultilevel"/>
    <w:tmpl w:val="2452E962"/>
    <w:lvl w:ilvl="0" w:tplc="2558F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71663E"/>
    <w:multiLevelType w:val="hybridMultilevel"/>
    <w:tmpl w:val="4DBA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11795B"/>
    <w:multiLevelType w:val="hybridMultilevel"/>
    <w:tmpl w:val="BAEEE6EE"/>
    <w:lvl w:ilvl="0" w:tplc="2558F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8D045F"/>
    <w:multiLevelType w:val="hybridMultilevel"/>
    <w:tmpl w:val="ADCE4F3C"/>
    <w:lvl w:ilvl="0" w:tplc="F72CE2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1A2E35"/>
    <w:multiLevelType w:val="hybridMultilevel"/>
    <w:tmpl w:val="DD0CBC2E"/>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FC5C65"/>
    <w:multiLevelType w:val="hybridMultilevel"/>
    <w:tmpl w:val="B840E538"/>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0713921"/>
    <w:multiLevelType w:val="hybridMultilevel"/>
    <w:tmpl w:val="BB3A2A0A"/>
    <w:lvl w:ilvl="0" w:tplc="2558F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586B1F"/>
    <w:multiLevelType w:val="hybridMultilevel"/>
    <w:tmpl w:val="BBECF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792427B"/>
    <w:multiLevelType w:val="hybridMultilevel"/>
    <w:tmpl w:val="797AB616"/>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235B2B"/>
    <w:multiLevelType w:val="hybridMultilevel"/>
    <w:tmpl w:val="83A26ED6"/>
    <w:lvl w:ilvl="0" w:tplc="4FD294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954415F"/>
    <w:multiLevelType w:val="hybridMultilevel"/>
    <w:tmpl w:val="D090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DF7157C"/>
    <w:multiLevelType w:val="hybridMultilevel"/>
    <w:tmpl w:val="F4C0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67372C"/>
    <w:multiLevelType w:val="hybridMultilevel"/>
    <w:tmpl w:val="B3B82D4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0">
    <w:nsid w:val="2FBD163B"/>
    <w:multiLevelType w:val="hybridMultilevel"/>
    <w:tmpl w:val="2C16D772"/>
    <w:lvl w:ilvl="0" w:tplc="2558F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2A77BFA"/>
    <w:multiLevelType w:val="hybridMultilevel"/>
    <w:tmpl w:val="F0103068"/>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3046DB0"/>
    <w:multiLevelType w:val="hybridMultilevel"/>
    <w:tmpl w:val="81B0A1AC"/>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4B532B1"/>
    <w:multiLevelType w:val="hybridMultilevel"/>
    <w:tmpl w:val="D332DE6E"/>
    <w:lvl w:ilvl="0" w:tplc="F72CE2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1D32F6"/>
    <w:multiLevelType w:val="hybridMultilevel"/>
    <w:tmpl w:val="7AB60784"/>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9C632AF"/>
    <w:multiLevelType w:val="hybridMultilevel"/>
    <w:tmpl w:val="24448610"/>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AFC0E62"/>
    <w:multiLevelType w:val="multilevel"/>
    <w:tmpl w:val="15F6F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3E463C17"/>
    <w:multiLevelType w:val="hybridMultilevel"/>
    <w:tmpl w:val="DEE23CC4"/>
    <w:lvl w:ilvl="0" w:tplc="F72CE2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ECA0397"/>
    <w:multiLevelType w:val="hybridMultilevel"/>
    <w:tmpl w:val="C4A6C462"/>
    <w:lvl w:ilvl="0" w:tplc="F72CE2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EF8666A"/>
    <w:multiLevelType w:val="hybridMultilevel"/>
    <w:tmpl w:val="A07E8C32"/>
    <w:lvl w:ilvl="0" w:tplc="F72CE2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F514F17"/>
    <w:multiLevelType w:val="hybridMultilevel"/>
    <w:tmpl w:val="B2609D28"/>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0357C00"/>
    <w:multiLevelType w:val="hybridMultilevel"/>
    <w:tmpl w:val="B4C0D4E8"/>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10238F1"/>
    <w:multiLevelType w:val="hybridMultilevel"/>
    <w:tmpl w:val="673009EE"/>
    <w:lvl w:ilvl="0" w:tplc="F72CE2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1AB6E21"/>
    <w:multiLevelType w:val="hybridMultilevel"/>
    <w:tmpl w:val="4FDE7180"/>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2A0401C"/>
    <w:multiLevelType w:val="hybridMultilevel"/>
    <w:tmpl w:val="899A610E"/>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3B7060C"/>
    <w:multiLevelType w:val="hybridMultilevel"/>
    <w:tmpl w:val="7728BA94"/>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40A702C"/>
    <w:multiLevelType w:val="hybridMultilevel"/>
    <w:tmpl w:val="0B52ACB2"/>
    <w:lvl w:ilvl="0" w:tplc="F1FACB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4AA7E46"/>
    <w:multiLevelType w:val="hybridMultilevel"/>
    <w:tmpl w:val="3C308450"/>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61A0F0C"/>
    <w:multiLevelType w:val="hybridMultilevel"/>
    <w:tmpl w:val="F1B67E22"/>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73207AF"/>
    <w:multiLevelType w:val="hybridMultilevel"/>
    <w:tmpl w:val="0A78DDEA"/>
    <w:lvl w:ilvl="0" w:tplc="F1FACB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89B1E41"/>
    <w:multiLevelType w:val="hybridMultilevel"/>
    <w:tmpl w:val="AC5E3756"/>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9E93FDB"/>
    <w:multiLevelType w:val="hybridMultilevel"/>
    <w:tmpl w:val="CDFA851A"/>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A7B1E93"/>
    <w:multiLevelType w:val="hybridMultilevel"/>
    <w:tmpl w:val="5BC63BCC"/>
    <w:lvl w:ilvl="0" w:tplc="2558F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AB827A2"/>
    <w:multiLevelType w:val="hybridMultilevel"/>
    <w:tmpl w:val="6B6A3CEA"/>
    <w:lvl w:ilvl="0" w:tplc="2558F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CCC6D9F"/>
    <w:multiLevelType w:val="hybridMultilevel"/>
    <w:tmpl w:val="7CD43E0A"/>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F9955F5"/>
    <w:multiLevelType w:val="hybridMultilevel"/>
    <w:tmpl w:val="AFA6E11A"/>
    <w:lvl w:ilvl="0" w:tplc="7632DA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0713673"/>
    <w:multiLevelType w:val="hybridMultilevel"/>
    <w:tmpl w:val="3B8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15D2E7E"/>
    <w:multiLevelType w:val="hybridMultilevel"/>
    <w:tmpl w:val="8EC6BFDA"/>
    <w:lvl w:ilvl="0" w:tplc="F72CE2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1C5467C"/>
    <w:multiLevelType w:val="hybridMultilevel"/>
    <w:tmpl w:val="6854DCAE"/>
    <w:lvl w:ilvl="0" w:tplc="711A615C">
      <w:start w:val="5"/>
      <w:numFmt w:val="bullet"/>
      <w:lvlText w:val="-"/>
      <w:lvlJc w:val="left"/>
      <w:pPr>
        <w:ind w:left="533" w:hanging="360"/>
      </w:pPr>
      <w:rPr>
        <w:rFonts w:ascii="Times New Roman" w:eastAsia="Times New Roman" w:hAnsi="Times New Roman" w:cs="Times New Roman" w:hint="default"/>
        <w:i/>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69">
    <w:nsid w:val="528C1C7B"/>
    <w:multiLevelType w:val="hybridMultilevel"/>
    <w:tmpl w:val="9BA0C20E"/>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3D14DF3"/>
    <w:multiLevelType w:val="hybridMultilevel"/>
    <w:tmpl w:val="4AB0A6E8"/>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51B358B"/>
    <w:multiLevelType w:val="hybridMultilevel"/>
    <w:tmpl w:val="B1349E32"/>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55158E1"/>
    <w:multiLevelType w:val="hybridMultilevel"/>
    <w:tmpl w:val="D40209CC"/>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6A1229B"/>
    <w:multiLevelType w:val="hybridMultilevel"/>
    <w:tmpl w:val="80EA36B6"/>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7576124"/>
    <w:multiLevelType w:val="hybridMultilevel"/>
    <w:tmpl w:val="C70A62D4"/>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7D41F24"/>
    <w:multiLevelType w:val="hybridMultilevel"/>
    <w:tmpl w:val="BCC8F328"/>
    <w:lvl w:ilvl="0" w:tplc="F72CE2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9957E51"/>
    <w:multiLevelType w:val="hybridMultilevel"/>
    <w:tmpl w:val="8640B92C"/>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B324EA8"/>
    <w:multiLevelType w:val="hybridMultilevel"/>
    <w:tmpl w:val="A0880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B6D1B4D"/>
    <w:multiLevelType w:val="hybridMultilevel"/>
    <w:tmpl w:val="4336E72A"/>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E814AE0"/>
    <w:multiLevelType w:val="hybridMultilevel"/>
    <w:tmpl w:val="575A7454"/>
    <w:lvl w:ilvl="0" w:tplc="F72CE2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CC324B"/>
    <w:multiLevelType w:val="hybridMultilevel"/>
    <w:tmpl w:val="2BF8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0F5546C"/>
    <w:multiLevelType w:val="hybridMultilevel"/>
    <w:tmpl w:val="1190218C"/>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29073FC"/>
    <w:multiLevelType w:val="hybridMultilevel"/>
    <w:tmpl w:val="BDC4AD96"/>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2DB3D68"/>
    <w:multiLevelType w:val="hybridMultilevel"/>
    <w:tmpl w:val="CBC6FE0C"/>
    <w:lvl w:ilvl="0" w:tplc="21D42084">
      <w:start w:val="1"/>
      <w:numFmt w:val="bullet"/>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4763D75"/>
    <w:multiLevelType w:val="hybridMultilevel"/>
    <w:tmpl w:val="CF7A20F0"/>
    <w:lvl w:ilvl="0" w:tplc="7632DA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47E0B5C"/>
    <w:multiLevelType w:val="hybridMultilevel"/>
    <w:tmpl w:val="095C542C"/>
    <w:lvl w:ilvl="0" w:tplc="F72CE2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5302DFB"/>
    <w:multiLevelType w:val="hybridMultilevel"/>
    <w:tmpl w:val="7096BE8A"/>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5B92D3B"/>
    <w:multiLevelType w:val="hybridMultilevel"/>
    <w:tmpl w:val="C038C012"/>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625674C"/>
    <w:multiLevelType w:val="hybridMultilevel"/>
    <w:tmpl w:val="3AE6F83E"/>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6510ABF"/>
    <w:multiLevelType w:val="hybridMultilevel"/>
    <w:tmpl w:val="03985E66"/>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AD35E46"/>
    <w:multiLevelType w:val="hybridMultilevel"/>
    <w:tmpl w:val="FAE030C2"/>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B6841F8"/>
    <w:multiLevelType w:val="hybridMultilevel"/>
    <w:tmpl w:val="34DE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C205EFC"/>
    <w:multiLevelType w:val="hybridMultilevel"/>
    <w:tmpl w:val="69A42294"/>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DC850B1"/>
    <w:multiLevelType w:val="hybridMultilevel"/>
    <w:tmpl w:val="B3B486CC"/>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FE60FF4"/>
    <w:multiLevelType w:val="hybridMultilevel"/>
    <w:tmpl w:val="76B2EB9E"/>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0763916"/>
    <w:multiLevelType w:val="hybridMultilevel"/>
    <w:tmpl w:val="897E4362"/>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09E2F42"/>
    <w:multiLevelType w:val="hybridMultilevel"/>
    <w:tmpl w:val="4B881C48"/>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5035186"/>
    <w:multiLevelType w:val="hybridMultilevel"/>
    <w:tmpl w:val="B624189C"/>
    <w:lvl w:ilvl="0" w:tplc="96FCDE3E">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62548FE"/>
    <w:multiLevelType w:val="hybridMultilevel"/>
    <w:tmpl w:val="07EE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69A50E3"/>
    <w:multiLevelType w:val="hybridMultilevel"/>
    <w:tmpl w:val="C1100466"/>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839700B"/>
    <w:multiLevelType w:val="hybridMultilevel"/>
    <w:tmpl w:val="5DDC1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abstractNum w:abstractNumId="102">
    <w:nsid w:val="78604F4C"/>
    <w:multiLevelType w:val="hybridMultilevel"/>
    <w:tmpl w:val="C6DA0D1A"/>
    <w:lvl w:ilvl="0" w:tplc="F72CE2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8703547"/>
    <w:multiLevelType w:val="hybridMultilevel"/>
    <w:tmpl w:val="669C0F2A"/>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1117AD"/>
    <w:multiLevelType w:val="hybridMultilevel"/>
    <w:tmpl w:val="E572F73A"/>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C5E675F"/>
    <w:multiLevelType w:val="hybridMultilevel"/>
    <w:tmpl w:val="DE8C2DB6"/>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D4E6D1A"/>
    <w:multiLevelType w:val="hybridMultilevel"/>
    <w:tmpl w:val="89BEB24A"/>
    <w:lvl w:ilvl="0" w:tplc="F72CE2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DA60E33"/>
    <w:multiLevelType w:val="hybridMultilevel"/>
    <w:tmpl w:val="FEFE084C"/>
    <w:lvl w:ilvl="0" w:tplc="96FCD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F081913"/>
    <w:multiLevelType w:val="hybridMultilevel"/>
    <w:tmpl w:val="607AB4A0"/>
    <w:lvl w:ilvl="0" w:tplc="F72CE2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F245C45"/>
    <w:multiLevelType w:val="hybridMultilevel"/>
    <w:tmpl w:val="155CB39A"/>
    <w:lvl w:ilvl="0" w:tplc="2558F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1"/>
  </w:num>
  <w:num w:numId="2">
    <w:abstractNumId w:val="68"/>
  </w:num>
  <w:num w:numId="3">
    <w:abstractNumId w:val="1"/>
  </w:num>
  <w:num w:numId="4">
    <w:abstractNumId w:val="61"/>
  </w:num>
  <w:num w:numId="5">
    <w:abstractNumId w:val="90"/>
  </w:num>
  <w:num w:numId="6">
    <w:abstractNumId w:val="5"/>
  </w:num>
  <w:num w:numId="7">
    <w:abstractNumId w:val="25"/>
  </w:num>
  <w:num w:numId="8">
    <w:abstractNumId w:val="8"/>
  </w:num>
  <w:num w:numId="9">
    <w:abstractNumId w:val="96"/>
  </w:num>
  <w:num w:numId="10">
    <w:abstractNumId w:val="94"/>
  </w:num>
  <w:num w:numId="11">
    <w:abstractNumId w:val="78"/>
  </w:num>
  <w:num w:numId="12">
    <w:abstractNumId w:val="89"/>
  </w:num>
  <w:num w:numId="13">
    <w:abstractNumId w:val="45"/>
  </w:num>
  <w:num w:numId="14">
    <w:abstractNumId w:val="87"/>
  </w:num>
  <w:num w:numId="15">
    <w:abstractNumId w:val="32"/>
  </w:num>
  <w:num w:numId="16">
    <w:abstractNumId w:val="18"/>
  </w:num>
  <w:num w:numId="17">
    <w:abstractNumId w:val="105"/>
  </w:num>
  <w:num w:numId="18">
    <w:abstractNumId w:val="50"/>
  </w:num>
  <w:num w:numId="19">
    <w:abstractNumId w:val="53"/>
  </w:num>
  <w:num w:numId="20">
    <w:abstractNumId w:val="55"/>
  </w:num>
  <w:num w:numId="21">
    <w:abstractNumId w:val="92"/>
  </w:num>
  <w:num w:numId="22">
    <w:abstractNumId w:val="7"/>
  </w:num>
  <w:num w:numId="23">
    <w:abstractNumId w:val="35"/>
  </w:num>
  <w:num w:numId="24">
    <w:abstractNumId w:val="16"/>
  </w:num>
  <w:num w:numId="25">
    <w:abstractNumId w:val="24"/>
  </w:num>
  <w:num w:numId="26">
    <w:abstractNumId w:val="17"/>
  </w:num>
  <w:num w:numId="27">
    <w:abstractNumId w:val="10"/>
  </w:num>
  <w:num w:numId="28">
    <w:abstractNumId w:val="20"/>
  </w:num>
  <w:num w:numId="29">
    <w:abstractNumId w:val="58"/>
  </w:num>
  <w:num w:numId="30">
    <w:abstractNumId w:val="51"/>
  </w:num>
  <w:num w:numId="31">
    <w:abstractNumId w:val="88"/>
  </w:num>
  <w:num w:numId="32">
    <w:abstractNumId w:val="15"/>
  </w:num>
  <w:num w:numId="33">
    <w:abstractNumId w:val="81"/>
  </w:num>
  <w:num w:numId="34">
    <w:abstractNumId w:val="103"/>
  </w:num>
  <w:num w:numId="35">
    <w:abstractNumId w:val="3"/>
  </w:num>
  <w:num w:numId="36">
    <w:abstractNumId w:val="57"/>
  </w:num>
  <w:num w:numId="37">
    <w:abstractNumId w:val="11"/>
  </w:num>
  <w:num w:numId="38">
    <w:abstractNumId w:val="95"/>
  </w:num>
  <w:num w:numId="39">
    <w:abstractNumId w:val="82"/>
  </w:num>
  <w:num w:numId="40">
    <w:abstractNumId w:val="26"/>
  </w:num>
  <w:num w:numId="41">
    <w:abstractNumId w:val="2"/>
  </w:num>
  <w:num w:numId="42">
    <w:abstractNumId w:val="64"/>
  </w:num>
  <w:num w:numId="43">
    <w:abstractNumId w:val="69"/>
  </w:num>
  <w:num w:numId="44">
    <w:abstractNumId w:val="31"/>
  </w:num>
  <w:num w:numId="45">
    <w:abstractNumId w:val="44"/>
  </w:num>
  <w:num w:numId="46">
    <w:abstractNumId w:val="42"/>
  </w:num>
  <w:num w:numId="47">
    <w:abstractNumId w:val="99"/>
  </w:num>
  <w:num w:numId="48">
    <w:abstractNumId w:val="41"/>
  </w:num>
  <w:num w:numId="49">
    <w:abstractNumId w:val="23"/>
  </w:num>
  <w:num w:numId="50">
    <w:abstractNumId w:val="14"/>
  </w:num>
  <w:num w:numId="51">
    <w:abstractNumId w:val="4"/>
  </w:num>
  <w:num w:numId="52">
    <w:abstractNumId w:val="104"/>
  </w:num>
  <w:num w:numId="53">
    <w:abstractNumId w:val="60"/>
  </w:num>
  <w:num w:numId="54">
    <w:abstractNumId w:val="93"/>
  </w:num>
  <w:num w:numId="55">
    <w:abstractNumId w:val="12"/>
  </w:num>
  <w:num w:numId="56">
    <w:abstractNumId w:val="97"/>
  </w:num>
  <w:num w:numId="57">
    <w:abstractNumId w:val="76"/>
  </w:num>
  <w:num w:numId="58">
    <w:abstractNumId w:val="54"/>
  </w:num>
  <w:num w:numId="59">
    <w:abstractNumId w:val="73"/>
  </w:num>
  <w:num w:numId="60">
    <w:abstractNumId w:val="70"/>
  </w:num>
  <w:num w:numId="61">
    <w:abstractNumId w:val="107"/>
  </w:num>
  <w:num w:numId="62">
    <w:abstractNumId w:val="21"/>
  </w:num>
  <w:num w:numId="63">
    <w:abstractNumId w:val="86"/>
  </w:num>
  <w:num w:numId="64">
    <w:abstractNumId w:val="72"/>
  </w:num>
  <w:num w:numId="65">
    <w:abstractNumId w:val="74"/>
  </w:num>
  <w:num w:numId="66">
    <w:abstractNumId w:val="71"/>
  </w:num>
  <w:num w:numId="67">
    <w:abstractNumId w:val="19"/>
  </w:num>
  <w:num w:numId="68">
    <w:abstractNumId w:val="9"/>
  </w:num>
  <w:num w:numId="69">
    <w:abstractNumId w:val="43"/>
  </w:num>
  <w:num w:numId="70">
    <w:abstractNumId w:val="85"/>
  </w:num>
  <w:num w:numId="71">
    <w:abstractNumId w:val="30"/>
  </w:num>
  <w:num w:numId="72">
    <w:abstractNumId w:val="106"/>
  </w:num>
  <w:num w:numId="73">
    <w:abstractNumId w:val="67"/>
  </w:num>
  <w:num w:numId="74">
    <w:abstractNumId w:val="48"/>
  </w:num>
  <w:num w:numId="75">
    <w:abstractNumId w:val="102"/>
  </w:num>
  <w:num w:numId="76">
    <w:abstractNumId w:val="79"/>
  </w:num>
  <w:num w:numId="77">
    <w:abstractNumId w:val="75"/>
  </w:num>
  <w:num w:numId="78">
    <w:abstractNumId w:val="108"/>
  </w:num>
  <w:num w:numId="79">
    <w:abstractNumId w:val="47"/>
  </w:num>
  <w:num w:numId="80">
    <w:abstractNumId w:val="52"/>
  </w:num>
  <w:num w:numId="81">
    <w:abstractNumId w:val="49"/>
  </w:num>
  <w:num w:numId="82">
    <w:abstractNumId w:val="84"/>
  </w:num>
  <w:num w:numId="83">
    <w:abstractNumId w:val="65"/>
  </w:num>
  <w:num w:numId="84">
    <w:abstractNumId w:val="46"/>
  </w:num>
  <w:num w:numId="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
  </w:num>
  <w:num w:numId="91">
    <w:abstractNumId w:val="56"/>
  </w:num>
  <w:num w:numId="92">
    <w:abstractNumId w:val="59"/>
  </w:num>
  <w:num w:numId="93">
    <w:abstractNumId w:val="100"/>
  </w:num>
  <w:num w:numId="94">
    <w:abstractNumId w:val="80"/>
  </w:num>
  <w:num w:numId="95">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96">
    <w:abstractNumId w:val="83"/>
  </w:num>
  <w:num w:numId="97">
    <w:abstractNumId w:val="38"/>
  </w:num>
  <w:num w:numId="98">
    <w:abstractNumId w:val="27"/>
  </w:num>
  <w:num w:numId="99">
    <w:abstractNumId w:val="62"/>
  </w:num>
  <w:num w:numId="100">
    <w:abstractNumId w:val="63"/>
  </w:num>
  <w:num w:numId="101">
    <w:abstractNumId w:val="33"/>
  </w:num>
  <w:num w:numId="102">
    <w:abstractNumId w:val="40"/>
  </w:num>
  <w:num w:numId="103">
    <w:abstractNumId w:val="29"/>
  </w:num>
  <w:num w:numId="104">
    <w:abstractNumId w:val="22"/>
  </w:num>
  <w:num w:numId="105">
    <w:abstractNumId w:val="109"/>
  </w:num>
  <w:num w:numId="106">
    <w:abstractNumId w:val="36"/>
  </w:num>
  <w:num w:numId="107">
    <w:abstractNumId w:val="6"/>
  </w:num>
  <w:num w:numId="108">
    <w:abstractNumId w:val="34"/>
  </w:num>
  <w:num w:numId="109">
    <w:abstractNumId w:val="98"/>
  </w:num>
  <w:num w:numId="110">
    <w:abstractNumId w:val="37"/>
  </w:num>
  <w:num w:numId="111">
    <w:abstractNumId w:val="66"/>
  </w:num>
  <w:num w:numId="112">
    <w:abstractNumId w:val="77"/>
  </w:num>
  <w:num w:numId="113">
    <w:abstractNumId w:val="91"/>
  </w:num>
  <w:num w:numId="114">
    <w:abstractNumId w:val="39"/>
  </w:num>
  <w:num w:numId="115">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B2"/>
    <w:rsid w:val="00006E78"/>
    <w:rsid w:val="00023883"/>
    <w:rsid w:val="00034C4A"/>
    <w:rsid w:val="00047FF3"/>
    <w:rsid w:val="000765EF"/>
    <w:rsid w:val="000C557B"/>
    <w:rsid w:val="000D5908"/>
    <w:rsid w:val="000E7B87"/>
    <w:rsid w:val="00165C7D"/>
    <w:rsid w:val="0018073D"/>
    <w:rsid w:val="001814CD"/>
    <w:rsid w:val="00190EFE"/>
    <w:rsid w:val="00193724"/>
    <w:rsid w:val="001A70CF"/>
    <w:rsid w:val="001B3540"/>
    <w:rsid w:val="001C2E88"/>
    <w:rsid w:val="00200424"/>
    <w:rsid w:val="002118EA"/>
    <w:rsid w:val="00214BBA"/>
    <w:rsid w:val="00223EE5"/>
    <w:rsid w:val="00241960"/>
    <w:rsid w:val="00250473"/>
    <w:rsid w:val="002542E0"/>
    <w:rsid w:val="0025779D"/>
    <w:rsid w:val="0027029E"/>
    <w:rsid w:val="002757B0"/>
    <w:rsid w:val="00277784"/>
    <w:rsid w:val="00287892"/>
    <w:rsid w:val="00292445"/>
    <w:rsid w:val="00297F2C"/>
    <w:rsid w:val="002D6C54"/>
    <w:rsid w:val="002E08FF"/>
    <w:rsid w:val="002F0E21"/>
    <w:rsid w:val="002F6862"/>
    <w:rsid w:val="00304DBB"/>
    <w:rsid w:val="003078DC"/>
    <w:rsid w:val="00335719"/>
    <w:rsid w:val="003B7392"/>
    <w:rsid w:val="00444B2C"/>
    <w:rsid w:val="00470623"/>
    <w:rsid w:val="004830D2"/>
    <w:rsid w:val="004926DF"/>
    <w:rsid w:val="004C02B2"/>
    <w:rsid w:val="004C2BF0"/>
    <w:rsid w:val="004C6E94"/>
    <w:rsid w:val="005204AB"/>
    <w:rsid w:val="00532D57"/>
    <w:rsid w:val="005335BE"/>
    <w:rsid w:val="00542A6E"/>
    <w:rsid w:val="0056496E"/>
    <w:rsid w:val="005821FB"/>
    <w:rsid w:val="005A1FA3"/>
    <w:rsid w:val="005B079C"/>
    <w:rsid w:val="005F0670"/>
    <w:rsid w:val="00623F94"/>
    <w:rsid w:val="00660D68"/>
    <w:rsid w:val="00684FD1"/>
    <w:rsid w:val="006905D2"/>
    <w:rsid w:val="00695EBD"/>
    <w:rsid w:val="006A4D45"/>
    <w:rsid w:val="006D41DF"/>
    <w:rsid w:val="006E7893"/>
    <w:rsid w:val="0072487F"/>
    <w:rsid w:val="00746CB3"/>
    <w:rsid w:val="00754C6D"/>
    <w:rsid w:val="00757A01"/>
    <w:rsid w:val="00766E50"/>
    <w:rsid w:val="007737D5"/>
    <w:rsid w:val="0078709A"/>
    <w:rsid w:val="007B39EE"/>
    <w:rsid w:val="008026D2"/>
    <w:rsid w:val="00805E3A"/>
    <w:rsid w:val="008131BB"/>
    <w:rsid w:val="008164CA"/>
    <w:rsid w:val="00816879"/>
    <w:rsid w:val="00863BAD"/>
    <w:rsid w:val="00867C95"/>
    <w:rsid w:val="00870D63"/>
    <w:rsid w:val="008773DD"/>
    <w:rsid w:val="008814FD"/>
    <w:rsid w:val="008837CB"/>
    <w:rsid w:val="008C76E9"/>
    <w:rsid w:val="008C7CA8"/>
    <w:rsid w:val="008D64D9"/>
    <w:rsid w:val="00905AA9"/>
    <w:rsid w:val="00930A97"/>
    <w:rsid w:val="00931FED"/>
    <w:rsid w:val="00933897"/>
    <w:rsid w:val="00933EDD"/>
    <w:rsid w:val="00937E54"/>
    <w:rsid w:val="00964800"/>
    <w:rsid w:val="009853B6"/>
    <w:rsid w:val="0098786C"/>
    <w:rsid w:val="009C2A82"/>
    <w:rsid w:val="009E004A"/>
    <w:rsid w:val="00A1565D"/>
    <w:rsid w:val="00A316B9"/>
    <w:rsid w:val="00A35352"/>
    <w:rsid w:val="00A54CAF"/>
    <w:rsid w:val="00A85820"/>
    <w:rsid w:val="00A86279"/>
    <w:rsid w:val="00A95E74"/>
    <w:rsid w:val="00AA7AC7"/>
    <w:rsid w:val="00AB2AB9"/>
    <w:rsid w:val="00AD3691"/>
    <w:rsid w:val="00AD74E8"/>
    <w:rsid w:val="00AE4E66"/>
    <w:rsid w:val="00AF4F82"/>
    <w:rsid w:val="00B24558"/>
    <w:rsid w:val="00B365C9"/>
    <w:rsid w:val="00B77AE7"/>
    <w:rsid w:val="00BA17D4"/>
    <w:rsid w:val="00BB4B4E"/>
    <w:rsid w:val="00BD451C"/>
    <w:rsid w:val="00BE11A7"/>
    <w:rsid w:val="00BE7063"/>
    <w:rsid w:val="00BE7131"/>
    <w:rsid w:val="00C232A2"/>
    <w:rsid w:val="00C34731"/>
    <w:rsid w:val="00C43E85"/>
    <w:rsid w:val="00C52FF2"/>
    <w:rsid w:val="00C54A1A"/>
    <w:rsid w:val="00C8312C"/>
    <w:rsid w:val="00CA1A38"/>
    <w:rsid w:val="00CA7B4B"/>
    <w:rsid w:val="00D00393"/>
    <w:rsid w:val="00D31555"/>
    <w:rsid w:val="00D33C12"/>
    <w:rsid w:val="00D36224"/>
    <w:rsid w:val="00D67CFB"/>
    <w:rsid w:val="00D8233C"/>
    <w:rsid w:val="00D95FA3"/>
    <w:rsid w:val="00DA7B0C"/>
    <w:rsid w:val="00DC6B22"/>
    <w:rsid w:val="00DD386E"/>
    <w:rsid w:val="00DF1F66"/>
    <w:rsid w:val="00E47A7A"/>
    <w:rsid w:val="00E5735E"/>
    <w:rsid w:val="00E67CBE"/>
    <w:rsid w:val="00E75283"/>
    <w:rsid w:val="00E80BEA"/>
    <w:rsid w:val="00E9533F"/>
    <w:rsid w:val="00EA653F"/>
    <w:rsid w:val="00EC5316"/>
    <w:rsid w:val="00ED3DCF"/>
    <w:rsid w:val="00EF2D48"/>
    <w:rsid w:val="00EF53FC"/>
    <w:rsid w:val="00F2149C"/>
    <w:rsid w:val="00F47875"/>
    <w:rsid w:val="00F77E62"/>
    <w:rsid w:val="00FB6896"/>
    <w:rsid w:val="00FD7F93"/>
    <w:rsid w:val="00FF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B2"/>
    <w:pPr>
      <w:spacing w:after="0" w:line="240" w:lineRule="auto"/>
    </w:pPr>
    <w:rPr>
      <w:rFonts w:ascii="Times New Roman" w:eastAsia="Times New Roman" w:hAnsi="Times New Roman" w:cs="Times New Roman"/>
      <w:sz w:val="24"/>
      <w:szCs w:val="24"/>
    </w:rPr>
  </w:style>
  <w:style w:type="paragraph" w:styleId="Heading4">
    <w:name w:val="heading 4"/>
    <w:aliases w:val="Map Title"/>
    <w:basedOn w:val="Normal"/>
    <w:next w:val="Normal"/>
    <w:link w:val="Heading4Char"/>
    <w:qFormat/>
    <w:rsid w:val="004C02B2"/>
    <w:pPr>
      <w:spacing w:after="240"/>
      <w:outlineLvl w:val="3"/>
    </w:pPr>
    <w:rPr>
      <w:rFonts w:ascii="Arial" w:hAnsi="Arial"/>
      <w:b/>
      <w:sz w:val="32"/>
      <w:szCs w:val="20"/>
    </w:rPr>
  </w:style>
  <w:style w:type="paragraph" w:styleId="Heading5">
    <w:name w:val="heading 5"/>
    <w:aliases w:val="Block Label"/>
    <w:basedOn w:val="Normal"/>
    <w:link w:val="Heading5Char"/>
    <w:qFormat/>
    <w:rsid w:val="004C02B2"/>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4C02B2"/>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4C02B2"/>
    <w:rPr>
      <w:rFonts w:ascii="Times New Roman" w:eastAsia="Times New Roman" w:hAnsi="Times New Roman" w:cs="Times New Roman"/>
      <w:b/>
      <w:szCs w:val="20"/>
    </w:rPr>
  </w:style>
  <w:style w:type="paragraph" w:customStyle="1" w:styleId="BlockLine">
    <w:name w:val="Block Line"/>
    <w:basedOn w:val="Normal"/>
    <w:next w:val="Normal"/>
    <w:rsid w:val="004C02B2"/>
    <w:pPr>
      <w:pBdr>
        <w:top w:val="single" w:sz="6" w:space="1" w:color="auto"/>
        <w:between w:val="single" w:sz="6" w:space="1" w:color="auto"/>
      </w:pBdr>
      <w:spacing w:before="240"/>
      <w:ind w:left="1728"/>
    </w:pPr>
    <w:rPr>
      <w:szCs w:val="20"/>
    </w:rPr>
  </w:style>
  <w:style w:type="paragraph" w:styleId="BlockText">
    <w:name w:val="Block Text"/>
    <w:basedOn w:val="Normal"/>
    <w:rsid w:val="004C02B2"/>
  </w:style>
  <w:style w:type="paragraph" w:customStyle="1" w:styleId="BulletText1">
    <w:name w:val="Bullet Text 1"/>
    <w:basedOn w:val="Normal"/>
    <w:rsid w:val="004C02B2"/>
    <w:pPr>
      <w:numPr>
        <w:numId w:val="1"/>
      </w:numPr>
      <w:tabs>
        <w:tab w:val="clear" w:pos="173"/>
      </w:tabs>
      <w:ind w:left="187" w:hanging="187"/>
    </w:pPr>
    <w:rPr>
      <w:szCs w:val="20"/>
    </w:rPr>
  </w:style>
  <w:style w:type="character" w:styleId="Hyperlink">
    <w:name w:val="Hyperlink"/>
    <w:uiPriority w:val="99"/>
    <w:rsid w:val="004C02B2"/>
    <w:rPr>
      <w:color w:val="0000FF"/>
      <w:u w:val="single"/>
    </w:rPr>
  </w:style>
  <w:style w:type="paragraph" w:customStyle="1" w:styleId="TableText">
    <w:name w:val="Table Text"/>
    <w:basedOn w:val="Normal"/>
    <w:rsid w:val="004C02B2"/>
    <w:rPr>
      <w:szCs w:val="20"/>
    </w:rPr>
  </w:style>
  <w:style w:type="paragraph" w:customStyle="1" w:styleId="TableHeaderText">
    <w:name w:val="Table Header Text"/>
    <w:basedOn w:val="Normal"/>
    <w:rsid w:val="004C02B2"/>
    <w:pPr>
      <w:jc w:val="center"/>
    </w:pPr>
    <w:rPr>
      <w:b/>
      <w:szCs w:val="20"/>
    </w:rPr>
  </w:style>
  <w:style w:type="character" w:styleId="CommentReference">
    <w:name w:val="annotation reference"/>
    <w:semiHidden/>
    <w:rsid w:val="00A86279"/>
    <w:rPr>
      <w:sz w:val="16"/>
    </w:rPr>
  </w:style>
  <w:style w:type="paragraph" w:styleId="CommentText">
    <w:name w:val="annotation text"/>
    <w:basedOn w:val="Normal"/>
    <w:link w:val="CommentTextChar"/>
    <w:semiHidden/>
    <w:rsid w:val="00A86279"/>
    <w:rPr>
      <w:color w:val="000000"/>
      <w:sz w:val="20"/>
    </w:rPr>
  </w:style>
  <w:style w:type="character" w:customStyle="1" w:styleId="CommentTextChar">
    <w:name w:val="Comment Text Char"/>
    <w:basedOn w:val="DefaultParagraphFont"/>
    <w:link w:val="CommentText"/>
    <w:semiHidden/>
    <w:rsid w:val="00A86279"/>
    <w:rPr>
      <w:rFonts w:ascii="Times New Roman" w:eastAsia="Times New Roman" w:hAnsi="Times New Roman" w:cs="Times New Roman"/>
      <w:color w:val="000000"/>
      <w:sz w:val="20"/>
      <w:szCs w:val="24"/>
    </w:rPr>
  </w:style>
  <w:style w:type="paragraph" w:styleId="BalloonText">
    <w:name w:val="Balloon Text"/>
    <w:basedOn w:val="Normal"/>
    <w:link w:val="BalloonTextChar"/>
    <w:uiPriority w:val="99"/>
    <w:semiHidden/>
    <w:unhideWhenUsed/>
    <w:rsid w:val="00A86279"/>
    <w:rPr>
      <w:rFonts w:ascii="Tahoma" w:hAnsi="Tahoma" w:cs="Tahoma"/>
      <w:sz w:val="16"/>
      <w:szCs w:val="16"/>
    </w:rPr>
  </w:style>
  <w:style w:type="character" w:customStyle="1" w:styleId="BalloonTextChar">
    <w:name w:val="Balloon Text Char"/>
    <w:basedOn w:val="DefaultParagraphFont"/>
    <w:link w:val="BalloonText"/>
    <w:uiPriority w:val="99"/>
    <w:semiHidden/>
    <w:rsid w:val="00A86279"/>
    <w:rPr>
      <w:rFonts w:ascii="Tahoma" w:eastAsia="Times New Roman" w:hAnsi="Tahoma" w:cs="Tahoma"/>
      <w:sz w:val="16"/>
      <w:szCs w:val="16"/>
    </w:rPr>
  </w:style>
  <w:style w:type="paragraph" w:customStyle="1" w:styleId="ContinuedOnNextPa">
    <w:name w:val="Continued On Next Pa"/>
    <w:basedOn w:val="Normal"/>
    <w:next w:val="Normal"/>
    <w:rsid w:val="00A86279"/>
    <w:pPr>
      <w:pBdr>
        <w:top w:val="single" w:sz="6" w:space="1" w:color="000000"/>
        <w:between w:val="single" w:sz="6" w:space="1" w:color="auto"/>
      </w:pBdr>
      <w:spacing w:before="240"/>
      <w:ind w:left="1720"/>
      <w:jc w:val="right"/>
    </w:pPr>
    <w:rPr>
      <w:i/>
      <w:color w:val="000000"/>
      <w:sz w:val="20"/>
      <w:szCs w:val="20"/>
    </w:rPr>
  </w:style>
  <w:style w:type="paragraph" w:customStyle="1" w:styleId="BulletText2">
    <w:name w:val="Bullet Text 2"/>
    <w:basedOn w:val="Normal"/>
    <w:rsid w:val="00D8233C"/>
    <w:pPr>
      <w:numPr>
        <w:numId w:val="3"/>
      </w:numPr>
    </w:pPr>
    <w:rPr>
      <w:color w:val="000000"/>
      <w:szCs w:val="20"/>
    </w:rPr>
  </w:style>
  <w:style w:type="paragraph" w:customStyle="1" w:styleId="NoteText">
    <w:name w:val="Note Text"/>
    <w:basedOn w:val="Normal"/>
    <w:rsid w:val="00D33C12"/>
    <w:rPr>
      <w:color w:val="000000"/>
      <w:szCs w:val="20"/>
    </w:rPr>
  </w:style>
  <w:style w:type="paragraph" w:styleId="CommentSubject">
    <w:name w:val="annotation subject"/>
    <w:basedOn w:val="CommentText"/>
    <w:next w:val="CommentText"/>
    <w:link w:val="CommentSubjectChar"/>
    <w:uiPriority w:val="99"/>
    <w:semiHidden/>
    <w:unhideWhenUsed/>
    <w:rsid w:val="00AA7AC7"/>
    <w:rPr>
      <w:b/>
      <w:bCs/>
      <w:color w:val="auto"/>
      <w:szCs w:val="20"/>
    </w:rPr>
  </w:style>
  <w:style w:type="character" w:customStyle="1" w:styleId="CommentSubjectChar">
    <w:name w:val="Comment Subject Char"/>
    <w:basedOn w:val="CommentTextChar"/>
    <w:link w:val="CommentSubject"/>
    <w:uiPriority w:val="99"/>
    <w:semiHidden/>
    <w:rsid w:val="00AA7AC7"/>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AD74E8"/>
    <w:pPr>
      <w:ind w:left="720"/>
      <w:contextualSpacing/>
    </w:pPr>
  </w:style>
  <w:style w:type="table" w:styleId="TableGrid">
    <w:name w:val="Table Grid"/>
    <w:basedOn w:val="TableNormal"/>
    <w:uiPriority w:val="59"/>
    <w:rsid w:val="0028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FF2"/>
    <w:pPr>
      <w:tabs>
        <w:tab w:val="center" w:pos="4680"/>
        <w:tab w:val="right" w:pos="9360"/>
      </w:tabs>
    </w:pPr>
  </w:style>
  <w:style w:type="character" w:customStyle="1" w:styleId="HeaderChar">
    <w:name w:val="Header Char"/>
    <w:basedOn w:val="DefaultParagraphFont"/>
    <w:link w:val="Header"/>
    <w:uiPriority w:val="99"/>
    <w:rsid w:val="00C52F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2FF2"/>
    <w:pPr>
      <w:tabs>
        <w:tab w:val="center" w:pos="4680"/>
        <w:tab w:val="right" w:pos="9360"/>
      </w:tabs>
    </w:pPr>
  </w:style>
  <w:style w:type="character" w:customStyle="1" w:styleId="FooterChar">
    <w:name w:val="Footer Char"/>
    <w:basedOn w:val="DefaultParagraphFont"/>
    <w:link w:val="Footer"/>
    <w:uiPriority w:val="99"/>
    <w:rsid w:val="00C52FF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6C54"/>
    <w:rPr>
      <w:color w:val="800080" w:themeColor="followedHyperlink"/>
      <w:u w:val="single"/>
    </w:rPr>
  </w:style>
  <w:style w:type="paragraph" w:styleId="Revision">
    <w:name w:val="Revision"/>
    <w:hidden/>
    <w:uiPriority w:val="99"/>
    <w:semiHidden/>
    <w:rsid w:val="00214BB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7A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B2"/>
    <w:pPr>
      <w:spacing w:after="0" w:line="240" w:lineRule="auto"/>
    </w:pPr>
    <w:rPr>
      <w:rFonts w:ascii="Times New Roman" w:eastAsia="Times New Roman" w:hAnsi="Times New Roman" w:cs="Times New Roman"/>
      <w:sz w:val="24"/>
      <w:szCs w:val="24"/>
    </w:rPr>
  </w:style>
  <w:style w:type="paragraph" w:styleId="Heading4">
    <w:name w:val="heading 4"/>
    <w:aliases w:val="Map Title"/>
    <w:basedOn w:val="Normal"/>
    <w:next w:val="Normal"/>
    <w:link w:val="Heading4Char"/>
    <w:qFormat/>
    <w:rsid w:val="004C02B2"/>
    <w:pPr>
      <w:spacing w:after="240"/>
      <w:outlineLvl w:val="3"/>
    </w:pPr>
    <w:rPr>
      <w:rFonts w:ascii="Arial" w:hAnsi="Arial"/>
      <w:b/>
      <w:sz w:val="32"/>
      <w:szCs w:val="20"/>
    </w:rPr>
  </w:style>
  <w:style w:type="paragraph" w:styleId="Heading5">
    <w:name w:val="heading 5"/>
    <w:aliases w:val="Block Label"/>
    <w:basedOn w:val="Normal"/>
    <w:link w:val="Heading5Char"/>
    <w:qFormat/>
    <w:rsid w:val="004C02B2"/>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4C02B2"/>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4C02B2"/>
    <w:rPr>
      <w:rFonts w:ascii="Times New Roman" w:eastAsia="Times New Roman" w:hAnsi="Times New Roman" w:cs="Times New Roman"/>
      <w:b/>
      <w:szCs w:val="20"/>
    </w:rPr>
  </w:style>
  <w:style w:type="paragraph" w:customStyle="1" w:styleId="BlockLine">
    <w:name w:val="Block Line"/>
    <w:basedOn w:val="Normal"/>
    <w:next w:val="Normal"/>
    <w:rsid w:val="004C02B2"/>
    <w:pPr>
      <w:pBdr>
        <w:top w:val="single" w:sz="6" w:space="1" w:color="auto"/>
        <w:between w:val="single" w:sz="6" w:space="1" w:color="auto"/>
      </w:pBdr>
      <w:spacing w:before="240"/>
      <w:ind w:left="1728"/>
    </w:pPr>
    <w:rPr>
      <w:szCs w:val="20"/>
    </w:rPr>
  </w:style>
  <w:style w:type="paragraph" w:styleId="BlockText">
    <w:name w:val="Block Text"/>
    <w:basedOn w:val="Normal"/>
    <w:rsid w:val="004C02B2"/>
  </w:style>
  <w:style w:type="paragraph" w:customStyle="1" w:styleId="BulletText1">
    <w:name w:val="Bullet Text 1"/>
    <w:basedOn w:val="Normal"/>
    <w:rsid w:val="004C02B2"/>
    <w:pPr>
      <w:numPr>
        <w:numId w:val="1"/>
      </w:numPr>
      <w:tabs>
        <w:tab w:val="clear" w:pos="173"/>
      </w:tabs>
      <w:ind w:left="187" w:hanging="187"/>
    </w:pPr>
    <w:rPr>
      <w:szCs w:val="20"/>
    </w:rPr>
  </w:style>
  <w:style w:type="character" w:styleId="Hyperlink">
    <w:name w:val="Hyperlink"/>
    <w:uiPriority w:val="99"/>
    <w:rsid w:val="004C02B2"/>
    <w:rPr>
      <w:color w:val="0000FF"/>
      <w:u w:val="single"/>
    </w:rPr>
  </w:style>
  <w:style w:type="paragraph" w:customStyle="1" w:styleId="TableText">
    <w:name w:val="Table Text"/>
    <w:basedOn w:val="Normal"/>
    <w:rsid w:val="004C02B2"/>
    <w:rPr>
      <w:szCs w:val="20"/>
    </w:rPr>
  </w:style>
  <w:style w:type="paragraph" w:customStyle="1" w:styleId="TableHeaderText">
    <w:name w:val="Table Header Text"/>
    <w:basedOn w:val="Normal"/>
    <w:rsid w:val="004C02B2"/>
    <w:pPr>
      <w:jc w:val="center"/>
    </w:pPr>
    <w:rPr>
      <w:b/>
      <w:szCs w:val="20"/>
    </w:rPr>
  </w:style>
  <w:style w:type="character" w:styleId="CommentReference">
    <w:name w:val="annotation reference"/>
    <w:semiHidden/>
    <w:rsid w:val="00A86279"/>
    <w:rPr>
      <w:sz w:val="16"/>
    </w:rPr>
  </w:style>
  <w:style w:type="paragraph" w:styleId="CommentText">
    <w:name w:val="annotation text"/>
    <w:basedOn w:val="Normal"/>
    <w:link w:val="CommentTextChar"/>
    <w:semiHidden/>
    <w:rsid w:val="00A86279"/>
    <w:rPr>
      <w:color w:val="000000"/>
      <w:sz w:val="20"/>
    </w:rPr>
  </w:style>
  <w:style w:type="character" w:customStyle="1" w:styleId="CommentTextChar">
    <w:name w:val="Comment Text Char"/>
    <w:basedOn w:val="DefaultParagraphFont"/>
    <w:link w:val="CommentText"/>
    <w:semiHidden/>
    <w:rsid w:val="00A86279"/>
    <w:rPr>
      <w:rFonts w:ascii="Times New Roman" w:eastAsia="Times New Roman" w:hAnsi="Times New Roman" w:cs="Times New Roman"/>
      <w:color w:val="000000"/>
      <w:sz w:val="20"/>
      <w:szCs w:val="24"/>
    </w:rPr>
  </w:style>
  <w:style w:type="paragraph" w:styleId="BalloonText">
    <w:name w:val="Balloon Text"/>
    <w:basedOn w:val="Normal"/>
    <w:link w:val="BalloonTextChar"/>
    <w:uiPriority w:val="99"/>
    <w:semiHidden/>
    <w:unhideWhenUsed/>
    <w:rsid w:val="00A86279"/>
    <w:rPr>
      <w:rFonts w:ascii="Tahoma" w:hAnsi="Tahoma" w:cs="Tahoma"/>
      <w:sz w:val="16"/>
      <w:szCs w:val="16"/>
    </w:rPr>
  </w:style>
  <w:style w:type="character" w:customStyle="1" w:styleId="BalloonTextChar">
    <w:name w:val="Balloon Text Char"/>
    <w:basedOn w:val="DefaultParagraphFont"/>
    <w:link w:val="BalloonText"/>
    <w:uiPriority w:val="99"/>
    <w:semiHidden/>
    <w:rsid w:val="00A86279"/>
    <w:rPr>
      <w:rFonts w:ascii="Tahoma" w:eastAsia="Times New Roman" w:hAnsi="Tahoma" w:cs="Tahoma"/>
      <w:sz w:val="16"/>
      <w:szCs w:val="16"/>
    </w:rPr>
  </w:style>
  <w:style w:type="paragraph" w:customStyle="1" w:styleId="ContinuedOnNextPa">
    <w:name w:val="Continued On Next Pa"/>
    <w:basedOn w:val="Normal"/>
    <w:next w:val="Normal"/>
    <w:rsid w:val="00A86279"/>
    <w:pPr>
      <w:pBdr>
        <w:top w:val="single" w:sz="6" w:space="1" w:color="000000"/>
        <w:between w:val="single" w:sz="6" w:space="1" w:color="auto"/>
      </w:pBdr>
      <w:spacing w:before="240"/>
      <w:ind w:left="1720"/>
      <w:jc w:val="right"/>
    </w:pPr>
    <w:rPr>
      <w:i/>
      <w:color w:val="000000"/>
      <w:sz w:val="20"/>
      <w:szCs w:val="20"/>
    </w:rPr>
  </w:style>
  <w:style w:type="paragraph" w:customStyle="1" w:styleId="BulletText2">
    <w:name w:val="Bullet Text 2"/>
    <w:basedOn w:val="Normal"/>
    <w:rsid w:val="00D8233C"/>
    <w:pPr>
      <w:numPr>
        <w:numId w:val="3"/>
      </w:numPr>
    </w:pPr>
    <w:rPr>
      <w:color w:val="000000"/>
      <w:szCs w:val="20"/>
    </w:rPr>
  </w:style>
  <w:style w:type="paragraph" w:customStyle="1" w:styleId="NoteText">
    <w:name w:val="Note Text"/>
    <w:basedOn w:val="Normal"/>
    <w:rsid w:val="00D33C12"/>
    <w:rPr>
      <w:color w:val="000000"/>
      <w:szCs w:val="20"/>
    </w:rPr>
  </w:style>
  <w:style w:type="paragraph" w:styleId="CommentSubject">
    <w:name w:val="annotation subject"/>
    <w:basedOn w:val="CommentText"/>
    <w:next w:val="CommentText"/>
    <w:link w:val="CommentSubjectChar"/>
    <w:uiPriority w:val="99"/>
    <w:semiHidden/>
    <w:unhideWhenUsed/>
    <w:rsid w:val="00AA7AC7"/>
    <w:rPr>
      <w:b/>
      <w:bCs/>
      <w:color w:val="auto"/>
      <w:szCs w:val="20"/>
    </w:rPr>
  </w:style>
  <w:style w:type="character" w:customStyle="1" w:styleId="CommentSubjectChar">
    <w:name w:val="Comment Subject Char"/>
    <w:basedOn w:val="CommentTextChar"/>
    <w:link w:val="CommentSubject"/>
    <w:uiPriority w:val="99"/>
    <w:semiHidden/>
    <w:rsid w:val="00AA7AC7"/>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AD74E8"/>
    <w:pPr>
      <w:ind w:left="720"/>
      <w:contextualSpacing/>
    </w:pPr>
  </w:style>
  <w:style w:type="table" w:styleId="TableGrid">
    <w:name w:val="Table Grid"/>
    <w:basedOn w:val="TableNormal"/>
    <w:uiPriority w:val="59"/>
    <w:rsid w:val="0028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FF2"/>
    <w:pPr>
      <w:tabs>
        <w:tab w:val="center" w:pos="4680"/>
        <w:tab w:val="right" w:pos="9360"/>
      </w:tabs>
    </w:pPr>
  </w:style>
  <w:style w:type="character" w:customStyle="1" w:styleId="HeaderChar">
    <w:name w:val="Header Char"/>
    <w:basedOn w:val="DefaultParagraphFont"/>
    <w:link w:val="Header"/>
    <w:uiPriority w:val="99"/>
    <w:rsid w:val="00C52F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2FF2"/>
    <w:pPr>
      <w:tabs>
        <w:tab w:val="center" w:pos="4680"/>
        <w:tab w:val="right" w:pos="9360"/>
      </w:tabs>
    </w:pPr>
  </w:style>
  <w:style w:type="character" w:customStyle="1" w:styleId="FooterChar">
    <w:name w:val="Footer Char"/>
    <w:basedOn w:val="DefaultParagraphFont"/>
    <w:link w:val="Footer"/>
    <w:uiPriority w:val="99"/>
    <w:rsid w:val="00C52FF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6C54"/>
    <w:rPr>
      <w:color w:val="800080" w:themeColor="followedHyperlink"/>
      <w:u w:val="single"/>
    </w:rPr>
  </w:style>
  <w:style w:type="paragraph" w:styleId="Revision">
    <w:name w:val="Revision"/>
    <w:hidden/>
    <w:uiPriority w:val="99"/>
    <w:semiHidden/>
    <w:rsid w:val="00214BB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7A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10294">
      <w:bodyDiv w:val="1"/>
      <w:marLeft w:val="0"/>
      <w:marRight w:val="0"/>
      <w:marTop w:val="0"/>
      <w:marBottom w:val="0"/>
      <w:divBdr>
        <w:top w:val="none" w:sz="0" w:space="0" w:color="auto"/>
        <w:left w:val="none" w:sz="0" w:space="0" w:color="auto"/>
        <w:bottom w:val="none" w:sz="0" w:space="0" w:color="auto"/>
        <w:right w:val="none" w:sz="0" w:space="0" w:color="auto"/>
      </w:divBdr>
    </w:div>
    <w:div w:id="2145585283">
      <w:bodyDiv w:val="1"/>
      <w:marLeft w:val="0"/>
      <w:marRight w:val="0"/>
      <w:marTop w:val="0"/>
      <w:marBottom w:val="0"/>
      <w:divBdr>
        <w:top w:val="none" w:sz="0" w:space="0" w:color="auto"/>
        <w:left w:val="none" w:sz="0" w:space="0" w:color="auto"/>
        <w:bottom w:val="none" w:sz="0" w:space="0" w:color="auto"/>
        <w:right w:val="none" w:sz="0" w:space="0" w:color="auto"/>
      </w:divBdr>
      <w:divsChild>
        <w:div w:id="101981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w.cornell.edu/uscode/html/uscode26/usc_sec_26_00007213----000-.html" TargetMode="External"/><Relationship Id="rId18" Type="http://schemas.openxmlformats.org/officeDocument/2006/relationships/hyperlink" Target="mailto:VAVBAWAS/CO/21P1%20IRS/SSA%20%3c21P1_IRS_SSA.VBAVACO@va.gov%3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enefits.va.gov/WARMS/docs/admin20/rcs/part1/VB-1Part-I.doc"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benefits.va.gov/WARMS/docs/admin21/m21_1/mr/part3/subptii/ch04/M21-1MRIII_ii_4_SecA.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VAVBAWAS/CO/21P1%20IRS/SS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w.cornell.edu/uscode/html/uscode26/usc_sec_26_00007431----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7782-3816-4695-9726-A1B09B610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9FD50-D43D-4D07-893C-9586C702623F}">
  <ds:schemaRef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b438dcf7-3998-4283-b7fc-0ec6fa8e430f"/>
  </ds:schemaRefs>
</ds:datastoreItem>
</file>

<file path=customXml/itemProps3.xml><?xml version="1.0" encoding="utf-8"?>
<ds:datastoreItem xmlns:ds="http://schemas.openxmlformats.org/officeDocument/2006/customXml" ds:itemID="{54845F63-5408-4544-87ED-DC46C000E3DB}">
  <ds:schemaRefs>
    <ds:schemaRef ds:uri="http://schemas.microsoft.com/sharepoint/v3/contenttype/forms"/>
  </ds:schemaRefs>
</ds:datastoreItem>
</file>

<file path=customXml/itemProps4.xml><?xml version="1.0" encoding="utf-8"?>
<ds:datastoreItem xmlns:ds="http://schemas.openxmlformats.org/officeDocument/2006/customXml" ds:itemID="{56D1E15C-8C0A-4A18-B326-49509A6D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16</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Klusman, David R., VBAVACO</dc:creator>
  <cp:lastModifiedBy>Amy Hamma</cp:lastModifiedBy>
  <cp:revision>48</cp:revision>
  <cp:lastPrinted>2015-02-02T23:10:00Z</cp:lastPrinted>
  <dcterms:created xsi:type="dcterms:W3CDTF">2015-01-08T14:27:00Z</dcterms:created>
  <dcterms:modified xsi:type="dcterms:W3CDTF">2015-03-30T17:25:00Z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0x010100A3776AF772BF364D8E899CBB1EA8E540</vt:lpwstr>
  </property>
</Properties>
</file>