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3D6" w14:textId="77777777" w:rsidR="00561046" w:rsidRPr="00DF242F" w:rsidRDefault="00561046" w:rsidP="00561046">
      <w:pPr>
        <w:spacing w:after="240"/>
        <w:jc w:val="center"/>
        <w:outlineLvl w:val="1"/>
        <w:rPr>
          <w:rFonts w:ascii="Arial" w:hAnsi="Arial"/>
          <w:b/>
          <w:sz w:val="32"/>
          <w:szCs w:val="20"/>
        </w:rPr>
      </w:pPr>
      <w:bookmarkStart w:id="0" w:name="_GoBack"/>
      <w:bookmarkEnd w:id="0"/>
      <w:proofErr w:type="gramStart"/>
      <w:r w:rsidRPr="00DF242F">
        <w:rPr>
          <w:rFonts w:ascii="Arial" w:hAnsi="Arial"/>
          <w:b/>
          <w:sz w:val="32"/>
          <w:szCs w:val="20"/>
        </w:rPr>
        <w:t>Chapter 6.</w:t>
      </w:r>
      <w:proofErr w:type="gramEnd"/>
      <w:r w:rsidRPr="00DF242F">
        <w:rPr>
          <w:rFonts w:ascii="Arial" w:hAnsi="Arial"/>
          <w:b/>
          <w:sz w:val="32"/>
          <w:szCs w:val="20"/>
        </w:rPr>
        <w:t xml:space="preserve">  Semiannual Review of Potential Duplicate Payment Cases</w:t>
      </w:r>
    </w:p>
    <w:p w14:paraId="545E93D7" w14:textId="77777777" w:rsidR="00561046" w:rsidRPr="00DF242F" w:rsidRDefault="00561046" w:rsidP="00561046">
      <w:pPr>
        <w:spacing w:after="240"/>
        <w:outlineLvl w:val="3"/>
        <w:rPr>
          <w:rFonts w:ascii="Arial" w:hAnsi="Arial"/>
          <w:b/>
          <w:sz w:val="32"/>
          <w:szCs w:val="20"/>
        </w:rPr>
      </w:pPr>
      <w:r w:rsidRPr="00DF242F">
        <w:rPr>
          <w:rFonts w:ascii="Arial" w:hAnsi="Arial"/>
          <w:b/>
          <w:sz w:val="32"/>
          <w:szCs w:val="20"/>
        </w:rPr>
        <w:t xml:space="preserve">1.  Listings of </w:t>
      </w:r>
      <w:r w:rsidR="00DB5E1B" w:rsidRPr="00DF242F">
        <w:rPr>
          <w:rFonts w:ascii="Arial" w:hAnsi="Arial"/>
          <w:b/>
          <w:sz w:val="32"/>
          <w:szCs w:val="20"/>
        </w:rPr>
        <w:t>Compensation and Pension</w:t>
      </w:r>
      <w:r w:rsidRPr="00DF242F">
        <w:rPr>
          <w:rFonts w:ascii="Arial" w:hAnsi="Arial"/>
          <w:b/>
          <w:sz w:val="32"/>
          <w:szCs w:val="20"/>
        </w:rPr>
        <w:t xml:space="preserve"> Corporate Records</w:t>
      </w:r>
    </w:p>
    <w:p w14:paraId="545E93D8"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INFOTYPE="OTHER"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3E2" w14:textId="77777777" w:rsidTr="00D54AC6">
        <w:trPr>
          <w:cantSplit/>
        </w:trPr>
        <w:tc>
          <w:tcPr>
            <w:tcW w:w="1728" w:type="dxa"/>
          </w:tcPr>
          <w:p w14:paraId="545E93D9" w14:textId="77777777" w:rsidR="00561046" w:rsidRPr="00DF242F" w:rsidRDefault="00561046" w:rsidP="004E1A9F">
            <w:pPr>
              <w:pStyle w:val="Heading5"/>
            </w:pPr>
            <w:r w:rsidRPr="00DF242F">
              <w:t>Introduction</w:t>
            </w:r>
          </w:p>
        </w:tc>
        <w:tc>
          <w:tcPr>
            <w:tcW w:w="7740" w:type="dxa"/>
          </w:tcPr>
          <w:p w14:paraId="545E93DA" w14:textId="77777777" w:rsidR="00561046" w:rsidRPr="00DF242F" w:rsidRDefault="00561046" w:rsidP="006C160B">
            <w:pPr>
              <w:pStyle w:val="BlockText"/>
            </w:pPr>
            <w:r w:rsidRPr="00DF242F">
              <w:t>This topic contains information on listings of compensation and pension corporate records, including</w:t>
            </w:r>
          </w:p>
          <w:p w14:paraId="545E93DB" w14:textId="77777777" w:rsidR="00561046" w:rsidRPr="00DF242F" w:rsidRDefault="00561046" w:rsidP="006C160B">
            <w:pPr>
              <w:pStyle w:val="BlockText"/>
            </w:pPr>
          </w:p>
          <w:p w14:paraId="545E93DC" w14:textId="6740C70D" w:rsidR="00561046" w:rsidRPr="00DF242F" w:rsidRDefault="00C50D63" w:rsidP="006C160B">
            <w:pPr>
              <w:pStyle w:val="BulletText1"/>
            </w:pPr>
            <w:hyperlink w:anchor="_a.__Purpose" w:history="1">
              <w:r w:rsidR="00561046" w:rsidRPr="00DF242F">
                <w:rPr>
                  <w:rStyle w:val="Hyperlink"/>
                </w:rPr>
                <w:t>the purpose of the review</w:t>
              </w:r>
            </w:hyperlink>
          </w:p>
          <w:p w14:paraId="545E93DD" w14:textId="3166D774" w:rsidR="00561046" w:rsidRPr="00DF242F" w:rsidRDefault="00C50D63" w:rsidP="006C160B">
            <w:pPr>
              <w:pStyle w:val="BulletText1"/>
            </w:pPr>
            <w:hyperlink w:anchor="_b.__When" w:history="1">
              <w:r w:rsidR="00561046" w:rsidRPr="00DF242F">
                <w:rPr>
                  <w:rStyle w:val="Hyperlink"/>
                </w:rPr>
                <w:t>when the listings are mailed</w:t>
              </w:r>
            </w:hyperlink>
          </w:p>
          <w:p w14:paraId="545E93DE" w14:textId="038AFD58" w:rsidR="00561046" w:rsidRPr="00DF242F" w:rsidRDefault="00C50D63" w:rsidP="006C160B">
            <w:pPr>
              <w:pStyle w:val="BulletText1"/>
            </w:pPr>
            <w:hyperlink w:anchor="_c.__Corrective" w:history="1">
              <w:r w:rsidR="00561046" w:rsidRPr="00DF242F">
                <w:rPr>
                  <w:rStyle w:val="Hyperlink"/>
                </w:rPr>
                <w:t>corrective action</w:t>
              </w:r>
            </w:hyperlink>
          </w:p>
          <w:p w14:paraId="545E93DF" w14:textId="12F1E6FB" w:rsidR="00561046" w:rsidRPr="00DF242F" w:rsidRDefault="00C50D63" w:rsidP="006C160B">
            <w:pPr>
              <w:pStyle w:val="BulletText1"/>
            </w:pPr>
            <w:hyperlink w:anchor="_d.__Responsibility" w:history="1">
              <w:r w:rsidR="00561046" w:rsidRPr="00DF242F">
                <w:rPr>
                  <w:rStyle w:val="Hyperlink"/>
                </w:rPr>
                <w:t>who has responsibility for corrections</w:t>
              </w:r>
            </w:hyperlink>
          </w:p>
          <w:p w14:paraId="545E93E0" w14:textId="22441BFF" w:rsidR="00561046" w:rsidRPr="00DF242F" w:rsidRDefault="00C50D63" w:rsidP="006C160B">
            <w:pPr>
              <w:pStyle w:val="BulletText1"/>
            </w:pPr>
            <w:hyperlink w:anchor="_e.__Questions" w:history="1">
              <w:r w:rsidR="00561046" w:rsidRPr="00DF242F">
                <w:rPr>
                  <w:rStyle w:val="Hyperlink"/>
                </w:rPr>
                <w:t>handling questions or problems</w:t>
              </w:r>
            </w:hyperlink>
            <w:r w:rsidR="00561046" w:rsidRPr="00DF242F">
              <w:t>, and</w:t>
            </w:r>
          </w:p>
          <w:p w14:paraId="545E93E1" w14:textId="474AEEE5" w:rsidR="00561046" w:rsidRPr="00DF242F" w:rsidRDefault="00C50D63" w:rsidP="006C160B">
            <w:pPr>
              <w:pStyle w:val="BulletText1"/>
            </w:pPr>
            <w:hyperlink w:anchor="_f.__Veteran" w:history="1">
              <w:r w:rsidR="00561046" w:rsidRPr="00DF242F">
                <w:rPr>
                  <w:rStyle w:val="Hyperlink"/>
                </w:rPr>
                <w:t>when a Veteran or spouse does not have a Social Security number (SSN).</w:t>
              </w:r>
            </w:hyperlink>
          </w:p>
        </w:tc>
      </w:tr>
    </w:tbl>
    <w:p w14:paraId="545E93E3" w14:textId="77777777" w:rsidR="00561046" w:rsidRPr="00DF242F" w:rsidRDefault="00561046" w:rsidP="00561046">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561046" w:rsidRPr="00DF242F" w14:paraId="545E93E6" w14:textId="77777777" w:rsidTr="00D54AC6">
        <w:trPr>
          <w:cantSplit/>
        </w:trPr>
        <w:tc>
          <w:tcPr>
            <w:tcW w:w="1728" w:type="dxa"/>
          </w:tcPr>
          <w:p w14:paraId="545E93E4" w14:textId="77777777" w:rsidR="00561046" w:rsidRPr="00DF242F" w:rsidRDefault="00561046" w:rsidP="00A34968">
            <w:pPr>
              <w:pStyle w:val="Heading5"/>
            </w:pPr>
            <w:r w:rsidRPr="00DF242F">
              <w:t>Change Date</w:t>
            </w:r>
          </w:p>
        </w:tc>
        <w:tc>
          <w:tcPr>
            <w:tcW w:w="7740" w:type="dxa"/>
          </w:tcPr>
          <w:p w14:paraId="545E93E5" w14:textId="5BDDF16E" w:rsidR="00561046" w:rsidRPr="00DF242F" w:rsidRDefault="00543BFE" w:rsidP="0030179F">
            <w:pPr>
              <w:pStyle w:val="BlockText"/>
            </w:pPr>
            <w:r w:rsidRPr="00DF242F">
              <w:t>March 7, 2015</w:t>
            </w:r>
          </w:p>
        </w:tc>
      </w:tr>
    </w:tbl>
    <w:p w14:paraId="545E93E7"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3EA" w14:textId="77777777" w:rsidTr="00D54AC6">
        <w:trPr>
          <w:cantSplit/>
        </w:trPr>
        <w:tc>
          <w:tcPr>
            <w:tcW w:w="1728" w:type="dxa"/>
          </w:tcPr>
          <w:p w14:paraId="545E93E8" w14:textId="77777777" w:rsidR="00561046" w:rsidRPr="00DF242F" w:rsidRDefault="00561046" w:rsidP="0030179F">
            <w:pPr>
              <w:pStyle w:val="Heading5"/>
            </w:pPr>
            <w:bookmarkStart w:id="1" w:name="_a.__Purpose"/>
            <w:bookmarkEnd w:id="1"/>
            <w:r w:rsidRPr="00DF242F">
              <w:t>a.  Purpose of Review</w:t>
            </w:r>
          </w:p>
        </w:tc>
        <w:tc>
          <w:tcPr>
            <w:tcW w:w="7740" w:type="dxa"/>
          </w:tcPr>
          <w:p w14:paraId="545E93E9" w14:textId="77777777" w:rsidR="00561046" w:rsidRPr="00DF242F" w:rsidRDefault="00561046" w:rsidP="0030179F">
            <w:pPr>
              <w:pStyle w:val="BlockText"/>
            </w:pPr>
            <w:r w:rsidRPr="00DF242F">
              <w:t xml:space="preserve">Since several computer interfaces are based on matched Social Security numbers (SSN), the importance of having complete and correct SSN information in corporate records cannot be overemphasized. </w:t>
            </w:r>
          </w:p>
        </w:tc>
      </w:tr>
    </w:tbl>
    <w:p w14:paraId="545E93EB"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INFOTYPE="PROCESS"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3F0" w14:textId="77777777" w:rsidTr="00D54AC6">
        <w:trPr>
          <w:cantSplit/>
        </w:trPr>
        <w:tc>
          <w:tcPr>
            <w:tcW w:w="1728" w:type="dxa"/>
          </w:tcPr>
          <w:p w14:paraId="545E93EC" w14:textId="77777777" w:rsidR="00561046" w:rsidRPr="00DF242F" w:rsidRDefault="00561046" w:rsidP="0030179F">
            <w:pPr>
              <w:pStyle w:val="Heading5"/>
            </w:pPr>
            <w:bookmarkStart w:id="2" w:name="_b.__When"/>
            <w:bookmarkEnd w:id="2"/>
            <w:r w:rsidRPr="00DF242F">
              <w:t>b.  When Listings Are Mailed</w:t>
            </w:r>
          </w:p>
        </w:tc>
        <w:tc>
          <w:tcPr>
            <w:tcW w:w="7740" w:type="dxa"/>
          </w:tcPr>
          <w:p w14:paraId="545E93ED" w14:textId="3090E3D9" w:rsidR="00561046" w:rsidRPr="00DF242F" w:rsidRDefault="00304AF4" w:rsidP="0030179F">
            <w:pPr>
              <w:pStyle w:val="BlockText"/>
            </w:pPr>
            <w:r w:rsidRPr="00DF242F">
              <w:t>Listings of</w:t>
            </w:r>
            <w:r w:rsidR="00561046" w:rsidRPr="00DF242F">
              <w:t xml:space="preserve"> corporate records in which identical SSNs appear are mailed in duplicate by Compensation Service and/or Pension and Fiduciary</w:t>
            </w:r>
            <w:r w:rsidR="00821CD1" w:rsidRPr="00DF242F">
              <w:t xml:space="preserve"> (P&amp;F)</w:t>
            </w:r>
            <w:r w:rsidR="00561046" w:rsidRPr="00DF242F">
              <w:t xml:space="preserve"> Service to regional offices (RO) of jurisdiction twice each year.  Alternatively, either Service may notify the RO</w:t>
            </w:r>
            <w:r w:rsidR="00744B0E" w:rsidRPr="00DF242F">
              <w:t xml:space="preserve"> </w:t>
            </w:r>
            <w:r w:rsidR="00561046" w:rsidRPr="00DF242F">
              <w:t>by e-mail of cases requiring action.</w:t>
            </w:r>
          </w:p>
          <w:p w14:paraId="545E93EE" w14:textId="77777777" w:rsidR="00561046" w:rsidRPr="00DF242F" w:rsidRDefault="00561046" w:rsidP="0030179F">
            <w:pPr>
              <w:pStyle w:val="BlockText"/>
            </w:pPr>
          </w:p>
          <w:p w14:paraId="545E93EF" w14:textId="77777777" w:rsidR="00561046" w:rsidRPr="00DF242F" w:rsidRDefault="00561046" w:rsidP="0030179F">
            <w:pPr>
              <w:pStyle w:val="BlockText"/>
            </w:pPr>
            <w:r w:rsidRPr="00DF242F">
              <w:t>The listings are usually run during February and August.</w:t>
            </w:r>
          </w:p>
        </w:tc>
      </w:tr>
    </w:tbl>
    <w:p w14:paraId="545E93F1" w14:textId="431C3C8A"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3F9" w14:textId="77777777" w:rsidTr="00D54AC6">
        <w:trPr>
          <w:cantSplit/>
        </w:trPr>
        <w:tc>
          <w:tcPr>
            <w:tcW w:w="1728" w:type="dxa"/>
          </w:tcPr>
          <w:p w14:paraId="545E93F2" w14:textId="77777777" w:rsidR="00561046" w:rsidRPr="00DF242F" w:rsidRDefault="00561046" w:rsidP="0030179F">
            <w:pPr>
              <w:pStyle w:val="Heading5"/>
            </w:pPr>
            <w:bookmarkStart w:id="3" w:name="_c.__Corrective"/>
            <w:bookmarkEnd w:id="3"/>
            <w:r w:rsidRPr="00DF242F">
              <w:t>c.  Corrective Action</w:t>
            </w:r>
          </w:p>
        </w:tc>
        <w:tc>
          <w:tcPr>
            <w:tcW w:w="7740" w:type="dxa"/>
          </w:tcPr>
          <w:p w14:paraId="545E93F3" w14:textId="77777777" w:rsidR="00561046" w:rsidRPr="00DF242F" w:rsidRDefault="00561046" w:rsidP="0030179F">
            <w:pPr>
              <w:pStyle w:val="BlockText"/>
            </w:pPr>
            <w:r w:rsidRPr="00DF242F">
              <w:t>Matched pairs of cases on the listing that are</w:t>
            </w:r>
          </w:p>
          <w:p w14:paraId="545E93F4" w14:textId="77777777" w:rsidR="00561046" w:rsidRPr="00DF242F" w:rsidRDefault="00561046" w:rsidP="0030179F">
            <w:pPr>
              <w:pStyle w:val="BlockText"/>
            </w:pPr>
          </w:p>
          <w:p w14:paraId="545E93F5" w14:textId="77777777" w:rsidR="00561046" w:rsidRPr="00DF242F" w:rsidRDefault="00561046" w:rsidP="00703CC2">
            <w:pPr>
              <w:pStyle w:val="BulletText1"/>
            </w:pPr>
            <w:r w:rsidRPr="00DF242F">
              <w:t>marked by a red “</w:t>
            </w:r>
            <w:r w:rsidRPr="00DF242F">
              <w:rPr>
                <w:i/>
              </w:rPr>
              <w:t>X</w:t>
            </w:r>
            <w:r w:rsidRPr="00DF242F">
              <w:t xml:space="preserve">” require </w:t>
            </w:r>
            <w:r w:rsidRPr="00DF242F">
              <w:rPr>
                <w:i/>
              </w:rPr>
              <w:t>no</w:t>
            </w:r>
            <w:r w:rsidRPr="00DF242F">
              <w:t xml:space="preserve"> corrective action</w:t>
            </w:r>
          </w:p>
          <w:p w14:paraId="545E93F6" w14:textId="77777777" w:rsidR="00561046" w:rsidRPr="00DF242F" w:rsidRDefault="00561046" w:rsidP="00703CC2">
            <w:pPr>
              <w:pStyle w:val="BulletText1"/>
            </w:pPr>
            <w:r w:rsidRPr="00DF242F">
              <w:t>marked by a red “</w:t>
            </w:r>
            <w:r w:rsidRPr="00DF242F">
              <w:rPr>
                <w:i/>
              </w:rPr>
              <w:t>RX</w:t>
            </w:r>
            <w:r w:rsidRPr="00DF242F">
              <w:t>” are triple payee cases which require corrective action, and</w:t>
            </w:r>
          </w:p>
          <w:p w14:paraId="545E93F7" w14:textId="5ED75ABB" w:rsidR="00561046" w:rsidRPr="00DF242F" w:rsidRDefault="00561046" w:rsidP="00703CC2">
            <w:pPr>
              <w:pStyle w:val="BulletText1"/>
            </w:pPr>
            <w:r w:rsidRPr="00DF242F">
              <w:t>not marked require some corrective action by the RO.</w:t>
            </w:r>
          </w:p>
          <w:p w14:paraId="43AB0CB5" w14:textId="77777777" w:rsidR="000D064C" w:rsidRPr="00DF242F" w:rsidRDefault="000D064C" w:rsidP="0030179F">
            <w:pPr>
              <w:pStyle w:val="BlockText"/>
              <w:rPr>
                <w:b/>
                <w:i/>
              </w:rPr>
            </w:pPr>
          </w:p>
          <w:p w14:paraId="545E93F8" w14:textId="71F79F66" w:rsidR="00561046" w:rsidRPr="00DF242F" w:rsidRDefault="000D064C" w:rsidP="0030179F">
            <w:pPr>
              <w:pStyle w:val="BlockText"/>
            </w:pPr>
            <w:r w:rsidRPr="00DF242F">
              <w:rPr>
                <w:b/>
                <w:i/>
              </w:rPr>
              <w:t>Reference</w:t>
            </w:r>
            <w:r w:rsidRPr="00DF242F">
              <w:t xml:space="preserve">:  For more information on cases requiring correction, see </w:t>
            </w:r>
            <w:hyperlink r:id="rId12" w:history="1">
              <w:r w:rsidRPr="00DF242F">
                <w:rPr>
                  <w:color w:val="0000FF"/>
                  <w:u w:val="single"/>
                </w:rPr>
                <w:t>M21-1, Part X, 6.2</w:t>
              </w:r>
            </w:hyperlink>
            <w:r w:rsidRPr="00DF242F">
              <w:t>.</w:t>
            </w:r>
          </w:p>
        </w:tc>
      </w:tr>
    </w:tbl>
    <w:p w14:paraId="545E9401"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06" w14:textId="77777777" w:rsidTr="00D54AC6">
        <w:trPr>
          <w:cantSplit/>
        </w:trPr>
        <w:tc>
          <w:tcPr>
            <w:tcW w:w="1728" w:type="dxa"/>
          </w:tcPr>
          <w:p w14:paraId="545E9402" w14:textId="77777777" w:rsidR="00561046" w:rsidRPr="00DF242F" w:rsidRDefault="00561046" w:rsidP="00984CB5">
            <w:pPr>
              <w:pStyle w:val="Heading5"/>
            </w:pPr>
            <w:bookmarkStart w:id="4" w:name="_d.__Responsibility"/>
            <w:bookmarkEnd w:id="4"/>
            <w:r w:rsidRPr="00DF242F">
              <w:lastRenderedPageBreak/>
              <w:t>d.  Responsibility for Corrections</w:t>
            </w:r>
          </w:p>
        </w:tc>
        <w:tc>
          <w:tcPr>
            <w:tcW w:w="7740" w:type="dxa"/>
          </w:tcPr>
          <w:p w14:paraId="545E9403" w14:textId="77777777" w:rsidR="00561046" w:rsidRPr="00DF242F" w:rsidRDefault="00561046" w:rsidP="00984CB5">
            <w:pPr>
              <w:pStyle w:val="BlockText"/>
            </w:pPr>
            <w:r w:rsidRPr="00DF242F">
              <w:t>Some of the matched pairs of cases that appear on the listings will involve cases under the jurisdiction of two different ROs.</w:t>
            </w:r>
          </w:p>
          <w:p w14:paraId="545E9404" w14:textId="77777777" w:rsidR="00561046" w:rsidRPr="00DF242F" w:rsidRDefault="00561046" w:rsidP="00984CB5">
            <w:pPr>
              <w:pStyle w:val="BlockText"/>
            </w:pPr>
          </w:p>
          <w:p w14:paraId="545E9405" w14:textId="413BB5EA" w:rsidR="00561046" w:rsidRPr="00DF242F" w:rsidRDefault="00561046" w:rsidP="00EF649E">
            <w:pPr>
              <w:pStyle w:val="BlockText"/>
            </w:pPr>
            <w:r w:rsidRPr="00DF242F">
              <w:t>The RO</w:t>
            </w:r>
            <w:r w:rsidR="00495539" w:rsidRPr="00DF242F">
              <w:t xml:space="preserve"> </w:t>
            </w:r>
            <w:r w:rsidRPr="00DF242F">
              <w:t>on whose listing the pair appears is responsible for making sure that any corrective action is taken</w:t>
            </w:r>
            <w:r w:rsidR="00D73E83" w:rsidRPr="00DF242F">
              <w:t>,</w:t>
            </w:r>
            <w:r w:rsidRPr="00DF242F">
              <w:t xml:space="preserve"> even if all corrective action must be taken at another RO.</w:t>
            </w:r>
          </w:p>
        </w:tc>
      </w:tr>
    </w:tbl>
    <w:p w14:paraId="545E9407"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10" w14:textId="77777777" w:rsidTr="00D54AC6">
        <w:trPr>
          <w:cantSplit/>
        </w:trPr>
        <w:tc>
          <w:tcPr>
            <w:tcW w:w="1728" w:type="dxa"/>
          </w:tcPr>
          <w:p w14:paraId="545E9408" w14:textId="77777777" w:rsidR="00561046" w:rsidRPr="00DF242F" w:rsidRDefault="00561046" w:rsidP="00984CB5">
            <w:pPr>
              <w:pStyle w:val="Heading5"/>
            </w:pPr>
            <w:bookmarkStart w:id="5" w:name="_e.__Questions"/>
            <w:bookmarkEnd w:id="5"/>
            <w:r w:rsidRPr="00DF242F">
              <w:t>e.  Questions or Problems</w:t>
            </w:r>
          </w:p>
        </w:tc>
        <w:tc>
          <w:tcPr>
            <w:tcW w:w="7740" w:type="dxa"/>
          </w:tcPr>
          <w:p w14:paraId="545E9409" w14:textId="109CB6DE" w:rsidR="00561046" w:rsidRPr="00DF242F" w:rsidRDefault="00561046" w:rsidP="00984CB5">
            <w:pPr>
              <w:pStyle w:val="BlockText"/>
            </w:pPr>
            <w:r w:rsidRPr="00DF242F">
              <w:t xml:space="preserve">Contact  Compensation Service and/or </w:t>
            </w:r>
            <w:r w:rsidR="00821CD1" w:rsidRPr="00DF242F">
              <w:t>P&amp;F</w:t>
            </w:r>
            <w:r w:rsidRPr="00DF242F">
              <w:t xml:space="preserve"> Service if you have</w:t>
            </w:r>
          </w:p>
          <w:p w14:paraId="545E940A" w14:textId="77777777" w:rsidR="00561046" w:rsidRPr="00DF242F" w:rsidRDefault="00561046" w:rsidP="00984CB5">
            <w:pPr>
              <w:pStyle w:val="BlockText"/>
            </w:pPr>
          </w:p>
          <w:p w14:paraId="545E940B" w14:textId="77777777" w:rsidR="00561046" w:rsidRPr="00DF242F" w:rsidRDefault="00561046" w:rsidP="00CA6136">
            <w:pPr>
              <w:pStyle w:val="BulletText1"/>
            </w:pPr>
            <w:r w:rsidRPr="00DF242F">
              <w:t xml:space="preserve">any questions about why a red </w:t>
            </w:r>
            <w:r w:rsidRPr="00DF242F">
              <w:rPr>
                <w:i/>
              </w:rPr>
              <w:t>X</w:t>
            </w:r>
            <w:r w:rsidRPr="00DF242F">
              <w:t xml:space="preserve"> does not appear to the left of a pair of cases</w:t>
            </w:r>
          </w:p>
          <w:p w14:paraId="545E940C" w14:textId="77777777" w:rsidR="00561046" w:rsidRPr="00DF242F" w:rsidRDefault="00561046" w:rsidP="00984CB5">
            <w:pPr>
              <w:pStyle w:val="BlockText"/>
              <w:rPr>
                <w:szCs w:val="20"/>
              </w:rPr>
            </w:pPr>
            <w:r w:rsidRPr="00DF242F">
              <w:rPr>
                <w:szCs w:val="20"/>
              </w:rPr>
              <w:t>questions about what corrective action is required, or</w:t>
            </w:r>
          </w:p>
          <w:p w14:paraId="545E940D" w14:textId="77777777" w:rsidR="00561046" w:rsidRPr="00DF242F" w:rsidRDefault="00561046" w:rsidP="00CA6136">
            <w:pPr>
              <w:pStyle w:val="BulletText1"/>
            </w:pPr>
            <w:r w:rsidRPr="00DF242F">
              <w:t>problems to report.</w:t>
            </w:r>
          </w:p>
          <w:p w14:paraId="545E940E" w14:textId="77777777" w:rsidR="00561046" w:rsidRPr="00DF242F" w:rsidRDefault="00561046" w:rsidP="00984CB5">
            <w:pPr>
              <w:pStyle w:val="BlockText"/>
            </w:pPr>
          </w:p>
          <w:p w14:paraId="545E940F" w14:textId="67202B8D" w:rsidR="00561046" w:rsidRPr="00DF242F" w:rsidRDefault="00561046" w:rsidP="00821CD1">
            <w:pPr>
              <w:pStyle w:val="BlockText"/>
            </w:pPr>
            <w:r w:rsidRPr="00DF242F">
              <w:t xml:space="preserve">The point of contact </w:t>
            </w:r>
            <w:r w:rsidR="00067AAF" w:rsidRPr="00DF242F">
              <w:t>for either business</w:t>
            </w:r>
            <w:r w:rsidRPr="00DF242F">
              <w:t xml:space="preserve"> </w:t>
            </w:r>
            <w:r w:rsidR="00821CD1" w:rsidRPr="00DF242F">
              <w:t xml:space="preserve">line </w:t>
            </w:r>
            <w:r w:rsidRPr="00DF242F">
              <w:t>will be shown on the transmittal document that will accompany the listing.</w:t>
            </w:r>
          </w:p>
        </w:tc>
      </w:tr>
    </w:tbl>
    <w:p w14:paraId="545E9411"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19" w14:textId="77777777" w:rsidTr="00D54AC6">
        <w:trPr>
          <w:cantSplit/>
        </w:trPr>
        <w:tc>
          <w:tcPr>
            <w:tcW w:w="1728" w:type="dxa"/>
          </w:tcPr>
          <w:p w14:paraId="545E9412" w14:textId="77777777" w:rsidR="00561046" w:rsidRPr="00DF242F" w:rsidRDefault="00561046" w:rsidP="00984CB5">
            <w:pPr>
              <w:pStyle w:val="Heading5"/>
            </w:pPr>
            <w:bookmarkStart w:id="6" w:name="_f.__Veteran"/>
            <w:bookmarkEnd w:id="6"/>
            <w:r w:rsidRPr="00DF242F">
              <w:t>f.  Veteran or Spouse without SSN</w:t>
            </w:r>
          </w:p>
        </w:tc>
        <w:tc>
          <w:tcPr>
            <w:tcW w:w="7740" w:type="dxa"/>
          </w:tcPr>
          <w:p w14:paraId="545E9413" w14:textId="5833B64F" w:rsidR="00561046" w:rsidRPr="00DF242F" w:rsidRDefault="00C50D63" w:rsidP="00984CB5">
            <w:pPr>
              <w:pStyle w:val="BlockText"/>
            </w:pPr>
            <w:hyperlink r:id="rId13" w:history="1">
              <w:r w:rsidR="00561046" w:rsidRPr="00DF242F">
                <w:rPr>
                  <w:color w:val="0000FF"/>
                  <w:u w:val="single"/>
                </w:rPr>
                <w:t>38 CFR 3.216</w:t>
              </w:r>
            </w:hyperlink>
            <w:r w:rsidR="004430A2" w:rsidRPr="00DF242F">
              <w:t xml:space="preserve"> requires a recipient of </w:t>
            </w:r>
            <w:r w:rsidR="00561046" w:rsidRPr="00DF242F">
              <w:t>benefits to disclose his/her SSN and the SSNs of his/her dependents as a condition of receipt of benefits.  However, if a</w:t>
            </w:r>
            <w:r w:rsidR="002E6258" w:rsidRPr="00DF242F">
              <w:t>n</w:t>
            </w:r>
            <w:r w:rsidR="00561046" w:rsidRPr="00DF242F">
              <w:t xml:space="preserve"> SSN has not been assigned, a beneficiary or dependent is not required to obtain one in order to get Department of Veterans Affairs (VA) benefits.</w:t>
            </w:r>
          </w:p>
          <w:p w14:paraId="545E9414" w14:textId="77777777" w:rsidR="00561046" w:rsidRPr="00DF242F" w:rsidRDefault="00561046" w:rsidP="00984CB5">
            <w:pPr>
              <w:pStyle w:val="BlockText"/>
            </w:pPr>
          </w:p>
          <w:p w14:paraId="545E9415" w14:textId="77777777" w:rsidR="00561046" w:rsidRPr="00DF242F" w:rsidRDefault="00561046" w:rsidP="00984CB5">
            <w:pPr>
              <w:pStyle w:val="BlockText"/>
            </w:pPr>
            <w:r w:rsidRPr="00DF242F">
              <w:t xml:space="preserve">In the absence of evidence to the contrary, accept the beneficiary’s statement that the beneficiary or a dependent does not have an SSN unless he/she </w:t>
            </w:r>
          </w:p>
          <w:p w14:paraId="545E9416" w14:textId="77777777" w:rsidR="00561046" w:rsidRPr="00DF242F" w:rsidRDefault="00561046" w:rsidP="00984CB5">
            <w:pPr>
              <w:pStyle w:val="BlockText"/>
            </w:pPr>
          </w:p>
          <w:p w14:paraId="545E9417" w14:textId="77777777" w:rsidR="00561046" w:rsidRPr="00DF242F" w:rsidRDefault="00561046" w:rsidP="00444F25">
            <w:pPr>
              <w:pStyle w:val="BulletText1"/>
            </w:pPr>
            <w:r w:rsidRPr="00DF242F">
              <w:t>receives Social Security (SS) or other Federal benefits, or</w:t>
            </w:r>
          </w:p>
          <w:p w14:paraId="545E9418" w14:textId="77777777" w:rsidR="00561046" w:rsidRPr="00DF242F" w:rsidRDefault="00561046" w:rsidP="00444F25">
            <w:pPr>
              <w:pStyle w:val="BulletText1"/>
            </w:pPr>
            <w:r w:rsidRPr="00DF242F">
              <w:t>has an account at a bank or other financial institution (FI).</w:t>
            </w:r>
          </w:p>
        </w:tc>
      </w:tr>
    </w:tbl>
    <w:p w14:paraId="545E941D" w14:textId="77777777" w:rsidR="00561046" w:rsidRPr="00DF242F" w:rsidRDefault="00561046" w:rsidP="00561046">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561046" w:rsidRPr="00DF242F" w14:paraId="545E9426" w14:textId="77777777" w:rsidTr="00D54AC6">
        <w:tc>
          <w:tcPr>
            <w:tcW w:w="1728" w:type="dxa"/>
            <w:shd w:val="clear" w:color="auto" w:fill="auto"/>
          </w:tcPr>
          <w:p w14:paraId="545E941E" w14:textId="77777777" w:rsidR="00561046" w:rsidRPr="00DF242F" w:rsidRDefault="00C50D63" w:rsidP="004E1A9F">
            <w:pPr>
              <w:pStyle w:val="Heading5"/>
            </w:pPr>
            <w:r w:rsidRPr="00DF242F">
              <w:fldChar w:fldCharType="begin"/>
            </w:r>
            <w:r w:rsidRPr="00DF242F">
              <w:instrText xml:space="preserve"> STYLEREF "Block Label" </w:instrText>
            </w:r>
            <w:r w:rsidRPr="00DF242F">
              <w:fldChar w:fldCharType="separate"/>
            </w:r>
            <w:r w:rsidR="00561046" w:rsidRPr="00DF242F">
              <w:rPr>
                <w:noProof/>
              </w:rPr>
              <w:t>f.  Veteran or Spouse Without SSN</w:t>
            </w:r>
            <w:r w:rsidRPr="00DF242F">
              <w:rPr>
                <w:noProof/>
              </w:rPr>
              <w:fldChar w:fldCharType="end"/>
            </w:r>
            <w:r w:rsidR="00561046" w:rsidRPr="00DF242F">
              <w:t xml:space="preserve"> (continued)</w:t>
            </w:r>
          </w:p>
        </w:tc>
        <w:tc>
          <w:tcPr>
            <w:tcW w:w="7740" w:type="dxa"/>
            <w:shd w:val="clear" w:color="auto" w:fill="auto"/>
          </w:tcPr>
          <w:p w14:paraId="545E941F" w14:textId="77777777" w:rsidR="00561046" w:rsidRPr="00DF242F" w:rsidRDefault="00561046" w:rsidP="004E1A9F">
            <w:pPr>
              <w:pStyle w:val="BlockText"/>
            </w:pPr>
            <w:r w:rsidRPr="00DF242F">
              <w:t xml:space="preserve">In such cases, ask the claimant to furnish a statement from the Social Security Administration (SSA) stating that no SSN has been assigned for the named individual.  </w:t>
            </w:r>
          </w:p>
          <w:p w14:paraId="545E9420" w14:textId="77777777" w:rsidR="00561046" w:rsidRPr="00DF242F" w:rsidRDefault="00561046" w:rsidP="004E1A9F">
            <w:pPr>
              <w:pStyle w:val="BlockText"/>
            </w:pPr>
          </w:p>
          <w:p w14:paraId="545E9421" w14:textId="77777777" w:rsidR="00561046" w:rsidRPr="00DF242F" w:rsidRDefault="00561046" w:rsidP="004E1A9F">
            <w:pPr>
              <w:pStyle w:val="BlockText"/>
            </w:pPr>
            <w:r w:rsidRPr="00DF242F">
              <w:rPr>
                <w:b/>
                <w:i/>
              </w:rPr>
              <w:t>Reference</w:t>
            </w:r>
            <w:r w:rsidRPr="00DF242F">
              <w:t>:</w:t>
            </w:r>
            <w:r w:rsidRPr="00DF242F">
              <w:rPr>
                <w:b/>
              </w:rPr>
              <w:t xml:space="preserve">  </w:t>
            </w:r>
            <w:r w:rsidRPr="00DF242F">
              <w:t xml:space="preserve">For more information on what to do if the beneficiary does not respond, see </w:t>
            </w:r>
            <w:hyperlink r:id="rId14" w:history="1">
              <w:r w:rsidRPr="00DF242F">
                <w:rPr>
                  <w:color w:val="0000FF"/>
                  <w:u w:val="single"/>
                </w:rPr>
                <w:t>38 CFR 3.500(v)</w:t>
              </w:r>
            </w:hyperlink>
            <w:r w:rsidRPr="00DF242F">
              <w:t>.</w:t>
            </w:r>
          </w:p>
          <w:p w14:paraId="545E9422" w14:textId="77777777" w:rsidR="00561046" w:rsidRPr="00DF242F" w:rsidRDefault="00561046" w:rsidP="004E1A9F">
            <w:pPr>
              <w:pStyle w:val="BlockText"/>
            </w:pPr>
          </w:p>
          <w:p w14:paraId="545E9423" w14:textId="420B6DAD" w:rsidR="00561046" w:rsidRPr="00DF242F" w:rsidRDefault="00561046" w:rsidP="004E1A9F">
            <w:pPr>
              <w:pStyle w:val="BlockText"/>
            </w:pPr>
            <w:r w:rsidRPr="00DF242F">
              <w:t xml:space="preserve">If you determine that a payee or spouse does not have a SSN, </w:t>
            </w:r>
            <w:r w:rsidR="00C118BC" w:rsidRPr="00DF242F">
              <w:t>then:</w:t>
            </w:r>
          </w:p>
          <w:p w14:paraId="4B7B6216" w14:textId="0280176E" w:rsidR="00C118BC" w:rsidRPr="00DF242F" w:rsidRDefault="00C118BC" w:rsidP="00C118BC">
            <w:pPr>
              <w:pStyle w:val="BulletText1"/>
            </w:pPr>
            <w:r w:rsidRPr="00DF242F">
              <w:t xml:space="preserve">Update the SSN Verification Status for the Veteran, using the Search Participant Profile Application, by selecting the SSN </w:t>
            </w:r>
            <w:r w:rsidR="007D7EC3" w:rsidRPr="00DF242F">
              <w:t>Verification</w:t>
            </w:r>
            <w:r w:rsidRPr="00DF242F">
              <w:t xml:space="preserve"> Status of “</w:t>
            </w:r>
            <w:r w:rsidRPr="00DF242F">
              <w:rPr>
                <w:i/>
              </w:rPr>
              <w:t>SSA Verified No Number Exists</w:t>
            </w:r>
            <w:r w:rsidRPr="00DF242F">
              <w:t>,” and/or</w:t>
            </w:r>
          </w:p>
          <w:p w14:paraId="545E9425" w14:textId="1BFCCC33" w:rsidR="00561046" w:rsidRPr="00DF242F" w:rsidRDefault="00C118BC" w:rsidP="004E1A9F">
            <w:pPr>
              <w:pStyle w:val="BulletText1"/>
            </w:pPr>
            <w:r w:rsidRPr="00DF242F">
              <w:t xml:space="preserve">Update the SSN </w:t>
            </w:r>
            <w:r w:rsidR="007D7EC3" w:rsidRPr="00DF242F">
              <w:t>Verification</w:t>
            </w:r>
            <w:r w:rsidRPr="00DF242F">
              <w:t xml:space="preserve"> Status for non-Veteran beneficiaries or dependents, using the Dependents screen in SHARE, by selecting the SSN Verified Status of “</w:t>
            </w:r>
            <w:r w:rsidRPr="00DF242F">
              <w:rPr>
                <w:i/>
              </w:rPr>
              <w:t>9-SSA Ver</w:t>
            </w:r>
            <w:r w:rsidR="00543BFE" w:rsidRPr="00DF242F">
              <w:rPr>
                <w:i/>
              </w:rPr>
              <w:t>i</w:t>
            </w:r>
            <w:r w:rsidRPr="00DF242F">
              <w:rPr>
                <w:i/>
              </w:rPr>
              <w:t>fied No Number Exists</w:t>
            </w:r>
            <w:r w:rsidRPr="00DF242F">
              <w:t>.”</w:t>
            </w:r>
          </w:p>
        </w:tc>
      </w:tr>
    </w:tbl>
    <w:p w14:paraId="545E9427" w14:textId="56361CD3" w:rsidR="00561046" w:rsidRPr="00DF242F" w:rsidRDefault="00561046" w:rsidP="00561046">
      <w:pPr>
        <w:pBdr>
          <w:top w:val="single" w:sz="6" w:space="1" w:color="auto"/>
          <w:between w:val="single" w:sz="6" w:space="1" w:color="auto"/>
        </w:pBdr>
        <w:spacing w:before="240"/>
        <w:ind w:left="1728"/>
        <w:rPr>
          <w:szCs w:val="20"/>
        </w:rPr>
      </w:pPr>
    </w:p>
    <w:p w14:paraId="545E9428" w14:textId="77777777" w:rsidR="00561046" w:rsidRPr="00DF242F" w:rsidRDefault="00561046" w:rsidP="00561046">
      <w:pPr>
        <w:spacing w:after="240"/>
        <w:outlineLvl w:val="3"/>
        <w:rPr>
          <w:rFonts w:ascii="Arial" w:hAnsi="Arial"/>
          <w:b/>
          <w:sz w:val="32"/>
          <w:szCs w:val="20"/>
        </w:rPr>
      </w:pPr>
      <w:r w:rsidRPr="00DF242F">
        <w:rPr>
          <w:rFonts w:ascii="Arial" w:hAnsi="Arial"/>
          <w:b/>
          <w:sz w:val="32"/>
          <w:szCs w:val="20"/>
        </w:rPr>
        <w:br w:type="page"/>
      </w:r>
      <w:r w:rsidRPr="00DF242F">
        <w:rPr>
          <w:rFonts w:ascii="Arial" w:hAnsi="Arial"/>
          <w:b/>
          <w:sz w:val="32"/>
          <w:szCs w:val="20"/>
        </w:rPr>
        <w:lastRenderedPageBreak/>
        <w:t>2.  Analysis of Cases Requiring Correction</w:t>
      </w:r>
    </w:p>
    <w:p w14:paraId="545E9429"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INFOTYPE="OTHER"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37" w14:textId="77777777" w:rsidTr="00D54AC6">
        <w:trPr>
          <w:cantSplit/>
        </w:trPr>
        <w:tc>
          <w:tcPr>
            <w:tcW w:w="1728" w:type="dxa"/>
          </w:tcPr>
          <w:p w14:paraId="545E942A" w14:textId="77777777" w:rsidR="00561046" w:rsidRPr="00DF242F" w:rsidRDefault="00561046" w:rsidP="004E1A9F">
            <w:pPr>
              <w:pStyle w:val="Heading5"/>
            </w:pPr>
            <w:r w:rsidRPr="00DF242F">
              <w:t>Introduction</w:t>
            </w:r>
          </w:p>
        </w:tc>
        <w:tc>
          <w:tcPr>
            <w:tcW w:w="7740" w:type="dxa"/>
          </w:tcPr>
          <w:p w14:paraId="545E942B" w14:textId="77777777" w:rsidR="00561046" w:rsidRPr="00DF242F" w:rsidRDefault="00561046" w:rsidP="001E1EE1">
            <w:pPr>
              <w:pStyle w:val="BlockText"/>
            </w:pPr>
            <w:r w:rsidRPr="00DF242F">
              <w:t>This topic contains information on the analysis of cases requiring correction, including</w:t>
            </w:r>
          </w:p>
          <w:p w14:paraId="545E942C" w14:textId="77777777" w:rsidR="00561046" w:rsidRPr="00DF242F" w:rsidRDefault="00561046" w:rsidP="001E1EE1">
            <w:pPr>
              <w:pStyle w:val="BlockText"/>
            </w:pPr>
          </w:p>
          <w:p w14:paraId="545E942D" w14:textId="7C4B3B9E" w:rsidR="00561046" w:rsidRPr="00DF242F" w:rsidRDefault="00C50D63" w:rsidP="00DA2936">
            <w:pPr>
              <w:pStyle w:val="BulletText1"/>
            </w:pPr>
            <w:hyperlink w:anchor="_a.__Same" w:history="1">
              <w:r w:rsidR="00561046" w:rsidRPr="00DF242F">
                <w:rPr>
                  <w:rStyle w:val="Hyperlink"/>
                </w:rPr>
                <w:t>when the same person is not the payee on both corporate records</w:t>
              </w:r>
            </w:hyperlink>
          </w:p>
          <w:p w14:paraId="545E942E" w14:textId="6BC5108B" w:rsidR="00561046" w:rsidRPr="00DF242F" w:rsidRDefault="00C50D63" w:rsidP="00DA2936">
            <w:pPr>
              <w:pStyle w:val="BulletText1"/>
            </w:pPr>
            <w:hyperlink w:anchor="_b.__Dual" w:history="1">
              <w:r w:rsidR="00561046" w:rsidRPr="00DF242F">
                <w:rPr>
                  <w:rStyle w:val="Hyperlink"/>
                </w:rPr>
                <w:t>a dual payment claim</w:t>
              </w:r>
            </w:hyperlink>
          </w:p>
          <w:p w14:paraId="545E942F" w14:textId="2EA3CC8B" w:rsidR="00561046" w:rsidRPr="00DF242F" w:rsidRDefault="00C50D63" w:rsidP="00DA2936">
            <w:pPr>
              <w:pStyle w:val="BulletText1"/>
            </w:pPr>
            <w:hyperlink w:anchor="_c.__Multiple" w:history="1">
              <w:r w:rsidR="00561046" w:rsidRPr="00DF242F">
                <w:rPr>
                  <w:rStyle w:val="Hyperlink"/>
                </w:rPr>
                <w:t>multiple claims</w:t>
              </w:r>
            </w:hyperlink>
          </w:p>
          <w:p w14:paraId="545E9430" w14:textId="420CE447" w:rsidR="00561046" w:rsidRPr="00DF242F" w:rsidRDefault="00C50D63" w:rsidP="00DA2936">
            <w:pPr>
              <w:pStyle w:val="BulletText1"/>
            </w:pPr>
            <w:hyperlink w:anchor="_d.__Veteran" w:history="1">
              <w:r w:rsidR="0017647E" w:rsidRPr="00DF242F">
                <w:rPr>
                  <w:rStyle w:val="Hyperlink"/>
                </w:rPr>
                <w:t xml:space="preserve">Veterans </w:t>
              </w:r>
              <w:r w:rsidR="00CC61D8" w:rsidRPr="00DF242F">
                <w:rPr>
                  <w:rStyle w:val="Hyperlink"/>
                </w:rPr>
                <w:t>Pension</w:t>
              </w:r>
              <w:r w:rsidR="0017647E" w:rsidRPr="00DF242F">
                <w:rPr>
                  <w:rStyle w:val="Hyperlink"/>
                </w:rPr>
                <w:t xml:space="preserve"> and</w:t>
              </w:r>
              <w:r w:rsidR="00561046" w:rsidRPr="00DF242F">
                <w:rPr>
                  <w:rStyle w:val="Hyperlink"/>
                </w:rPr>
                <w:t xml:space="preserve"> Dependency and Indemnity Compensation (DIC) claim</w:t>
              </w:r>
              <w:r w:rsidR="00CC61D8" w:rsidRPr="00DF242F">
                <w:rPr>
                  <w:rStyle w:val="Hyperlink"/>
                </w:rPr>
                <w:t>s</w:t>
              </w:r>
            </w:hyperlink>
          </w:p>
          <w:p w14:paraId="545E9431" w14:textId="57F7D7CC" w:rsidR="00561046" w:rsidRPr="00DF242F" w:rsidRDefault="00C50D63" w:rsidP="00DA2936">
            <w:pPr>
              <w:pStyle w:val="BulletText1"/>
            </w:pPr>
            <w:hyperlink w:anchor="_e.__Veteran" w:history="1">
              <w:r w:rsidR="00561046" w:rsidRPr="00DF242F">
                <w:rPr>
                  <w:rStyle w:val="Hyperlink"/>
                </w:rPr>
                <w:t xml:space="preserve">when a Veteran is married to the deceased </w:t>
              </w:r>
              <w:r w:rsidR="00CC61D8" w:rsidRPr="00DF242F">
                <w:rPr>
                  <w:rStyle w:val="Hyperlink"/>
                </w:rPr>
                <w:t>Veteran’s</w:t>
              </w:r>
              <w:r w:rsidR="00561046" w:rsidRPr="00DF242F">
                <w:rPr>
                  <w:rStyle w:val="Hyperlink"/>
                </w:rPr>
                <w:t xml:space="preserve"> other parent</w:t>
              </w:r>
              <w:r w:rsidR="00CC61D8" w:rsidRPr="00DF242F">
                <w:rPr>
                  <w:rStyle w:val="Hyperlink"/>
                </w:rPr>
                <w:t xml:space="preserve"> and the parents receive Parents DIC</w:t>
              </w:r>
            </w:hyperlink>
          </w:p>
          <w:p w14:paraId="545E9432" w14:textId="2B33F04E" w:rsidR="00561046" w:rsidRPr="00DF242F" w:rsidRDefault="00C50D63" w:rsidP="00DA2936">
            <w:pPr>
              <w:pStyle w:val="BulletText1"/>
            </w:pPr>
            <w:hyperlink w:anchor="_f.__Compensation" w:history="1">
              <w:r w:rsidR="00561046" w:rsidRPr="00DF242F">
                <w:rPr>
                  <w:rStyle w:val="Hyperlink"/>
                </w:rPr>
                <w:t xml:space="preserve">compensation or DIC counted on </w:t>
              </w:r>
              <w:r w:rsidR="007420E5" w:rsidRPr="00DF242F">
                <w:rPr>
                  <w:rStyle w:val="Hyperlink"/>
                </w:rPr>
                <w:t>a Veterans</w:t>
              </w:r>
              <w:r w:rsidR="00561046" w:rsidRPr="00DF242F">
                <w:rPr>
                  <w:rStyle w:val="Hyperlink"/>
                </w:rPr>
                <w:t xml:space="preserve"> </w:t>
              </w:r>
              <w:r w:rsidR="007420E5" w:rsidRPr="00DF242F">
                <w:rPr>
                  <w:rStyle w:val="Hyperlink"/>
                </w:rPr>
                <w:t>P</w:t>
              </w:r>
              <w:r w:rsidR="00561046" w:rsidRPr="00DF242F">
                <w:rPr>
                  <w:rStyle w:val="Hyperlink"/>
                </w:rPr>
                <w:t>ension award</w:t>
              </w:r>
            </w:hyperlink>
          </w:p>
          <w:p w14:paraId="545E9433" w14:textId="409BEA5C" w:rsidR="00561046" w:rsidRPr="00DF242F" w:rsidRDefault="00C50D63" w:rsidP="00DA2936">
            <w:pPr>
              <w:pStyle w:val="BulletText1"/>
            </w:pPr>
            <w:hyperlink w:anchor="_g.__Multiple" w:history="1">
              <w:r w:rsidR="00561046" w:rsidRPr="00DF242F">
                <w:rPr>
                  <w:rStyle w:val="Hyperlink"/>
                </w:rPr>
                <w:t>multiple payments as DIC parent</w:t>
              </w:r>
            </w:hyperlink>
          </w:p>
          <w:p w14:paraId="545E9434" w14:textId="4BA036B4" w:rsidR="00561046" w:rsidRPr="00DF242F" w:rsidRDefault="00C50D63" w:rsidP="00DA2936">
            <w:pPr>
              <w:pStyle w:val="BulletText1"/>
            </w:pPr>
            <w:hyperlink w:anchor="_h.__When" w:history="1">
              <w:r w:rsidR="00561046" w:rsidRPr="00DF242F">
                <w:rPr>
                  <w:rStyle w:val="Hyperlink"/>
                </w:rPr>
                <w:t>when a surviving spouse receives disability compensation</w:t>
              </w:r>
            </w:hyperlink>
            <w:r w:rsidR="00A529AE" w:rsidRPr="00DF242F">
              <w:t>, and</w:t>
            </w:r>
          </w:p>
          <w:p w14:paraId="545E9436" w14:textId="601DB166" w:rsidR="00561046" w:rsidRPr="00DF242F" w:rsidRDefault="00C50D63" w:rsidP="00DA2936">
            <w:pPr>
              <w:pStyle w:val="BulletText1"/>
            </w:pPr>
            <w:hyperlink w:anchor="_i.__Determining" w:history="1">
              <w:r w:rsidR="00561046" w:rsidRPr="00DF242F">
                <w:rPr>
                  <w:rStyle w:val="Hyperlink"/>
                </w:rPr>
                <w:t>determining corrective action</w:t>
              </w:r>
            </w:hyperlink>
            <w:r w:rsidR="00561046" w:rsidRPr="00DF242F">
              <w:t>.</w:t>
            </w:r>
          </w:p>
        </w:tc>
      </w:tr>
    </w:tbl>
    <w:p w14:paraId="545E9438" w14:textId="77777777" w:rsidR="00561046" w:rsidRPr="00DF242F" w:rsidRDefault="00561046" w:rsidP="00561046">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561046" w:rsidRPr="00DF242F" w14:paraId="545E943B" w14:textId="77777777" w:rsidTr="00D54AC6">
        <w:trPr>
          <w:cantSplit/>
        </w:trPr>
        <w:tc>
          <w:tcPr>
            <w:tcW w:w="1728" w:type="dxa"/>
          </w:tcPr>
          <w:p w14:paraId="545E9439" w14:textId="77777777" w:rsidR="00561046" w:rsidRPr="00DF242F" w:rsidRDefault="00561046" w:rsidP="00DA2936">
            <w:pPr>
              <w:pStyle w:val="Heading5"/>
            </w:pPr>
            <w:r w:rsidRPr="00DF242F">
              <w:t>Change Date</w:t>
            </w:r>
          </w:p>
        </w:tc>
        <w:tc>
          <w:tcPr>
            <w:tcW w:w="7740" w:type="dxa"/>
          </w:tcPr>
          <w:p w14:paraId="545E943A" w14:textId="4C3283E3" w:rsidR="00561046" w:rsidRPr="00DF242F" w:rsidRDefault="00543BFE" w:rsidP="00EB6254">
            <w:pPr>
              <w:pStyle w:val="BlockText"/>
            </w:pPr>
            <w:r w:rsidRPr="00DF242F">
              <w:t>March 7, 2015</w:t>
            </w:r>
          </w:p>
        </w:tc>
      </w:tr>
    </w:tbl>
    <w:p w14:paraId="545E943C"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445" w14:textId="77777777" w:rsidTr="00D54AC6">
        <w:trPr>
          <w:cantSplit/>
        </w:trPr>
        <w:tc>
          <w:tcPr>
            <w:tcW w:w="1728" w:type="dxa"/>
          </w:tcPr>
          <w:p w14:paraId="545E943D" w14:textId="1A476F80" w:rsidR="00561046" w:rsidRPr="00DF242F" w:rsidRDefault="00561046" w:rsidP="00561C19">
            <w:pPr>
              <w:pStyle w:val="Heading5"/>
            </w:pPr>
            <w:bookmarkStart w:id="7" w:name="_a.__Same"/>
            <w:bookmarkEnd w:id="7"/>
            <w:r w:rsidRPr="00DF242F">
              <w:t xml:space="preserve">a.  Same </w:t>
            </w:r>
            <w:r w:rsidR="00561C19" w:rsidRPr="00DF242F">
              <w:t>SSN but</w:t>
            </w:r>
            <w:r w:rsidRPr="00DF242F">
              <w:t xml:space="preserve"> Not the</w:t>
            </w:r>
            <w:r w:rsidR="00561C19" w:rsidRPr="00DF242F">
              <w:t xml:space="preserve"> Same</w:t>
            </w:r>
            <w:r w:rsidRPr="00DF242F">
              <w:t xml:space="preserve"> Payee on </w:t>
            </w:r>
            <w:r w:rsidR="00561C19" w:rsidRPr="00DF242F">
              <w:t>Two</w:t>
            </w:r>
            <w:r w:rsidRPr="00DF242F">
              <w:t xml:space="preserve"> Corporate Records</w:t>
            </w:r>
          </w:p>
        </w:tc>
        <w:tc>
          <w:tcPr>
            <w:tcW w:w="7740" w:type="dxa"/>
          </w:tcPr>
          <w:p w14:paraId="545E9441" w14:textId="3BD9BE1D" w:rsidR="00561046" w:rsidRPr="00DF242F" w:rsidRDefault="00F42C34" w:rsidP="001E1EE1">
            <w:pPr>
              <w:pStyle w:val="BlockText"/>
            </w:pPr>
            <w:r w:rsidRPr="00DF242F">
              <w:t xml:space="preserve">All awards being paid based on an SSN </w:t>
            </w:r>
            <w:r w:rsidR="000316F3" w:rsidRPr="00DF242F">
              <w:t>should</w:t>
            </w:r>
            <w:r w:rsidRPr="00DF242F">
              <w:t xml:space="preserve"> have the same person as payee.</w:t>
            </w:r>
          </w:p>
          <w:p w14:paraId="0EB1DC46" w14:textId="77777777" w:rsidR="00F42C34" w:rsidRPr="00DF242F" w:rsidRDefault="00F42C34" w:rsidP="001E1EE1">
            <w:pPr>
              <w:pStyle w:val="BlockText"/>
            </w:pPr>
          </w:p>
          <w:p w14:paraId="545E9442" w14:textId="1DE85973" w:rsidR="00561046" w:rsidRPr="00DF242F" w:rsidRDefault="00561046" w:rsidP="001E1EE1">
            <w:pPr>
              <w:pStyle w:val="BlockText"/>
            </w:pPr>
            <w:r w:rsidRPr="00DF242F">
              <w:rPr>
                <w:b/>
                <w:i/>
              </w:rPr>
              <w:t>Note</w:t>
            </w:r>
            <w:r w:rsidRPr="00DF242F">
              <w:t>:  Make sure the Veteran’s SSN is correct in Beneficiary Identification and Records Locator Subsystem (BIRLS).  If it is not, proc</w:t>
            </w:r>
            <w:r w:rsidR="00281DED" w:rsidRPr="00DF242F">
              <w:t>ess a BIRLS update (BUPD) to input</w:t>
            </w:r>
            <w:r w:rsidRPr="00DF242F">
              <w:t xml:space="preserve"> the correct SSN into the BIRLS record.</w:t>
            </w:r>
          </w:p>
          <w:p w14:paraId="545E9443" w14:textId="77777777" w:rsidR="00561046" w:rsidRPr="00DF242F" w:rsidRDefault="00561046" w:rsidP="001E1EE1">
            <w:pPr>
              <w:pStyle w:val="BlockText"/>
            </w:pPr>
          </w:p>
          <w:p w14:paraId="545E9444" w14:textId="45208870" w:rsidR="00561046" w:rsidRPr="00DF242F" w:rsidRDefault="00561046" w:rsidP="001E1EE1">
            <w:pPr>
              <w:pStyle w:val="BlockText"/>
            </w:pPr>
            <w:r w:rsidRPr="00DF242F">
              <w:rPr>
                <w:b/>
                <w:i/>
              </w:rPr>
              <w:t>Reference</w:t>
            </w:r>
            <w:r w:rsidRPr="00DF242F">
              <w:t xml:space="preserve">:  For more information on the BIRLS update </w:t>
            </w:r>
            <w:r w:rsidR="00D81247" w:rsidRPr="00DF242F">
              <w:t>(</w:t>
            </w:r>
            <w:r w:rsidRPr="00DF242F">
              <w:rPr>
                <w:rFonts w:ascii="Times" w:hAnsi="Times"/>
                <w:caps/>
              </w:rPr>
              <w:t>bupd</w:t>
            </w:r>
            <w:r w:rsidR="00D81247" w:rsidRPr="00DF242F">
              <w:rPr>
                <w:rFonts w:ascii="Times" w:hAnsi="Times"/>
                <w:caps/>
              </w:rPr>
              <w:t>)</w:t>
            </w:r>
            <w:r w:rsidRPr="00DF242F">
              <w:rPr>
                <w:smallCaps/>
              </w:rPr>
              <w:t xml:space="preserve"> </w:t>
            </w:r>
            <w:r w:rsidRPr="00DF242F">
              <w:t xml:space="preserve">command, see </w:t>
            </w:r>
            <w:hyperlink r:id="rId15" w:history="1">
              <w:r w:rsidRPr="00DF242F">
                <w:rPr>
                  <w:color w:val="0000FF"/>
                  <w:u w:val="single"/>
                </w:rPr>
                <w:t>M21-1, Part II, 6.03e</w:t>
              </w:r>
            </w:hyperlink>
            <w:r w:rsidRPr="00DF242F">
              <w:t>.</w:t>
            </w:r>
          </w:p>
        </w:tc>
      </w:tr>
    </w:tbl>
    <w:p w14:paraId="545E9448"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452" w14:textId="77777777" w:rsidTr="00D54AC6">
        <w:trPr>
          <w:cantSplit/>
        </w:trPr>
        <w:tc>
          <w:tcPr>
            <w:tcW w:w="1728" w:type="dxa"/>
          </w:tcPr>
          <w:p w14:paraId="545E9449" w14:textId="77777777" w:rsidR="00561046" w:rsidRPr="00DF242F" w:rsidRDefault="00561046" w:rsidP="001E1EE1">
            <w:pPr>
              <w:pStyle w:val="Heading5"/>
            </w:pPr>
            <w:bookmarkStart w:id="8" w:name="_b.__Dual"/>
            <w:bookmarkEnd w:id="8"/>
            <w:r w:rsidRPr="00DF242F">
              <w:t>b.  Dual Payment Claim</w:t>
            </w:r>
          </w:p>
        </w:tc>
        <w:tc>
          <w:tcPr>
            <w:tcW w:w="7740" w:type="dxa"/>
          </w:tcPr>
          <w:p w14:paraId="545E944A" w14:textId="0186927A" w:rsidR="00561046" w:rsidRPr="00DF242F" w:rsidRDefault="00561046" w:rsidP="001E1EE1">
            <w:pPr>
              <w:pStyle w:val="BlockText"/>
            </w:pPr>
            <w:r w:rsidRPr="00DF242F">
              <w:t xml:space="preserve">If the same person is receiving benefits under two claim numbers, </w:t>
            </w:r>
            <w:r w:rsidR="00492CD0" w:rsidRPr="00DF242F">
              <w:t>verify to make sure</w:t>
            </w:r>
            <w:r w:rsidRPr="00DF242F">
              <w:t xml:space="preserve"> that the dual payment is proper.  No one should receive benefits as a Veteran or as a surviving spouse under more than one claim number.</w:t>
            </w:r>
          </w:p>
          <w:p w14:paraId="545E944B" w14:textId="77777777" w:rsidR="00561046" w:rsidRPr="00DF242F" w:rsidRDefault="00561046" w:rsidP="001E1EE1">
            <w:pPr>
              <w:pStyle w:val="BlockText"/>
            </w:pPr>
          </w:p>
          <w:p w14:paraId="545E9451" w14:textId="790E5232" w:rsidR="00561046" w:rsidRPr="00DF242F" w:rsidRDefault="00FA2463" w:rsidP="001E1EE1">
            <w:pPr>
              <w:pStyle w:val="BlockText"/>
              <w:rPr>
                <w:szCs w:val="20"/>
              </w:rPr>
            </w:pPr>
            <w:r w:rsidRPr="00DF242F">
              <w:rPr>
                <w:szCs w:val="20"/>
              </w:rPr>
              <w:t xml:space="preserve">The table below provides further information </w:t>
            </w:r>
            <w:r w:rsidR="002D0BA3" w:rsidRPr="00DF242F">
              <w:rPr>
                <w:szCs w:val="20"/>
              </w:rPr>
              <w:t>regarding dual payment claims:</w:t>
            </w:r>
          </w:p>
        </w:tc>
      </w:tr>
    </w:tbl>
    <w:p w14:paraId="53B60521" w14:textId="77777777" w:rsidR="008503A2" w:rsidRPr="00DF242F" w:rsidRDefault="008503A2" w:rsidP="00D54AC6"/>
    <w:tbl>
      <w:tblPr>
        <w:tblW w:w="7744"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
        <w:gridCol w:w="3008"/>
        <w:gridCol w:w="4580"/>
        <w:gridCol w:w="12"/>
      </w:tblGrid>
      <w:tr w:rsidR="008503A2" w:rsidRPr="00DF242F" w14:paraId="784B1EE6" w14:textId="77777777" w:rsidTr="00D54AC6">
        <w:trPr>
          <w:gridBefore w:val="1"/>
          <w:wBefore w:w="93" w:type="pct"/>
        </w:trPr>
        <w:tc>
          <w:tcPr>
            <w:tcW w:w="1942" w:type="pct"/>
            <w:shd w:val="clear" w:color="auto" w:fill="auto"/>
          </w:tcPr>
          <w:p w14:paraId="3B34480F" w14:textId="38D67195" w:rsidR="008503A2" w:rsidRPr="00DF242F" w:rsidRDefault="008503A2" w:rsidP="008503A2">
            <w:pPr>
              <w:pStyle w:val="TableHeaderText"/>
              <w:jc w:val="left"/>
            </w:pPr>
            <w:r w:rsidRPr="00DF242F">
              <w:t>If ...</w:t>
            </w:r>
          </w:p>
        </w:tc>
        <w:tc>
          <w:tcPr>
            <w:tcW w:w="2966" w:type="pct"/>
            <w:gridSpan w:val="2"/>
            <w:shd w:val="clear" w:color="auto" w:fill="auto"/>
          </w:tcPr>
          <w:p w14:paraId="5FBD329A" w14:textId="15D03DD1" w:rsidR="008503A2" w:rsidRPr="00DF242F" w:rsidRDefault="008503A2" w:rsidP="008503A2">
            <w:pPr>
              <w:pStyle w:val="TableHeaderText"/>
              <w:jc w:val="left"/>
            </w:pPr>
            <w:r w:rsidRPr="00DF242F">
              <w:t>Then ...</w:t>
            </w:r>
          </w:p>
        </w:tc>
      </w:tr>
      <w:tr w:rsidR="008503A2" w:rsidRPr="00DF242F" w14:paraId="1A395DBD" w14:textId="77777777" w:rsidTr="00D54AC6">
        <w:trPr>
          <w:gridBefore w:val="1"/>
          <w:wBefore w:w="93" w:type="pct"/>
        </w:trPr>
        <w:tc>
          <w:tcPr>
            <w:tcW w:w="1942" w:type="pct"/>
            <w:shd w:val="clear" w:color="auto" w:fill="auto"/>
          </w:tcPr>
          <w:p w14:paraId="74ED5F67" w14:textId="1A225AD2" w:rsidR="008503A2" w:rsidRPr="00DF242F" w:rsidRDefault="008503A2" w:rsidP="008503A2">
            <w:pPr>
              <w:pStyle w:val="TableText"/>
            </w:pPr>
            <w:r w:rsidRPr="00DF242F">
              <w:t>the beneficiary is receiving Veterans Pension</w:t>
            </w:r>
          </w:p>
        </w:tc>
        <w:tc>
          <w:tcPr>
            <w:tcW w:w="2966" w:type="pct"/>
            <w:gridSpan w:val="2"/>
            <w:shd w:val="clear" w:color="auto" w:fill="auto"/>
          </w:tcPr>
          <w:p w14:paraId="1A180A6E" w14:textId="3FA27B02" w:rsidR="008503A2" w:rsidRPr="00DF242F" w:rsidRDefault="008503A2" w:rsidP="008503A2">
            <w:pPr>
              <w:pStyle w:val="TableText"/>
            </w:pPr>
            <w:r w:rsidRPr="00DF242F">
              <w:t>payment of any other pension to the same person is prohibited.</w:t>
            </w:r>
          </w:p>
          <w:p w14:paraId="00491572" w14:textId="77777777" w:rsidR="008503A2" w:rsidRPr="00DF242F" w:rsidRDefault="008503A2" w:rsidP="008503A2">
            <w:pPr>
              <w:pStyle w:val="TableText"/>
            </w:pPr>
          </w:p>
          <w:p w14:paraId="5171EA61" w14:textId="07282ACD" w:rsidR="008503A2" w:rsidRPr="00DF242F" w:rsidRDefault="008503A2" w:rsidP="008503A2">
            <w:pPr>
              <w:pStyle w:val="TableText"/>
            </w:pPr>
            <w:r w:rsidRPr="00DF242F">
              <w:t xml:space="preserve">Therefore, the beneficiary cannot simultaneously receive Section 306 or Old </w:t>
            </w:r>
            <w:r w:rsidRPr="00DF242F">
              <w:lastRenderedPageBreak/>
              <w:t>Law pension as a surviving spouse.</w:t>
            </w:r>
          </w:p>
        </w:tc>
      </w:tr>
      <w:tr w:rsidR="008503A2" w:rsidRPr="00DF242F" w14:paraId="2C89211F" w14:textId="77777777" w:rsidTr="00D54AC6">
        <w:trPr>
          <w:gridBefore w:val="1"/>
          <w:wBefore w:w="93" w:type="pct"/>
        </w:trPr>
        <w:tc>
          <w:tcPr>
            <w:tcW w:w="1942" w:type="pct"/>
            <w:shd w:val="clear" w:color="auto" w:fill="auto"/>
          </w:tcPr>
          <w:p w14:paraId="25CDCE9D" w14:textId="2EE9843E" w:rsidR="008503A2" w:rsidRPr="00DF242F" w:rsidRDefault="008503A2" w:rsidP="008503A2">
            <w:pPr>
              <w:pStyle w:val="TableText"/>
            </w:pPr>
            <w:r w:rsidRPr="00DF242F">
              <w:lastRenderedPageBreak/>
              <w:t xml:space="preserve">the beneficiary is </w:t>
            </w:r>
            <w:r w:rsidR="007D7EC3" w:rsidRPr="00DF242F">
              <w:t>receiving</w:t>
            </w:r>
            <w:r w:rsidRPr="00DF242F">
              <w:t xml:space="preserve"> Survivors Pension</w:t>
            </w:r>
          </w:p>
        </w:tc>
        <w:tc>
          <w:tcPr>
            <w:tcW w:w="2966" w:type="pct"/>
            <w:gridSpan w:val="2"/>
            <w:shd w:val="clear" w:color="auto" w:fill="auto"/>
          </w:tcPr>
          <w:p w14:paraId="637C244A" w14:textId="768C2257" w:rsidR="008503A2" w:rsidRPr="00DF242F" w:rsidRDefault="002D0BA3" w:rsidP="008503A2">
            <w:pPr>
              <w:pStyle w:val="TableText"/>
            </w:pPr>
            <w:r w:rsidRPr="00DF242F">
              <w:t>t</w:t>
            </w:r>
            <w:r w:rsidR="008503A2" w:rsidRPr="00DF242F">
              <w:t>here is no prohibition against simultaneous receipt of Section 306 or Old Law pensions as a Veteran.</w:t>
            </w:r>
          </w:p>
        </w:tc>
      </w:tr>
      <w:tr w:rsidR="00FE5C61" w:rsidRPr="00DF242F" w14:paraId="6A41F6A3" w14:textId="77777777" w:rsidTr="00D54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
            <w:shd w:val="clear" w:color="auto" w:fill="auto"/>
          </w:tcPr>
          <w:p w14:paraId="4CCB9BC3" w14:textId="77777777" w:rsidR="00D54AC6" w:rsidRPr="00DF242F" w:rsidRDefault="00D54AC6" w:rsidP="00D54AC6">
            <w:pPr>
              <w:pStyle w:val="BlockText"/>
              <w:rPr>
                <w:b/>
                <w:i/>
                <w:szCs w:val="20"/>
              </w:rPr>
            </w:pPr>
            <w:bookmarkStart w:id="9" w:name="CurrentPos"/>
            <w:bookmarkStart w:id="10" w:name="CursorPosMyFindPreviousStyle"/>
            <w:bookmarkEnd w:id="9"/>
            <w:bookmarkEnd w:id="10"/>
          </w:p>
          <w:p w14:paraId="41C2D3BE" w14:textId="6FAE31BE" w:rsidR="00FE5C61" w:rsidRPr="00DF242F" w:rsidRDefault="00FE5C61" w:rsidP="00D54AC6">
            <w:pPr>
              <w:pStyle w:val="BlockText"/>
              <w:rPr>
                <w:szCs w:val="20"/>
              </w:rPr>
            </w:pPr>
            <w:r w:rsidRPr="00DF242F">
              <w:rPr>
                <w:b/>
                <w:i/>
                <w:szCs w:val="20"/>
              </w:rPr>
              <w:t>Reference</w:t>
            </w:r>
            <w:r w:rsidRPr="00DF242F">
              <w:rPr>
                <w:szCs w:val="20"/>
              </w:rPr>
              <w:t>:</w:t>
            </w:r>
            <w:r w:rsidRPr="00DF242F">
              <w:rPr>
                <w:b/>
                <w:szCs w:val="20"/>
              </w:rPr>
              <w:t xml:space="preserve">  </w:t>
            </w:r>
            <w:r w:rsidRPr="00DF242F">
              <w:rPr>
                <w:szCs w:val="20"/>
              </w:rPr>
              <w:t xml:space="preserve">For more information on the prohibition against concurrent    benefits, see </w:t>
            </w:r>
            <w:hyperlink r:id="rId16" w:history="1">
              <w:r w:rsidRPr="00DF242F">
                <w:rPr>
                  <w:color w:val="0000FF"/>
                  <w:szCs w:val="20"/>
                  <w:u w:val="single"/>
                </w:rPr>
                <w:t>38 CFR 3.700(a)(4)</w:t>
              </w:r>
            </w:hyperlink>
            <w:r w:rsidRPr="00DF242F">
              <w:rPr>
                <w:szCs w:val="20"/>
              </w:rPr>
              <w:t>.</w:t>
            </w:r>
          </w:p>
        </w:tc>
      </w:tr>
    </w:tbl>
    <w:p w14:paraId="545E9453" w14:textId="7BE77799"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5C" w14:textId="77777777" w:rsidTr="00D54AC6">
        <w:trPr>
          <w:cantSplit/>
        </w:trPr>
        <w:tc>
          <w:tcPr>
            <w:tcW w:w="1728" w:type="dxa"/>
          </w:tcPr>
          <w:p w14:paraId="545E9454" w14:textId="141350F3" w:rsidR="00561046" w:rsidRPr="00DF242F" w:rsidRDefault="00194E69" w:rsidP="001E1EE1">
            <w:pPr>
              <w:pStyle w:val="Heading5"/>
            </w:pPr>
            <w:bookmarkStart w:id="11" w:name="_c.__Multiple"/>
            <w:bookmarkEnd w:id="11"/>
            <w:r w:rsidRPr="00DF242F">
              <w:t>c.  Multiple Claim Numbers</w:t>
            </w:r>
          </w:p>
        </w:tc>
        <w:tc>
          <w:tcPr>
            <w:tcW w:w="7740" w:type="dxa"/>
          </w:tcPr>
          <w:p w14:paraId="545E945B" w14:textId="70425C5F" w:rsidR="00561046" w:rsidRPr="00DF242F" w:rsidRDefault="000669D8" w:rsidP="00D54AC6">
            <w:pPr>
              <w:pStyle w:val="NoteText"/>
            </w:pPr>
            <w:r w:rsidRPr="00DF242F">
              <w:t xml:space="preserve">In cases where the Veteran is married to another Veteran or is in receipt of his/her own benefits as well as benefits as a survivor, </w:t>
            </w:r>
            <w:r w:rsidR="00D54AC6" w:rsidRPr="00DF242F">
              <w:t>the Veterans Service Network (</w:t>
            </w:r>
            <w:r w:rsidRPr="00DF242F">
              <w:t>VETSNET</w:t>
            </w:r>
            <w:r w:rsidR="00D54AC6" w:rsidRPr="00DF242F">
              <w:t>)</w:t>
            </w:r>
            <w:r w:rsidRPr="00DF242F">
              <w:t xml:space="preserve"> and </w:t>
            </w:r>
            <w:r w:rsidR="00D54AC6" w:rsidRPr="00DF242F">
              <w:t>the Veterans Benefits Management System (</w:t>
            </w:r>
            <w:r w:rsidRPr="00DF242F">
              <w:t>VBMS</w:t>
            </w:r>
            <w:r w:rsidR="00D54AC6" w:rsidRPr="00DF242F">
              <w:t>)</w:t>
            </w:r>
            <w:r w:rsidRPr="00DF242F">
              <w:t xml:space="preserve"> will automatically identify </w:t>
            </w:r>
            <w:r w:rsidR="007D7EC3" w:rsidRPr="00DF242F">
              <w:t>situations</w:t>
            </w:r>
            <w:r w:rsidRPr="00DF242F">
              <w:t xml:space="preserve"> where they are in receipt of benefits under </w:t>
            </w:r>
            <w:r w:rsidR="007D7EC3" w:rsidRPr="00DF242F">
              <w:t>multiple</w:t>
            </w:r>
            <w:r w:rsidRPr="00DF242F">
              <w:t xml:space="preserve"> file numbers.</w:t>
            </w:r>
          </w:p>
        </w:tc>
      </w:tr>
    </w:tbl>
    <w:p w14:paraId="545E945D"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63" w14:textId="77777777" w:rsidTr="00D54AC6">
        <w:trPr>
          <w:cantSplit/>
        </w:trPr>
        <w:tc>
          <w:tcPr>
            <w:tcW w:w="1728" w:type="dxa"/>
          </w:tcPr>
          <w:p w14:paraId="545E945F" w14:textId="72BE63B8" w:rsidR="00561046" w:rsidRPr="00DF242F" w:rsidRDefault="00561046" w:rsidP="00C7319D">
            <w:pPr>
              <w:pStyle w:val="Heading5"/>
            </w:pPr>
            <w:bookmarkStart w:id="12" w:name="_d.__Veteran"/>
            <w:bookmarkEnd w:id="12"/>
            <w:r w:rsidRPr="00DF242F">
              <w:t xml:space="preserve">d.  </w:t>
            </w:r>
            <w:r w:rsidR="00561C19" w:rsidRPr="00DF242F">
              <w:t>Veteran Pension</w:t>
            </w:r>
            <w:r w:rsidR="00C7319D" w:rsidRPr="00DF242F">
              <w:t xml:space="preserve"> and</w:t>
            </w:r>
            <w:r w:rsidRPr="00DF242F">
              <w:t xml:space="preserve"> DIC Claim</w:t>
            </w:r>
            <w:r w:rsidR="00561C19" w:rsidRPr="00DF242F">
              <w:t>s</w:t>
            </w:r>
          </w:p>
        </w:tc>
        <w:tc>
          <w:tcPr>
            <w:tcW w:w="7740" w:type="dxa"/>
          </w:tcPr>
          <w:p w14:paraId="545E9460" w14:textId="3C23AE46" w:rsidR="00561046" w:rsidRPr="00DF242F" w:rsidRDefault="00561046" w:rsidP="001E1EE1">
            <w:pPr>
              <w:pStyle w:val="BlockText"/>
              <w:rPr>
                <w:b/>
              </w:rPr>
            </w:pPr>
            <w:r w:rsidRPr="00DF242F">
              <w:t xml:space="preserve">If the same person is properly in receipt of </w:t>
            </w:r>
            <w:r w:rsidR="00F12373" w:rsidRPr="00DF242F">
              <w:t>Veterans Pension and</w:t>
            </w:r>
            <w:r w:rsidRPr="00DF242F">
              <w:t xml:space="preserve"> Dependency and Indemnity Compensation (DIC), check to see if the </w:t>
            </w:r>
            <w:r w:rsidR="00C7319D" w:rsidRPr="00DF242F">
              <w:t>DIC benefit</w:t>
            </w:r>
            <w:r w:rsidRPr="00DF242F">
              <w:t xml:space="preserve"> is being counted as income on the </w:t>
            </w:r>
            <w:r w:rsidR="00F12373" w:rsidRPr="00DF242F">
              <w:t>Veterans Pension</w:t>
            </w:r>
            <w:r w:rsidRPr="00DF242F">
              <w:t xml:space="preserve"> account. </w:t>
            </w:r>
          </w:p>
          <w:p w14:paraId="545E9461" w14:textId="77777777" w:rsidR="00561046" w:rsidRPr="00DF242F" w:rsidRDefault="00561046" w:rsidP="001E1EE1">
            <w:pPr>
              <w:pStyle w:val="BlockText"/>
            </w:pPr>
          </w:p>
          <w:p w14:paraId="545E9462" w14:textId="0C69AA95" w:rsidR="00561046" w:rsidRPr="00DF242F" w:rsidRDefault="00A122AA" w:rsidP="00F12373">
            <w:pPr>
              <w:pStyle w:val="BlockText"/>
            </w:pPr>
            <w:r w:rsidRPr="00DF242F">
              <w:t xml:space="preserve">Section 306 and Old Law VA pension benefits </w:t>
            </w:r>
            <w:r w:rsidR="00561046" w:rsidRPr="00DF242F">
              <w:t xml:space="preserve">are not countable for </w:t>
            </w:r>
            <w:r w:rsidR="00F12373" w:rsidRPr="00DF242F">
              <w:t xml:space="preserve">Veterans Pension </w:t>
            </w:r>
            <w:r w:rsidR="00561046" w:rsidRPr="00DF242F">
              <w:t xml:space="preserve">purposes under </w:t>
            </w:r>
            <w:hyperlink r:id="rId17" w:history="1">
              <w:r w:rsidR="00561046" w:rsidRPr="00DF242F">
                <w:rPr>
                  <w:color w:val="0000FF"/>
                  <w:u w:val="single"/>
                </w:rPr>
                <w:t>38 CFR 3.272(c)</w:t>
              </w:r>
            </w:hyperlink>
            <w:r w:rsidR="00561046" w:rsidRPr="00DF242F">
              <w:t>.  However, there is no exclusion for VA compensation or DIC benefits.</w:t>
            </w:r>
          </w:p>
        </w:tc>
      </w:tr>
    </w:tbl>
    <w:p w14:paraId="545E9466"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469" w14:textId="77777777" w:rsidTr="00D54AC6">
        <w:trPr>
          <w:cantSplit/>
        </w:trPr>
        <w:tc>
          <w:tcPr>
            <w:tcW w:w="1728" w:type="dxa"/>
          </w:tcPr>
          <w:p w14:paraId="545E9467" w14:textId="77777777" w:rsidR="00561046" w:rsidRPr="00DF242F" w:rsidRDefault="00561046" w:rsidP="00CA2234">
            <w:pPr>
              <w:pStyle w:val="Heading5"/>
            </w:pPr>
            <w:bookmarkStart w:id="13" w:name="_e.__Veteran"/>
            <w:bookmarkEnd w:id="13"/>
            <w:r w:rsidRPr="00DF242F">
              <w:t>e.  Veteran Married to Deceased Child’s Other Parent</w:t>
            </w:r>
          </w:p>
        </w:tc>
        <w:tc>
          <w:tcPr>
            <w:tcW w:w="7740" w:type="dxa"/>
          </w:tcPr>
          <w:p w14:paraId="61E132F2" w14:textId="3CDEA86A" w:rsidR="00561046" w:rsidRPr="00DF242F" w:rsidRDefault="00561046" w:rsidP="00A04387">
            <w:pPr>
              <w:pStyle w:val="BlockText"/>
            </w:pPr>
            <w:r w:rsidRPr="00DF242F">
              <w:t xml:space="preserve">If a </w:t>
            </w:r>
            <w:r w:rsidR="00A04387" w:rsidRPr="00DF242F">
              <w:t xml:space="preserve">claimant receives Veterans Pension and is </w:t>
            </w:r>
            <w:r w:rsidR="007D7EC3" w:rsidRPr="00DF242F">
              <w:t>receiving</w:t>
            </w:r>
            <w:r w:rsidR="00A04387" w:rsidRPr="00DF242F">
              <w:t xml:space="preserve"> Parents DIC</w:t>
            </w:r>
            <w:r w:rsidRPr="00DF242F">
              <w:t xml:space="preserve">, </w:t>
            </w:r>
            <w:r w:rsidR="00455778" w:rsidRPr="00DF242F">
              <w:t>verify</w:t>
            </w:r>
            <w:r w:rsidRPr="00DF242F">
              <w:t xml:space="preserve"> </w:t>
            </w:r>
            <w:r w:rsidR="00A04387" w:rsidRPr="00DF242F">
              <w:t>the</w:t>
            </w:r>
            <w:r w:rsidRPr="00DF242F">
              <w:t xml:space="preserve"> DIC </w:t>
            </w:r>
            <w:r w:rsidR="00A04387" w:rsidRPr="00DF242F">
              <w:t>benefit is</w:t>
            </w:r>
            <w:r w:rsidRPr="00DF242F">
              <w:t xml:space="preserve"> being counted as income on the Veteran’s </w:t>
            </w:r>
            <w:r w:rsidR="00A04387" w:rsidRPr="00DF242F">
              <w:t>Pension</w:t>
            </w:r>
            <w:r w:rsidRPr="00DF242F">
              <w:t xml:space="preserve"> award.</w:t>
            </w:r>
          </w:p>
          <w:p w14:paraId="176C534B" w14:textId="77777777" w:rsidR="00104BF6" w:rsidRPr="00DF242F" w:rsidRDefault="00104BF6" w:rsidP="00A04387">
            <w:pPr>
              <w:pStyle w:val="BlockText"/>
            </w:pPr>
          </w:p>
          <w:p w14:paraId="545E9468" w14:textId="12C274BC" w:rsidR="00104BF6" w:rsidRPr="00DF242F" w:rsidRDefault="00104BF6" w:rsidP="00A04387">
            <w:pPr>
              <w:pStyle w:val="BlockText"/>
              <w:rPr>
                <w:b/>
              </w:rPr>
            </w:pPr>
            <w:r w:rsidRPr="00DF242F">
              <w:t xml:space="preserve">If the Veteran is married to the other parent of the </w:t>
            </w:r>
            <w:r w:rsidR="0064400E" w:rsidRPr="00DF242F">
              <w:t>deceased child, both Parents DIC awards count as income on the Veteran’s Pension award.</w:t>
            </w:r>
          </w:p>
        </w:tc>
      </w:tr>
    </w:tbl>
    <w:p w14:paraId="545E946A"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6D" w14:textId="77777777" w:rsidTr="00D54AC6">
        <w:trPr>
          <w:cantSplit/>
        </w:trPr>
        <w:tc>
          <w:tcPr>
            <w:tcW w:w="1728" w:type="dxa"/>
          </w:tcPr>
          <w:p w14:paraId="545E946B" w14:textId="5BEDC209" w:rsidR="00561046" w:rsidRPr="00DF242F" w:rsidRDefault="00561046" w:rsidP="0031271A">
            <w:pPr>
              <w:pStyle w:val="Heading5"/>
            </w:pPr>
            <w:bookmarkStart w:id="14" w:name="_f.__Compensation"/>
            <w:bookmarkEnd w:id="14"/>
            <w:r w:rsidRPr="00DF242F">
              <w:t>f.  Compensation or DIC Counted on Pension Award</w:t>
            </w:r>
          </w:p>
        </w:tc>
        <w:tc>
          <w:tcPr>
            <w:tcW w:w="7740" w:type="dxa"/>
          </w:tcPr>
          <w:p w14:paraId="545E946C" w14:textId="0A197506" w:rsidR="00561046" w:rsidRPr="00DF242F" w:rsidRDefault="00561046" w:rsidP="00621157">
            <w:pPr>
              <w:pStyle w:val="BlockText"/>
            </w:pPr>
            <w:r w:rsidRPr="00DF242F">
              <w:t xml:space="preserve">If the same person is properly in receipt of </w:t>
            </w:r>
            <w:r w:rsidR="0031271A" w:rsidRPr="00DF242F">
              <w:t>Veterans or Survivors</w:t>
            </w:r>
            <w:r w:rsidRPr="00DF242F">
              <w:t xml:space="preserve"> pension and compensation or DIC</w:t>
            </w:r>
            <w:r w:rsidR="00621157" w:rsidRPr="00DF242F">
              <w:t>,</w:t>
            </w:r>
            <w:r w:rsidRPr="00DF242F">
              <w:t xml:space="preserve"> and the compensation or DIC is being counted on the pension award, </w:t>
            </w:r>
            <w:r w:rsidR="00621157" w:rsidRPr="00DF242F">
              <w:t>verify that</w:t>
            </w:r>
            <w:r w:rsidRPr="00DF242F">
              <w:t xml:space="preserve"> the correct amount of compensation or DIC is being counted as </w:t>
            </w:r>
            <w:r w:rsidRPr="00DF242F">
              <w:rPr>
                <w:i/>
              </w:rPr>
              <w:t>OTHER</w:t>
            </w:r>
            <w:r w:rsidRPr="00DF242F">
              <w:t xml:space="preserve"> or </w:t>
            </w:r>
            <w:r w:rsidRPr="00DF242F">
              <w:rPr>
                <w:i/>
              </w:rPr>
              <w:t>OTHER RETIREMENT</w:t>
            </w:r>
            <w:r w:rsidRPr="00DF242F">
              <w:t xml:space="preserve"> income on the pension award.</w:t>
            </w:r>
          </w:p>
        </w:tc>
      </w:tr>
    </w:tbl>
    <w:p w14:paraId="545E946E"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79" w14:textId="77777777" w:rsidTr="00D54AC6">
        <w:trPr>
          <w:cantSplit/>
        </w:trPr>
        <w:tc>
          <w:tcPr>
            <w:tcW w:w="1728" w:type="dxa"/>
          </w:tcPr>
          <w:p w14:paraId="545E946F" w14:textId="77777777" w:rsidR="00561046" w:rsidRPr="00DF242F" w:rsidRDefault="00561046" w:rsidP="00CA2234">
            <w:pPr>
              <w:pStyle w:val="Heading5"/>
            </w:pPr>
            <w:bookmarkStart w:id="15" w:name="_g.__Multiple"/>
            <w:bookmarkEnd w:id="15"/>
            <w:r w:rsidRPr="00DF242F">
              <w:lastRenderedPageBreak/>
              <w:t>g.  Multiple Payments as DIC Parent</w:t>
            </w:r>
          </w:p>
        </w:tc>
        <w:tc>
          <w:tcPr>
            <w:tcW w:w="7740" w:type="dxa"/>
          </w:tcPr>
          <w:p w14:paraId="545E9470" w14:textId="77777777" w:rsidR="00561046" w:rsidRPr="00DF242F" w:rsidRDefault="00561046" w:rsidP="00CA2234">
            <w:pPr>
              <w:pStyle w:val="BlockText"/>
            </w:pPr>
            <w:r w:rsidRPr="00DF242F">
              <w:t>If the same person is properly in receipt of multiple payments as a DIC parent (that is, the beneficiary has more than one deceased Veteran child), check to see if the monthly rate is the same on all accounts.</w:t>
            </w:r>
          </w:p>
          <w:p w14:paraId="545E9471" w14:textId="77777777" w:rsidR="00561046" w:rsidRPr="00DF242F" w:rsidRDefault="00561046" w:rsidP="00CA2234">
            <w:pPr>
              <w:pStyle w:val="BlockText"/>
            </w:pPr>
          </w:p>
          <w:p w14:paraId="545E9472" w14:textId="6679E7F9" w:rsidR="00561046" w:rsidRPr="00DF242F" w:rsidRDefault="00561046" w:rsidP="00CA2234">
            <w:pPr>
              <w:pStyle w:val="BlockText"/>
            </w:pPr>
            <w:r w:rsidRPr="00DF242F">
              <w:t xml:space="preserve">If the monthly rate is not the same on all accounts, </w:t>
            </w:r>
            <w:r w:rsidR="00970847" w:rsidRPr="00DF242F">
              <w:t xml:space="preserve">verify </w:t>
            </w:r>
            <w:r w:rsidRPr="00DF242F">
              <w:t>all income is being counted correctly on all accounts and that the SSN which is causing the match is the parent’s, as opposed to the Veteran’s SSN.</w:t>
            </w:r>
          </w:p>
          <w:p w14:paraId="545E9473" w14:textId="77777777" w:rsidR="00561046" w:rsidRPr="00DF242F" w:rsidRDefault="00561046" w:rsidP="00CA2234">
            <w:pPr>
              <w:pStyle w:val="BlockText"/>
            </w:pPr>
          </w:p>
          <w:p w14:paraId="545E9474" w14:textId="5C98F41E" w:rsidR="00561046" w:rsidRPr="00DF242F" w:rsidRDefault="00561046" w:rsidP="00CA2234">
            <w:pPr>
              <w:pStyle w:val="BlockText"/>
            </w:pPr>
            <w:r w:rsidRPr="00DF242F">
              <w:t>If not</w:t>
            </w:r>
            <w:r w:rsidR="00306166" w:rsidRPr="00DF242F">
              <w:t>,</w:t>
            </w:r>
          </w:p>
          <w:p w14:paraId="545E9475" w14:textId="77777777" w:rsidR="00561046" w:rsidRPr="00DF242F" w:rsidRDefault="00561046" w:rsidP="00CA2234">
            <w:pPr>
              <w:pStyle w:val="BlockText"/>
            </w:pPr>
          </w:p>
          <w:p w14:paraId="545E9476" w14:textId="77777777" w:rsidR="00561046" w:rsidRPr="00DF242F" w:rsidRDefault="00561046" w:rsidP="00970847">
            <w:pPr>
              <w:pStyle w:val="BulletText1"/>
            </w:pPr>
            <w:r w:rsidRPr="00DF242F">
              <w:t>determine the Veteran’s correct SSN, if the Veteran had one</w:t>
            </w:r>
          </w:p>
          <w:p w14:paraId="545E9477" w14:textId="77777777" w:rsidR="00561046" w:rsidRPr="00DF242F" w:rsidRDefault="006907CC" w:rsidP="00970847">
            <w:pPr>
              <w:pStyle w:val="BulletText1"/>
            </w:pPr>
            <w:r w:rsidRPr="00DF242F">
              <w:t>enter it into the corporate</w:t>
            </w:r>
            <w:r w:rsidR="00561046" w:rsidRPr="00DF242F">
              <w:t xml:space="preserve"> record, and </w:t>
            </w:r>
          </w:p>
          <w:p w14:paraId="545E9478" w14:textId="77777777" w:rsidR="00561046" w:rsidRPr="00DF242F" w:rsidRDefault="00561046" w:rsidP="00970847">
            <w:pPr>
              <w:pStyle w:val="BulletText1"/>
            </w:pPr>
            <w:r w:rsidRPr="00DF242F">
              <w:t>update the Veteran’s BIRLS record.</w:t>
            </w:r>
          </w:p>
        </w:tc>
      </w:tr>
    </w:tbl>
    <w:p w14:paraId="545E947A"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7F" w14:textId="77777777" w:rsidTr="00D54AC6">
        <w:trPr>
          <w:cantSplit/>
        </w:trPr>
        <w:tc>
          <w:tcPr>
            <w:tcW w:w="1728" w:type="dxa"/>
          </w:tcPr>
          <w:p w14:paraId="545E947B" w14:textId="77777777" w:rsidR="00561046" w:rsidRPr="00DF242F" w:rsidRDefault="00561046" w:rsidP="00CA2234">
            <w:pPr>
              <w:pStyle w:val="Heading5"/>
            </w:pPr>
            <w:bookmarkStart w:id="16" w:name="_h.__When"/>
            <w:bookmarkEnd w:id="16"/>
            <w:r w:rsidRPr="00DF242F">
              <w:t>h.  When a Surviving Spouse Receives Disability Compensation</w:t>
            </w:r>
          </w:p>
        </w:tc>
        <w:tc>
          <w:tcPr>
            <w:tcW w:w="7740" w:type="dxa"/>
          </w:tcPr>
          <w:p w14:paraId="545E947C" w14:textId="604E47E0" w:rsidR="00561046" w:rsidRPr="00DF242F" w:rsidRDefault="00561046" w:rsidP="00CA2234">
            <w:pPr>
              <w:pStyle w:val="BlockText"/>
            </w:pPr>
            <w:r w:rsidRPr="00DF242F">
              <w:t>If the same person is properly in receipt of DIC as a surviving spouse and compensation as a Veteran, determine if the beneficiary is b</w:t>
            </w:r>
            <w:r w:rsidR="007A3FF3" w:rsidRPr="00DF242F">
              <w:t>eing paid additional benefits for</w:t>
            </w:r>
            <w:r w:rsidRPr="00DF242F">
              <w:t xml:space="preserve"> a spouse on the payee 00 corporate record.  If so, determine the person’s actual marital status.</w:t>
            </w:r>
          </w:p>
          <w:p w14:paraId="4FB4CB32" w14:textId="77777777" w:rsidR="004442B1" w:rsidRPr="00DF242F" w:rsidRDefault="004442B1" w:rsidP="00CA2234">
            <w:pPr>
              <w:pStyle w:val="BlockText"/>
            </w:pPr>
          </w:p>
          <w:p w14:paraId="545E947E" w14:textId="48FA809E" w:rsidR="00561046" w:rsidRPr="00DF242F" w:rsidRDefault="004442B1" w:rsidP="00CA2234">
            <w:pPr>
              <w:pStyle w:val="BlockText"/>
            </w:pPr>
            <w:r w:rsidRPr="00DF242F">
              <w:rPr>
                <w:b/>
                <w:i/>
              </w:rPr>
              <w:t>Reference:</w:t>
            </w:r>
            <w:r w:rsidRPr="00DF242F">
              <w:t xml:space="preserve"> For more information </w:t>
            </w:r>
            <w:r w:rsidR="00992CC5" w:rsidRPr="00DF242F">
              <w:t xml:space="preserve">on reinstatement of benefit eligibility for surviving spouses, see </w:t>
            </w:r>
            <w:hyperlink r:id="rId18" w:history="1">
              <w:r w:rsidR="00992CC5" w:rsidRPr="00DF242F">
                <w:rPr>
                  <w:rStyle w:val="Hyperlink"/>
                </w:rPr>
                <w:t>38 CFR 3.55</w:t>
              </w:r>
            </w:hyperlink>
            <w:r w:rsidR="005D6EB0" w:rsidRPr="00DF242F">
              <w:t>.</w:t>
            </w:r>
          </w:p>
        </w:tc>
      </w:tr>
    </w:tbl>
    <w:p w14:paraId="545E9482" w14:textId="4D250F7B"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947C45" w:rsidRPr="00DF242F" w14:paraId="29280D0B" w14:textId="77777777" w:rsidTr="009A57EE">
        <w:trPr>
          <w:cantSplit/>
        </w:trPr>
        <w:tc>
          <w:tcPr>
            <w:tcW w:w="1728" w:type="dxa"/>
          </w:tcPr>
          <w:p w14:paraId="7F1988A4" w14:textId="77777777" w:rsidR="00947C45" w:rsidRPr="00DF242F" w:rsidRDefault="00947C45" w:rsidP="009A57EE">
            <w:pPr>
              <w:pStyle w:val="Heading5"/>
            </w:pPr>
            <w:proofErr w:type="spellStart"/>
            <w:r w:rsidRPr="00DF242F">
              <w:t>i</w:t>
            </w:r>
            <w:proofErr w:type="spellEnd"/>
            <w:r w:rsidRPr="00DF242F">
              <w:t>.  Determining Corrective Action</w:t>
            </w:r>
          </w:p>
        </w:tc>
        <w:tc>
          <w:tcPr>
            <w:tcW w:w="7740" w:type="dxa"/>
          </w:tcPr>
          <w:p w14:paraId="119C02E7" w14:textId="77777777" w:rsidR="00947C45" w:rsidRPr="00DF242F" w:rsidRDefault="00947C45" w:rsidP="009A57EE">
            <w:pPr>
              <w:pStyle w:val="BlockText"/>
            </w:pPr>
            <w:r w:rsidRPr="00DF242F">
              <w:t>If you are still unable to determine what corrective action needs to be taken, contact Compensation Service and/or P&amp;F Service by submitting a ticket request via the National Service Desk.  The name and telephone number of the person to contact will appear on the transmittal document accompanying the listing.</w:t>
            </w:r>
          </w:p>
        </w:tc>
      </w:tr>
    </w:tbl>
    <w:p w14:paraId="545E948B" w14:textId="77777777" w:rsidR="00561046" w:rsidRPr="00DF242F" w:rsidRDefault="00561046" w:rsidP="00561046">
      <w:pPr>
        <w:spacing w:after="240"/>
        <w:outlineLvl w:val="3"/>
        <w:rPr>
          <w:rFonts w:ascii="Arial" w:hAnsi="Arial"/>
          <w:b/>
          <w:sz w:val="32"/>
          <w:szCs w:val="20"/>
        </w:rPr>
      </w:pPr>
      <w:r w:rsidRPr="00DF242F">
        <w:rPr>
          <w:rFonts w:ascii="Arial" w:hAnsi="Arial"/>
          <w:b/>
          <w:sz w:val="32"/>
          <w:szCs w:val="20"/>
        </w:rPr>
        <w:br w:type="page"/>
      </w:r>
      <w:r w:rsidRPr="00DF242F">
        <w:rPr>
          <w:rFonts w:ascii="Arial" w:hAnsi="Arial"/>
          <w:b/>
          <w:sz w:val="32"/>
          <w:szCs w:val="20"/>
        </w:rPr>
        <w:lastRenderedPageBreak/>
        <w:t>3.  Consolidation of Cases</w:t>
      </w:r>
    </w:p>
    <w:p w14:paraId="545E948C"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94" w14:textId="77777777" w:rsidTr="00D54AC6">
        <w:trPr>
          <w:cantSplit/>
        </w:trPr>
        <w:tc>
          <w:tcPr>
            <w:tcW w:w="1728" w:type="dxa"/>
          </w:tcPr>
          <w:p w14:paraId="545E948D" w14:textId="77777777" w:rsidR="00561046" w:rsidRPr="00DF242F" w:rsidRDefault="00561046" w:rsidP="002F7224">
            <w:pPr>
              <w:pStyle w:val="Heading5"/>
            </w:pPr>
            <w:r w:rsidRPr="00DF242F">
              <w:t>Introduction</w:t>
            </w:r>
          </w:p>
        </w:tc>
        <w:tc>
          <w:tcPr>
            <w:tcW w:w="7740" w:type="dxa"/>
          </w:tcPr>
          <w:p w14:paraId="545E948E" w14:textId="77777777" w:rsidR="00561046" w:rsidRPr="00DF242F" w:rsidRDefault="00561046" w:rsidP="00C62FDD">
            <w:pPr>
              <w:pStyle w:val="BlockText"/>
            </w:pPr>
            <w:r w:rsidRPr="00DF242F">
              <w:t>This topic contains information on consolidation of cases, including</w:t>
            </w:r>
          </w:p>
          <w:p w14:paraId="545E948F" w14:textId="77777777" w:rsidR="00561046" w:rsidRPr="00DF242F" w:rsidRDefault="00561046" w:rsidP="002F7224">
            <w:pPr>
              <w:pStyle w:val="BlockText"/>
            </w:pPr>
          </w:p>
          <w:p w14:paraId="545E9490" w14:textId="6A4F807A" w:rsidR="00561046" w:rsidRPr="00DF242F" w:rsidRDefault="00C50D63" w:rsidP="00C62FDD">
            <w:pPr>
              <w:pStyle w:val="BulletText1"/>
            </w:pPr>
            <w:hyperlink w:anchor="_a.__Reason" w:history="1">
              <w:r w:rsidR="00561046" w:rsidRPr="00DF242F">
                <w:rPr>
                  <w:rStyle w:val="Hyperlink"/>
                </w:rPr>
                <w:t>the reason to consolidate cases</w:t>
              </w:r>
            </w:hyperlink>
          </w:p>
          <w:p w14:paraId="545E9491" w14:textId="5DD1D6C4" w:rsidR="00561046" w:rsidRPr="00DF242F" w:rsidRDefault="00C50D63" w:rsidP="00C62FDD">
            <w:pPr>
              <w:pStyle w:val="BulletText1"/>
            </w:pPr>
            <w:hyperlink w:anchor="_b.__Two" w:history="1">
              <w:r w:rsidR="00561046" w:rsidRPr="00DF242F">
                <w:rPr>
                  <w:rStyle w:val="Hyperlink"/>
                </w:rPr>
                <w:t>when there are</w:t>
              </w:r>
              <w:r w:rsidR="002F7224" w:rsidRPr="00DF242F">
                <w:rPr>
                  <w:rStyle w:val="Hyperlink"/>
                </w:rPr>
                <w:t xml:space="preserve"> </w:t>
              </w:r>
              <w:r w:rsidR="00561046" w:rsidRPr="00DF242F">
                <w:rPr>
                  <w:rStyle w:val="Hyperlink"/>
                </w:rPr>
                <w:t>two Beneficiary Identification and Records Locator Subsystem (BIRLS) records and one corporate record</w:t>
              </w:r>
            </w:hyperlink>
            <w:r w:rsidR="00561046" w:rsidRPr="00DF242F">
              <w:t>, or</w:t>
            </w:r>
          </w:p>
          <w:p w14:paraId="545E9492" w14:textId="5409D69F" w:rsidR="00561046" w:rsidRPr="00DF242F" w:rsidRDefault="00C50D63" w:rsidP="00C62FDD">
            <w:pPr>
              <w:pStyle w:val="BulletText1"/>
            </w:pPr>
            <w:hyperlink w:anchor="_c.__One" w:history="1">
              <w:r w:rsidR="00561046" w:rsidRPr="00DF242F">
                <w:rPr>
                  <w:rStyle w:val="Hyperlink"/>
                </w:rPr>
                <w:t>one BIRLS record and two corporate records</w:t>
              </w:r>
            </w:hyperlink>
            <w:r w:rsidR="00561046" w:rsidRPr="00DF242F">
              <w:t>, and</w:t>
            </w:r>
          </w:p>
          <w:p w14:paraId="545E9493" w14:textId="5B88CA20" w:rsidR="00561046" w:rsidRPr="00DF242F" w:rsidRDefault="00C50D63" w:rsidP="00C62FDD">
            <w:pPr>
              <w:pStyle w:val="BulletText1"/>
            </w:pPr>
            <w:hyperlink w:anchor="_d.__Case" w:history="1">
              <w:r w:rsidR="00561046" w:rsidRPr="00DF242F">
                <w:rPr>
                  <w:rStyle w:val="Hyperlink"/>
                </w:rPr>
                <w:t>when the case (DUPC) is completed</w:t>
              </w:r>
            </w:hyperlink>
            <w:r w:rsidR="00561046" w:rsidRPr="00DF242F">
              <w:t>.</w:t>
            </w:r>
          </w:p>
        </w:tc>
      </w:tr>
    </w:tbl>
    <w:p w14:paraId="545E9495" w14:textId="77777777" w:rsidR="00561046" w:rsidRPr="00DF242F" w:rsidRDefault="00561046" w:rsidP="00561046">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561046" w:rsidRPr="00DF242F" w14:paraId="545E9498" w14:textId="77777777" w:rsidTr="00D54AC6">
        <w:trPr>
          <w:cantSplit/>
        </w:trPr>
        <w:tc>
          <w:tcPr>
            <w:tcW w:w="1728" w:type="dxa"/>
          </w:tcPr>
          <w:p w14:paraId="545E9496" w14:textId="77777777" w:rsidR="00561046" w:rsidRPr="00DF242F" w:rsidRDefault="00561046" w:rsidP="00DA2936">
            <w:pPr>
              <w:pStyle w:val="Heading5"/>
            </w:pPr>
            <w:r w:rsidRPr="00DF242F">
              <w:t>Change Date</w:t>
            </w:r>
          </w:p>
        </w:tc>
        <w:tc>
          <w:tcPr>
            <w:tcW w:w="7740" w:type="dxa"/>
          </w:tcPr>
          <w:p w14:paraId="545E9497" w14:textId="55AA4109" w:rsidR="00561046" w:rsidRPr="00DF242F" w:rsidRDefault="00947C45" w:rsidP="00EB6254">
            <w:pPr>
              <w:pStyle w:val="BlockText"/>
            </w:pPr>
            <w:r w:rsidRPr="00DF242F">
              <w:t>March 7, 2015</w:t>
            </w:r>
          </w:p>
        </w:tc>
      </w:tr>
    </w:tbl>
    <w:p w14:paraId="545E9499"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9E" w14:textId="77777777" w:rsidTr="00D54AC6">
        <w:trPr>
          <w:cantSplit/>
        </w:trPr>
        <w:tc>
          <w:tcPr>
            <w:tcW w:w="1728" w:type="dxa"/>
          </w:tcPr>
          <w:p w14:paraId="545E949A" w14:textId="77777777" w:rsidR="00561046" w:rsidRPr="00DF242F" w:rsidRDefault="00561046" w:rsidP="002F7224">
            <w:pPr>
              <w:pStyle w:val="Heading5"/>
            </w:pPr>
            <w:bookmarkStart w:id="17" w:name="_a.__Reason"/>
            <w:bookmarkEnd w:id="17"/>
            <w:r w:rsidRPr="00DF242F">
              <w:t>a.  Reason to Consolidate Cases</w:t>
            </w:r>
          </w:p>
        </w:tc>
        <w:tc>
          <w:tcPr>
            <w:tcW w:w="7740" w:type="dxa"/>
          </w:tcPr>
          <w:p w14:paraId="545E949B" w14:textId="3527BE01" w:rsidR="00561046" w:rsidRPr="00DF242F" w:rsidRDefault="00561046" w:rsidP="00AF29CF">
            <w:pPr>
              <w:pStyle w:val="BlockText"/>
            </w:pPr>
            <w:r w:rsidRPr="00DF242F">
              <w:t xml:space="preserve">It may be necessary to consolidate claims in cases </w:t>
            </w:r>
            <w:r w:rsidR="008E1B09" w:rsidRPr="00DF242F">
              <w:t>where</w:t>
            </w:r>
            <w:r w:rsidRPr="00DF242F">
              <w:t xml:space="preserve"> two claim numbers were erroneously established for the same person.  </w:t>
            </w:r>
          </w:p>
          <w:p w14:paraId="545E949C" w14:textId="77777777" w:rsidR="00561046" w:rsidRPr="00DF242F" w:rsidRDefault="00561046" w:rsidP="00AF29CF">
            <w:pPr>
              <w:pStyle w:val="BlockText"/>
            </w:pPr>
          </w:p>
          <w:p w14:paraId="545E949D" w14:textId="3CF31324" w:rsidR="00561046" w:rsidRPr="00DF242F" w:rsidRDefault="00561046" w:rsidP="009E2317">
            <w:pPr>
              <w:pStyle w:val="BlockText"/>
              <w:rPr>
                <w:b/>
              </w:rPr>
            </w:pPr>
            <w:r w:rsidRPr="00DF242F">
              <w:t>This happens most frequently when a V</w:t>
            </w:r>
            <w:r w:rsidR="009E2317" w:rsidRPr="00DF242F">
              <w:t>eteran has two files:</w:t>
            </w:r>
            <w:r w:rsidRPr="00DF242F">
              <w:t xml:space="preserve"> one </w:t>
            </w:r>
            <w:r w:rsidR="009E2317" w:rsidRPr="00DF242F">
              <w:t>with</w:t>
            </w:r>
            <w:r w:rsidRPr="00DF242F">
              <w:t xml:space="preserve"> a claims folder number and one </w:t>
            </w:r>
            <w:r w:rsidR="009E2317" w:rsidRPr="00DF242F">
              <w:t>with</w:t>
            </w:r>
            <w:r w:rsidRPr="00DF242F">
              <w:t xml:space="preserve"> an SSN.</w:t>
            </w:r>
          </w:p>
        </w:tc>
      </w:tr>
    </w:tbl>
    <w:p w14:paraId="545E949F"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AA" w14:textId="77777777" w:rsidTr="00D54AC6">
        <w:trPr>
          <w:cantSplit/>
        </w:trPr>
        <w:tc>
          <w:tcPr>
            <w:tcW w:w="1728" w:type="dxa"/>
          </w:tcPr>
          <w:p w14:paraId="545E94A0" w14:textId="77777777" w:rsidR="00561046" w:rsidRPr="00DF242F" w:rsidRDefault="00561046" w:rsidP="002F7224">
            <w:pPr>
              <w:pStyle w:val="Heading5"/>
            </w:pPr>
            <w:bookmarkStart w:id="18" w:name="_b.__Two"/>
            <w:bookmarkEnd w:id="18"/>
            <w:r w:rsidRPr="00DF242F">
              <w:t>b.  Two BIRLS Records and One Corporate Record</w:t>
            </w:r>
          </w:p>
        </w:tc>
        <w:tc>
          <w:tcPr>
            <w:tcW w:w="7740" w:type="dxa"/>
          </w:tcPr>
          <w:p w14:paraId="545E94A1" w14:textId="77777777" w:rsidR="00561046" w:rsidRPr="00DF242F" w:rsidRDefault="00561046" w:rsidP="00AF29CF">
            <w:pPr>
              <w:pStyle w:val="BlockText"/>
            </w:pPr>
            <w:r w:rsidRPr="00DF242F">
              <w:t xml:space="preserve">If it is necessary to consolidate two files and there are two BIRLS records, </w:t>
            </w:r>
          </w:p>
          <w:p w14:paraId="545E94A2" w14:textId="77777777" w:rsidR="00561046" w:rsidRPr="00DF242F" w:rsidRDefault="00561046" w:rsidP="00AF29CF">
            <w:pPr>
              <w:pStyle w:val="BlockText"/>
            </w:pPr>
          </w:p>
          <w:p w14:paraId="545E94A3" w14:textId="6B1E810F" w:rsidR="00561046" w:rsidRPr="00DF242F" w:rsidRDefault="00B206B9" w:rsidP="00B206B9">
            <w:pPr>
              <w:pStyle w:val="BulletText1"/>
            </w:pPr>
            <w:r w:rsidRPr="00DF242F">
              <w:t>process a</w:t>
            </w:r>
            <w:r w:rsidR="00561046" w:rsidRPr="00DF242F">
              <w:t xml:space="preserve"> </w:t>
            </w:r>
            <w:r w:rsidR="00561046" w:rsidRPr="00DF242F">
              <w:rPr>
                <w:rFonts w:ascii="Times" w:hAnsi="Times"/>
                <w:caps/>
              </w:rPr>
              <w:t>dupc</w:t>
            </w:r>
            <w:r w:rsidR="00561046" w:rsidRPr="00DF242F">
              <w:t xml:space="preserve"> </w:t>
            </w:r>
            <w:r w:rsidRPr="00DF242F">
              <w:t>transaction</w:t>
            </w:r>
            <w:r w:rsidR="00561046" w:rsidRPr="00DF242F">
              <w:t>, and</w:t>
            </w:r>
          </w:p>
          <w:p w14:paraId="545E94A4" w14:textId="4AF0DE71" w:rsidR="00561046" w:rsidRPr="00DF242F" w:rsidRDefault="00561046" w:rsidP="00B206B9">
            <w:pPr>
              <w:pStyle w:val="BulletText1"/>
            </w:pPr>
            <w:r w:rsidRPr="00DF242F">
              <w:t>retain the cor</w:t>
            </w:r>
            <w:r w:rsidR="001800D6" w:rsidRPr="00DF242F">
              <w:t xml:space="preserve">porate record associated with </w:t>
            </w:r>
            <w:r w:rsidR="001C4E3B" w:rsidRPr="00DF242F">
              <w:t>that transaction.</w:t>
            </w:r>
          </w:p>
          <w:p w14:paraId="545E94A6" w14:textId="77777777" w:rsidR="00561046" w:rsidRPr="00DF242F" w:rsidRDefault="00561046" w:rsidP="00AF29CF">
            <w:pPr>
              <w:pStyle w:val="NoteText"/>
            </w:pPr>
          </w:p>
          <w:p w14:paraId="6F73714F" w14:textId="77777777" w:rsidR="00E65AB4" w:rsidRPr="00DF242F" w:rsidRDefault="00561046" w:rsidP="00AF29CF">
            <w:pPr>
              <w:pStyle w:val="NoteText"/>
            </w:pPr>
            <w:r w:rsidRPr="00DF242F">
              <w:rPr>
                <w:b/>
                <w:i/>
              </w:rPr>
              <w:t>Reference</w:t>
            </w:r>
            <w:r w:rsidRPr="00DF242F">
              <w:rPr>
                <w:b/>
              </w:rPr>
              <w:t>:</w:t>
            </w:r>
            <w:r w:rsidRPr="00DF242F">
              <w:t xml:space="preserve">  For more information on file number reconciliation and cancellation, see </w:t>
            </w:r>
          </w:p>
          <w:p w14:paraId="49315D39" w14:textId="6D6365BA" w:rsidR="00561046" w:rsidRPr="00DF242F" w:rsidRDefault="00C50D63" w:rsidP="00E65AB4">
            <w:pPr>
              <w:pStyle w:val="BulletText1"/>
            </w:pPr>
            <w:hyperlink r:id="rId19" w:history="1">
              <w:r w:rsidR="000D064C" w:rsidRPr="00DF242F">
                <w:rPr>
                  <w:color w:val="0000FF"/>
                  <w:u w:val="single"/>
                </w:rPr>
                <w:t>M21-1</w:t>
              </w:r>
              <w:r w:rsidR="00561046" w:rsidRPr="00DF242F">
                <w:rPr>
                  <w:color w:val="0000FF"/>
                  <w:u w:val="single"/>
                </w:rPr>
                <w:t>, Part III, Subpart ii, 4.D.17</w:t>
              </w:r>
            </w:hyperlink>
            <w:r w:rsidR="00E65AB4" w:rsidRPr="00DF242F">
              <w:t>, and</w:t>
            </w:r>
          </w:p>
          <w:p w14:paraId="545E94A9" w14:textId="71575162" w:rsidR="00E65AB4" w:rsidRPr="00DF242F" w:rsidRDefault="00E62170" w:rsidP="00E65AB4">
            <w:pPr>
              <w:pStyle w:val="BulletText1"/>
            </w:pPr>
            <w:r w:rsidRPr="00DF242F">
              <w:t>h</w:t>
            </w:r>
            <w:r w:rsidR="00E65AB4" w:rsidRPr="00DF242F">
              <w:t>istorical M21-1, Part 2, Chapter 3, Subchapter 4.</w:t>
            </w:r>
          </w:p>
        </w:tc>
      </w:tr>
    </w:tbl>
    <w:p w14:paraId="545E94AD"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4B8" w14:textId="77777777" w:rsidTr="00D54AC6">
        <w:trPr>
          <w:cantSplit/>
        </w:trPr>
        <w:tc>
          <w:tcPr>
            <w:tcW w:w="1728" w:type="dxa"/>
          </w:tcPr>
          <w:p w14:paraId="545E94AE" w14:textId="77777777" w:rsidR="00561046" w:rsidRPr="00DF242F" w:rsidRDefault="00561046" w:rsidP="006C160B">
            <w:pPr>
              <w:pStyle w:val="Heading5"/>
            </w:pPr>
            <w:bookmarkStart w:id="19" w:name="_c.__One"/>
            <w:bookmarkEnd w:id="19"/>
            <w:r w:rsidRPr="00DF242F">
              <w:lastRenderedPageBreak/>
              <w:t>c.  One BIRLS Record and Two Corporate Records</w:t>
            </w:r>
          </w:p>
        </w:tc>
        <w:tc>
          <w:tcPr>
            <w:tcW w:w="7740" w:type="dxa"/>
          </w:tcPr>
          <w:p w14:paraId="545E94AF" w14:textId="6F992EE9" w:rsidR="00561046" w:rsidRPr="00DF242F" w:rsidRDefault="00561046" w:rsidP="00DA2936">
            <w:pPr>
              <w:pStyle w:val="BlockText"/>
            </w:pPr>
            <w:r w:rsidRPr="00DF242F">
              <w:t xml:space="preserve">The </w:t>
            </w:r>
            <w:r w:rsidRPr="00DF242F">
              <w:rPr>
                <w:rFonts w:ascii="Times" w:hAnsi="Times"/>
                <w:caps/>
              </w:rPr>
              <w:t>dupc</w:t>
            </w:r>
            <w:r w:rsidRPr="00DF242F">
              <w:t xml:space="preserve"> command will not work if there are two corporate records but only one BIRLS record.  DUPC only merges BIRLS data; therefore, it will cause any corporate record data under the </w:t>
            </w:r>
            <w:r w:rsidR="003645A9" w:rsidRPr="00DF242F">
              <w:t>cancelled record</w:t>
            </w:r>
            <w:r w:rsidRPr="00DF242F">
              <w:t xml:space="preserve"> to be lost. </w:t>
            </w:r>
          </w:p>
          <w:p w14:paraId="545E94B0" w14:textId="77777777" w:rsidR="00561046" w:rsidRPr="00DF242F" w:rsidRDefault="00561046" w:rsidP="00DA2936">
            <w:pPr>
              <w:pStyle w:val="BlockText"/>
            </w:pPr>
          </w:p>
          <w:p w14:paraId="545E94B1" w14:textId="77777777" w:rsidR="00561046" w:rsidRPr="00DF242F" w:rsidRDefault="00561046" w:rsidP="00DA2936">
            <w:pPr>
              <w:pStyle w:val="BlockText"/>
            </w:pPr>
            <w:r w:rsidRPr="00DF242F">
              <w:t>If you have two corporate records but only one BIRLS record</w:t>
            </w:r>
          </w:p>
          <w:p w14:paraId="545E94B2" w14:textId="77777777" w:rsidR="00561046" w:rsidRPr="00DF242F" w:rsidRDefault="00561046" w:rsidP="00DA2936">
            <w:pPr>
              <w:pStyle w:val="BlockText"/>
            </w:pPr>
          </w:p>
          <w:p w14:paraId="545E94B3" w14:textId="5288D1AB" w:rsidR="00561046" w:rsidRPr="00DF242F" w:rsidRDefault="007D6FCF" w:rsidP="00DA2936">
            <w:pPr>
              <w:pStyle w:val="BulletText1"/>
            </w:pPr>
            <w:r w:rsidRPr="00DF242F">
              <w:t>terminate</w:t>
            </w:r>
            <w:r w:rsidR="00561046" w:rsidRPr="00DF242F">
              <w:t xml:space="preserve"> the award under the erroneous </w:t>
            </w:r>
            <w:r w:rsidR="001147A9" w:rsidRPr="00DF242F">
              <w:t xml:space="preserve">file </w:t>
            </w:r>
            <w:r w:rsidR="00561046" w:rsidRPr="00DF242F">
              <w:t xml:space="preserve">number, </w:t>
            </w:r>
          </w:p>
          <w:p w14:paraId="545E94B4" w14:textId="40F5CD9B" w:rsidR="00561046" w:rsidRPr="00DF242F" w:rsidRDefault="00561046" w:rsidP="00DA2936">
            <w:pPr>
              <w:pStyle w:val="BulletText1"/>
            </w:pPr>
            <w:r w:rsidRPr="00DF242F">
              <w:t xml:space="preserve">ensure that any overpayment under the </w:t>
            </w:r>
            <w:r w:rsidR="007D6FCF" w:rsidRPr="00DF242F">
              <w:t>cancelled record</w:t>
            </w:r>
            <w:r w:rsidRPr="00DF242F">
              <w:t xml:space="preserve"> is reestab</w:t>
            </w:r>
            <w:r w:rsidR="007D6FCF" w:rsidRPr="00DF242F">
              <w:t>lished under the retained record</w:t>
            </w:r>
            <w:r w:rsidRPr="00DF242F">
              <w:t>, and</w:t>
            </w:r>
          </w:p>
          <w:p w14:paraId="545E94B5" w14:textId="0E8107C1" w:rsidR="00561046" w:rsidRPr="00DF242F" w:rsidRDefault="00561046" w:rsidP="00DA2936">
            <w:pPr>
              <w:pStyle w:val="BulletText1"/>
            </w:pPr>
            <w:r w:rsidRPr="00DF242F">
              <w:t>have the finance activity process 08E and 04E transactions to transfer any accounts receivable (A/R)</w:t>
            </w:r>
            <w:r w:rsidRPr="00DF242F">
              <w:rPr>
                <w:b/>
              </w:rPr>
              <w:t xml:space="preserve"> </w:t>
            </w:r>
            <w:r w:rsidRPr="00DF242F">
              <w:t xml:space="preserve">from the </w:t>
            </w:r>
            <w:r w:rsidR="00DD33BB" w:rsidRPr="00DF242F">
              <w:t>cancelled record</w:t>
            </w:r>
            <w:r w:rsidRPr="00DF242F">
              <w:t xml:space="preserve"> to the retained </w:t>
            </w:r>
            <w:r w:rsidR="00DD33BB" w:rsidRPr="00DF242F">
              <w:t>record</w:t>
            </w:r>
            <w:r w:rsidRPr="00DF242F">
              <w:t>.</w:t>
            </w:r>
          </w:p>
          <w:p w14:paraId="545E94B6" w14:textId="77777777" w:rsidR="00561046" w:rsidRPr="00DF242F" w:rsidRDefault="00561046" w:rsidP="00DA2936">
            <w:pPr>
              <w:pStyle w:val="BlockText"/>
            </w:pPr>
          </w:p>
          <w:p w14:paraId="545E94B7" w14:textId="77777777" w:rsidR="00561046" w:rsidRPr="00DF242F" w:rsidRDefault="00561046" w:rsidP="00DA2936">
            <w:pPr>
              <w:pStyle w:val="BlockText"/>
            </w:pPr>
            <w:r w:rsidRPr="00DF242F">
              <w:t>Use the table below to determine which corporate record to retain:</w:t>
            </w:r>
          </w:p>
        </w:tc>
      </w:tr>
    </w:tbl>
    <w:p w14:paraId="545E94B9" w14:textId="77777777" w:rsidR="00561046" w:rsidRPr="00DF242F" w:rsidRDefault="00561046" w:rsidP="00561046"/>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561046" w:rsidRPr="00DF242F" w14:paraId="545E94BC" w14:textId="77777777" w:rsidTr="00D54AC6">
        <w:tc>
          <w:tcPr>
            <w:tcW w:w="2500" w:type="pct"/>
            <w:shd w:val="clear" w:color="auto" w:fill="auto"/>
          </w:tcPr>
          <w:p w14:paraId="545E94BA" w14:textId="77777777" w:rsidR="00561046" w:rsidRPr="00DF242F" w:rsidRDefault="00561046" w:rsidP="00C33B2C">
            <w:pPr>
              <w:pStyle w:val="TableHeaderText"/>
              <w:jc w:val="left"/>
            </w:pPr>
            <w:r w:rsidRPr="00DF242F">
              <w:t>If ...</w:t>
            </w:r>
          </w:p>
        </w:tc>
        <w:tc>
          <w:tcPr>
            <w:tcW w:w="2500" w:type="pct"/>
            <w:shd w:val="clear" w:color="auto" w:fill="auto"/>
          </w:tcPr>
          <w:p w14:paraId="545E94BB" w14:textId="77777777" w:rsidR="00561046" w:rsidRPr="00DF242F" w:rsidRDefault="00561046" w:rsidP="00C33B2C">
            <w:pPr>
              <w:pStyle w:val="TableHeaderText"/>
              <w:jc w:val="left"/>
            </w:pPr>
            <w:r w:rsidRPr="00DF242F">
              <w:t>Then ...</w:t>
            </w:r>
          </w:p>
        </w:tc>
      </w:tr>
      <w:tr w:rsidR="00561046" w:rsidRPr="00DF242F" w14:paraId="545E94BF" w14:textId="77777777" w:rsidTr="00D54AC6">
        <w:tc>
          <w:tcPr>
            <w:tcW w:w="2500" w:type="pct"/>
            <w:shd w:val="clear" w:color="auto" w:fill="auto"/>
          </w:tcPr>
          <w:p w14:paraId="545E94BD" w14:textId="77777777" w:rsidR="00561046" w:rsidRPr="00DF242F" w:rsidRDefault="00561046" w:rsidP="003D253F">
            <w:pPr>
              <w:pStyle w:val="TableText"/>
            </w:pPr>
            <w:r w:rsidRPr="00DF242F">
              <w:t>one record has payment history</w:t>
            </w:r>
          </w:p>
        </w:tc>
        <w:tc>
          <w:tcPr>
            <w:tcW w:w="2500" w:type="pct"/>
            <w:shd w:val="clear" w:color="auto" w:fill="auto"/>
          </w:tcPr>
          <w:p w14:paraId="545E94BE" w14:textId="77777777" w:rsidR="00561046" w:rsidRPr="00DF242F" w:rsidRDefault="00561046" w:rsidP="003D253F">
            <w:pPr>
              <w:pStyle w:val="TableText"/>
            </w:pPr>
            <w:r w:rsidRPr="00DF242F">
              <w:t>retain that record.</w:t>
            </w:r>
          </w:p>
        </w:tc>
      </w:tr>
      <w:tr w:rsidR="00561046" w:rsidRPr="00DF242F" w14:paraId="545E94C3" w14:textId="77777777" w:rsidTr="00D54AC6">
        <w:tc>
          <w:tcPr>
            <w:tcW w:w="2500" w:type="pct"/>
            <w:shd w:val="clear" w:color="auto" w:fill="auto"/>
          </w:tcPr>
          <w:p w14:paraId="545E94C0" w14:textId="77777777" w:rsidR="00561046" w:rsidRPr="00DF242F" w:rsidRDefault="00561046" w:rsidP="00C06A5B">
            <w:pPr>
              <w:pStyle w:val="BulletText1"/>
            </w:pPr>
            <w:r w:rsidRPr="00DF242F">
              <w:t xml:space="preserve">no payment history exists, </w:t>
            </w:r>
            <w:r w:rsidRPr="00DF242F">
              <w:rPr>
                <w:b/>
              </w:rPr>
              <w:t>and</w:t>
            </w:r>
          </w:p>
          <w:p w14:paraId="545E94C1" w14:textId="77777777" w:rsidR="00561046" w:rsidRPr="00DF242F" w:rsidRDefault="00561046" w:rsidP="00C06A5B">
            <w:pPr>
              <w:pStyle w:val="BulletText1"/>
            </w:pPr>
            <w:r w:rsidRPr="00DF242F">
              <w:t>one record has corporate rating history</w:t>
            </w:r>
          </w:p>
        </w:tc>
        <w:tc>
          <w:tcPr>
            <w:tcW w:w="2500" w:type="pct"/>
            <w:shd w:val="clear" w:color="auto" w:fill="auto"/>
          </w:tcPr>
          <w:p w14:paraId="545E94C2" w14:textId="77777777" w:rsidR="00561046" w:rsidRPr="00DF242F" w:rsidRDefault="00561046" w:rsidP="003D253F">
            <w:pPr>
              <w:pStyle w:val="TableText"/>
            </w:pPr>
            <w:r w:rsidRPr="00DF242F">
              <w:t>retain the record containing rating history.</w:t>
            </w:r>
          </w:p>
        </w:tc>
      </w:tr>
      <w:tr w:rsidR="00561046" w:rsidRPr="00DF242F" w14:paraId="545E94C8" w14:textId="77777777" w:rsidTr="00D54AC6">
        <w:tc>
          <w:tcPr>
            <w:tcW w:w="2500" w:type="pct"/>
            <w:shd w:val="clear" w:color="auto" w:fill="auto"/>
          </w:tcPr>
          <w:p w14:paraId="545E94C4" w14:textId="77777777" w:rsidR="00561046" w:rsidRPr="00DF242F" w:rsidRDefault="00561046" w:rsidP="00C06A5B">
            <w:pPr>
              <w:pStyle w:val="BulletText1"/>
            </w:pPr>
            <w:r w:rsidRPr="00DF242F">
              <w:t xml:space="preserve">no payment history, </w:t>
            </w:r>
            <w:r w:rsidRPr="00DF242F">
              <w:rPr>
                <w:b/>
              </w:rPr>
              <w:t>or</w:t>
            </w:r>
          </w:p>
          <w:p w14:paraId="545E94C5" w14:textId="77777777" w:rsidR="00561046" w:rsidRPr="00DF242F" w:rsidRDefault="00561046" w:rsidP="00C06A5B">
            <w:pPr>
              <w:pStyle w:val="BulletText1"/>
            </w:pPr>
            <w:r w:rsidRPr="00DF242F">
              <w:t xml:space="preserve">rating history exists, </w:t>
            </w:r>
            <w:r w:rsidRPr="00DF242F">
              <w:rPr>
                <w:b/>
              </w:rPr>
              <w:t>but</w:t>
            </w:r>
          </w:p>
          <w:p w14:paraId="545E94C6" w14:textId="77777777" w:rsidR="00561046" w:rsidRPr="00DF242F" w:rsidRDefault="00561046" w:rsidP="00C06A5B">
            <w:pPr>
              <w:pStyle w:val="BulletText1"/>
            </w:pPr>
            <w:r w:rsidRPr="00DF242F">
              <w:t>claims history and correspondence letters for one of the records exist</w:t>
            </w:r>
          </w:p>
        </w:tc>
        <w:tc>
          <w:tcPr>
            <w:tcW w:w="2500" w:type="pct"/>
            <w:shd w:val="clear" w:color="auto" w:fill="auto"/>
          </w:tcPr>
          <w:p w14:paraId="545E94C7" w14:textId="77777777" w:rsidR="00561046" w:rsidRPr="00DF242F" w:rsidRDefault="00561046" w:rsidP="001F5329">
            <w:pPr>
              <w:pStyle w:val="TableText"/>
            </w:pPr>
            <w:r w:rsidRPr="00DF242F">
              <w:t>retain the record containing claims history and correspondence letters.</w:t>
            </w:r>
          </w:p>
        </w:tc>
      </w:tr>
      <w:tr w:rsidR="00561046" w:rsidRPr="00DF242F" w14:paraId="545E94D0" w14:textId="77777777" w:rsidTr="00D54AC6">
        <w:tc>
          <w:tcPr>
            <w:tcW w:w="2500" w:type="pct"/>
            <w:shd w:val="clear" w:color="auto" w:fill="auto"/>
          </w:tcPr>
          <w:p w14:paraId="545E94C9" w14:textId="77777777" w:rsidR="00561046" w:rsidRPr="00DF242F" w:rsidRDefault="00561046" w:rsidP="003D253F">
            <w:pPr>
              <w:pStyle w:val="TableText"/>
            </w:pPr>
            <w:r w:rsidRPr="00DF242F">
              <w:t>more than one record has payment history</w:t>
            </w:r>
          </w:p>
        </w:tc>
        <w:tc>
          <w:tcPr>
            <w:tcW w:w="2500" w:type="pct"/>
            <w:shd w:val="clear" w:color="auto" w:fill="auto"/>
          </w:tcPr>
          <w:p w14:paraId="545E94CA" w14:textId="77777777" w:rsidR="00561046" w:rsidRPr="00DF242F" w:rsidRDefault="00561046" w:rsidP="00C06A5B">
            <w:pPr>
              <w:pStyle w:val="BulletText1"/>
            </w:pPr>
            <w:r w:rsidRPr="00DF242F">
              <w:t>determine which of those records is to be retained on</w:t>
            </w:r>
          </w:p>
          <w:p w14:paraId="545E94CB" w14:textId="77777777" w:rsidR="00561046" w:rsidRPr="00DF242F" w:rsidRDefault="00561046" w:rsidP="00C06A5B">
            <w:pPr>
              <w:pStyle w:val="BulletText2"/>
            </w:pPr>
            <w:r w:rsidRPr="00DF242F">
              <w:t>evaluation of payment history,</w:t>
            </w:r>
          </w:p>
          <w:p w14:paraId="545E94CC" w14:textId="77777777" w:rsidR="00561046" w:rsidRPr="00DF242F" w:rsidRDefault="00561046" w:rsidP="00C06A5B">
            <w:pPr>
              <w:pStyle w:val="BulletText2"/>
            </w:pPr>
            <w:r w:rsidRPr="00DF242F">
              <w:t>rating history, and</w:t>
            </w:r>
          </w:p>
          <w:p w14:paraId="545E94CD" w14:textId="77777777" w:rsidR="00561046" w:rsidRPr="00DF242F" w:rsidRDefault="00561046" w:rsidP="00C06A5B">
            <w:pPr>
              <w:pStyle w:val="BulletText2"/>
            </w:pPr>
            <w:r w:rsidRPr="00DF242F">
              <w:t>claim/letter history;</w:t>
            </w:r>
          </w:p>
          <w:p w14:paraId="545E94CE" w14:textId="62A99E86" w:rsidR="00561046" w:rsidRPr="00DF242F" w:rsidRDefault="0059389C" w:rsidP="00C06A5B">
            <w:pPr>
              <w:pStyle w:val="BulletText1"/>
            </w:pPr>
            <w:r w:rsidRPr="00DF242F">
              <w:t xml:space="preserve">capture and </w:t>
            </w:r>
            <w:r w:rsidR="00561046" w:rsidRPr="00DF242F">
              <w:t>upload the entire award line/payment history of the record that will NOT be retained into</w:t>
            </w:r>
            <w:r w:rsidR="0015542A" w:rsidRPr="00DF242F">
              <w:t xml:space="preserve"> the</w:t>
            </w:r>
            <w:r w:rsidR="00D1260C" w:rsidRPr="00DF242F">
              <w:t xml:space="preserve"> electronic folder</w:t>
            </w:r>
            <w:r w:rsidR="00561046" w:rsidRPr="00DF242F">
              <w:t xml:space="preserve"> </w:t>
            </w:r>
            <w:r w:rsidR="00D1260C" w:rsidRPr="00DF242F">
              <w:t>(</w:t>
            </w:r>
            <w:r w:rsidR="000373FB" w:rsidRPr="00DF242F">
              <w:t>eFolder</w:t>
            </w:r>
            <w:r w:rsidR="00D1260C" w:rsidRPr="00DF242F">
              <w:t>)</w:t>
            </w:r>
            <w:r w:rsidR="0015542A" w:rsidRPr="00DF242F">
              <w:t xml:space="preserve"> being retained</w:t>
            </w:r>
            <w:r w:rsidR="00561046" w:rsidRPr="00DF242F">
              <w:t xml:space="preserve">; </w:t>
            </w:r>
            <w:r w:rsidR="00561046" w:rsidRPr="00DF242F">
              <w:rPr>
                <w:b/>
              </w:rPr>
              <w:t>and</w:t>
            </w:r>
          </w:p>
          <w:p w14:paraId="545E94CF" w14:textId="77000E02" w:rsidR="00561046" w:rsidRPr="00DF242F" w:rsidRDefault="0059389C" w:rsidP="00C06A5B">
            <w:pPr>
              <w:pStyle w:val="BulletText1"/>
            </w:pPr>
            <w:r w:rsidRPr="00DF242F">
              <w:t xml:space="preserve">capture and </w:t>
            </w:r>
            <w:r w:rsidR="00561046" w:rsidRPr="00DF242F">
              <w:t>upload screenshots of all SHARE corporate inquiry screens, including the Pre-Conversion master record screens</w:t>
            </w:r>
            <w:r w:rsidRPr="00DF242F">
              <w:t xml:space="preserve"> into the eFolder being retained</w:t>
            </w:r>
            <w:r w:rsidR="00561046" w:rsidRPr="00DF242F">
              <w:t>.</w:t>
            </w:r>
          </w:p>
        </w:tc>
      </w:tr>
    </w:tbl>
    <w:p w14:paraId="545E94D1" w14:textId="77777777" w:rsidR="00561046" w:rsidRPr="00DF242F" w:rsidRDefault="00561046" w:rsidP="00561046"/>
    <w:p w14:paraId="59879232" w14:textId="77777777" w:rsidR="006B54B1" w:rsidRPr="00DF242F" w:rsidRDefault="006B54B1" w:rsidP="00561046"/>
    <w:p w14:paraId="5906F953" w14:textId="11B287BD" w:rsidR="006B54B1" w:rsidRPr="00DF242F" w:rsidRDefault="006B54B1" w:rsidP="006B54B1">
      <w:pPr>
        <w:spacing w:after="200" w:line="276" w:lineRule="auto"/>
      </w:pPr>
      <w:r w:rsidRPr="00DF242F">
        <w:br w:type="page"/>
      </w:r>
      <w:r w:rsidRPr="00DF242F">
        <w:rPr>
          <w:rFonts w:ascii="Arial" w:hAnsi="Arial"/>
          <w:b/>
          <w:sz w:val="32"/>
          <w:szCs w:val="20"/>
        </w:rPr>
        <w:lastRenderedPageBreak/>
        <w:fldChar w:fldCharType="begin"/>
      </w:r>
      <w:r w:rsidRPr="00DF242F">
        <w:rPr>
          <w:rFonts w:ascii="Arial" w:hAnsi="Arial"/>
          <w:b/>
          <w:sz w:val="32"/>
          <w:szCs w:val="20"/>
        </w:rPr>
        <w:instrText xml:space="preserve"> STYLEREF "Map Title" </w:instrText>
      </w:r>
      <w:r w:rsidRPr="00DF242F">
        <w:rPr>
          <w:rFonts w:ascii="Arial" w:hAnsi="Arial"/>
          <w:b/>
          <w:sz w:val="32"/>
          <w:szCs w:val="20"/>
        </w:rPr>
        <w:fldChar w:fldCharType="separate"/>
      </w:r>
      <w:r w:rsidRPr="00DF242F">
        <w:rPr>
          <w:rFonts w:ascii="Arial" w:hAnsi="Arial"/>
          <w:b/>
          <w:noProof/>
          <w:sz w:val="32"/>
          <w:szCs w:val="20"/>
        </w:rPr>
        <w:t>3.  Consolidation of Cases</w:t>
      </w:r>
      <w:r w:rsidRPr="00DF242F">
        <w:rPr>
          <w:rFonts w:ascii="Arial" w:hAnsi="Arial"/>
          <w:b/>
          <w:noProof/>
          <w:sz w:val="32"/>
          <w:szCs w:val="20"/>
        </w:rPr>
        <w:fldChar w:fldCharType="end"/>
      </w:r>
      <w:r w:rsidRPr="00DF242F">
        <w:rPr>
          <w:rFonts w:ascii="Arial" w:hAnsi="Arial"/>
          <w:b/>
          <w:sz w:val="32"/>
          <w:szCs w:val="20"/>
        </w:rPr>
        <w:t xml:space="preserve">, </w:t>
      </w:r>
      <w:r w:rsidRPr="00DF242F">
        <w:rPr>
          <w:rFonts w:ascii="Arial" w:hAnsi="Arial"/>
          <w:szCs w:val="20"/>
        </w:rPr>
        <w:t>Continued</w:t>
      </w:r>
    </w:p>
    <w:p w14:paraId="37876690" w14:textId="6076716F" w:rsidR="006B54B1" w:rsidRPr="00DF242F" w:rsidRDefault="006B54B1" w:rsidP="006B54B1">
      <w:pPr>
        <w:pStyle w:val="BlockLine"/>
      </w:pPr>
    </w:p>
    <w:tbl>
      <w:tblPr>
        <w:tblW w:w="7732" w:type="dxa"/>
        <w:tblInd w:w="1728" w:type="dxa"/>
        <w:tblLayout w:type="fixed"/>
        <w:tblLook w:val="0000" w:firstRow="0" w:lastRow="0" w:firstColumn="0" w:lastColumn="0" w:noHBand="0" w:noVBand="0"/>
      </w:tblPr>
      <w:tblGrid>
        <w:gridCol w:w="7732"/>
      </w:tblGrid>
      <w:tr w:rsidR="00561046" w:rsidRPr="00DF242F" w14:paraId="545E94D3" w14:textId="77777777" w:rsidTr="00D54AC6">
        <w:tc>
          <w:tcPr>
            <w:tcW w:w="5000" w:type="pct"/>
            <w:shd w:val="clear" w:color="auto" w:fill="auto"/>
          </w:tcPr>
          <w:p w14:paraId="65E07B7D" w14:textId="77777777" w:rsidR="00561046" w:rsidRPr="00DF242F" w:rsidRDefault="00561046" w:rsidP="004E7290">
            <w:pPr>
              <w:pStyle w:val="NoteText"/>
            </w:pPr>
            <w:r w:rsidRPr="00DF242F">
              <w:rPr>
                <w:b/>
                <w:i/>
              </w:rPr>
              <w:t>Note:</w:t>
            </w:r>
            <w:r w:rsidRPr="00DF242F">
              <w:t xml:space="preserve">  Payment</w:t>
            </w:r>
            <w:r w:rsidR="007374D3" w:rsidRPr="00DF242F">
              <w:t>s</w:t>
            </w:r>
            <w:r w:rsidRPr="00DF242F">
              <w:t xml:space="preserve"> under two different corporate records need to be audited by the local finance activity to determine if any periods of improper payment were made.</w:t>
            </w:r>
          </w:p>
          <w:p w14:paraId="6FEE599A" w14:textId="77777777" w:rsidR="001147A9" w:rsidRPr="00DF242F" w:rsidRDefault="001147A9" w:rsidP="004E7290">
            <w:pPr>
              <w:pStyle w:val="NoteText"/>
            </w:pPr>
          </w:p>
          <w:p w14:paraId="545E94D2" w14:textId="0ECC029F" w:rsidR="001147A9" w:rsidRPr="00DF242F" w:rsidRDefault="001147A9" w:rsidP="001147A9">
            <w:pPr>
              <w:pStyle w:val="NoteText"/>
            </w:pPr>
            <w:r w:rsidRPr="00DF242F">
              <w:rPr>
                <w:b/>
                <w:i/>
              </w:rPr>
              <w:t>Important:</w:t>
            </w:r>
            <w:r w:rsidRPr="00DF242F">
              <w:t xml:space="preserve"> If the record being retained has the wrong SSN as the file </w:t>
            </w:r>
            <w:r w:rsidR="00D1260C" w:rsidRPr="00DF242F">
              <w:t>number</w:t>
            </w:r>
            <w:r w:rsidRPr="00DF242F">
              <w:t>, then it must be corrected using the BUPD command.</w:t>
            </w:r>
            <w:r w:rsidR="00F56AA3" w:rsidRPr="00DF242F">
              <w:t xml:space="preserve"> See </w:t>
            </w:r>
            <w:hyperlink r:id="rId20" w:history="1">
              <w:r w:rsidR="000D064C" w:rsidRPr="00DF242F">
                <w:rPr>
                  <w:rStyle w:val="Hyperlink"/>
                </w:rPr>
                <w:t>M21-1</w:t>
              </w:r>
              <w:r w:rsidR="00F56AA3" w:rsidRPr="00DF242F">
                <w:rPr>
                  <w:rStyle w:val="Hyperlink"/>
                </w:rPr>
                <w:t>X.6.2.a</w:t>
              </w:r>
            </w:hyperlink>
            <w:r w:rsidR="00F56AA3" w:rsidRPr="00DF242F">
              <w:t>.</w:t>
            </w:r>
          </w:p>
        </w:tc>
      </w:tr>
    </w:tbl>
    <w:p w14:paraId="545E94D4"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INFOTYPE="PROCESS"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D7" w14:textId="77777777" w:rsidTr="00D54AC6">
        <w:trPr>
          <w:cantSplit/>
        </w:trPr>
        <w:tc>
          <w:tcPr>
            <w:tcW w:w="1728" w:type="dxa"/>
          </w:tcPr>
          <w:p w14:paraId="545E94D5" w14:textId="77777777" w:rsidR="00561046" w:rsidRPr="00DF242F" w:rsidRDefault="00561046" w:rsidP="00DD3EF3">
            <w:pPr>
              <w:pStyle w:val="Heading5"/>
            </w:pPr>
            <w:bookmarkStart w:id="20" w:name="_d.__Case"/>
            <w:bookmarkEnd w:id="20"/>
            <w:r w:rsidRPr="00DF242F">
              <w:t xml:space="preserve">d.  Case (DUPC) Completed </w:t>
            </w:r>
          </w:p>
        </w:tc>
        <w:tc>
          <w:tcPr>
            <w:tcW w:w="7740" w:type="dxa"/>
          </w:tcPr>
          <w:p w14:paraId="545E94D6" w14:textId="6D2439A4" w:rsidR="00561046" w:rsidRPr="00DF242F" w:rsidRDefault="00561046" w:rsidP="00DD3EF3">
            <w:pPr>
              <w:pStyle w:val="BlockText"/>
            </w:pPr>
            <w:r w:rsidRPr="00DF242F">
              <w:t>The table below provides instructions for Claims Assistants (CA) and Award Super Users or Station Trailboss</w:t>
            </w:r>
            <w:r w:rsidR="00D1260C" w:rsidRPr="00DF242F">
              <w:t>es</w:t>
            </w:r>
            <w:r w:rsidR="007920FD" w:rsidRPr="00DF242F">
              <w:t xml:space="preserve"> (I</w:t>
            </w:r>
            <w:r w:rsidR="00337764" w:rsidRPr="00DF242F">
              <w:t xml:space="preserve">ntake </w:t>
            </w:r>
            <w:r w:rsidR="007920FD" w:rsidRPr="00DF242F">
              <w:t>P</w:t>
            </w:r>
            <w:r w:rsidR="00337764" w:rsidRPr="00DF242F">
              <w:t xml:space="preserve">rocessing </w:t>
            </w:r>
            <w:r w:rsidR="007920FD" w:rsidRPr="00DF242F">
              <w:t>C</w:t>
            </w:r>
            <w:r w:rsidR="00337764" w:rsidRPr="00DF242F">
              <w:t>enter (IPC)</w:t>
            </w:r>
            <w:r w:rsidR="007920FD" w:rsidRPr="00DF242F">
              <w:t xml:space="preserve"> Coach)</w:t>
            </w:r>
            <w:r w:rsidRPr="00DF242F">
              <w:t xml:space="preserve"> to follow once DUPC is completed</w:t>
            </w:r>
          </w:p>
        </w:tc>
      </w:tr>
    </w:tbl>
    <w:p w14:paraId="545E94D8" w14:textId="77777777" w:rsidR="00561046" w:rsidRPr="00DF242F" w:rsidRDefault="00561046" w:rsidP="00561046"/>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6"/>
        <w:gridCol w:w="1980"/>
        <w:gridCol w:w="4774"/>
      </w:tblGrid>
      <w:tr w:rsidR="00561046" w:rsidRPr="00DF242F" w14:paraId="545E94DC" w14:textId="77777777" w:rsidTr="000D064C">
        <w:tc>
          <w:tcPr>
            <w:tcW w:w="846" w:type="dxa"/>
            <w:shd w:val="clear" w:color="auto" w:fill="auto"/>
          </w:tcPr>
          <w:p w14:paraId="545E94D9" w14:textId="21C4318E" w:rsidR="00561046" w:rsidRPr="00DF242F" w:rsidRDefault="00561046" w:rsidP="00DD3EF3">
            <w:pPr>
              <w:pStyle w:val="TableHeaderText"/>
            </w:pPr>
            <w:r w:rsidRPr="00DF242F">
              <w:t>St</w:t>
            </w:r>
            <w:r w:rsidR="00D1260C" w:rsidRPr="00DF242F">
              <w:t>ep</w:t>
            </w:r>
          </w:p>
        </w:tc>
        <w:tc>
          <w:tcPr>
            <w:tcW w:w="1980" w:type="dxa"/>
            <w:shd w:val="clear" w:color="auto" w:fill="auto"/>
          </w:tcPr>
          <w:p w14:paraId="545E94DA" w14:textId="77777777" w:rsidR="00561046" w:rsidRPr="00DF242F" w:rsidRDefault="00561046" w:rsidP="00DD3EF3">
            <w:pPr>
              <w:pStyle w:val="TableHeaderText"/>
            </w:pPr>
            <w:r w:rsidRPr="00DF242F">
              <w:t>Who</w:t>
            </w:r>
          </w:p>
        </w:tc>
        <w:tc>
          <w:tcPr>
            <w:tcW w:w="4774" w:type="dxa"/>
            <w:shd w:val="clear" w:color="auto" w:fill="auto"/>
          </w:tcPr>
          <w:p w14:paraId="545E94DB" w14:textId="77777777" w:rsidR="00561046" w:rsidRPr="00DF242F" w:rsidRDefault="00561046" w:rsidP="00DD3EF3">
            <w:pPr>
              <w:pStyle w:val="TableHeaderText"/>
            </w:pPr>
            <w:r w:rsidRPr="00DF242F">
              <w:t>Does What</w:t>
            </w:r>
          </w:p>
        </w:tc>
      </w:tr>
      <w:tr w:rsidR="00561046" w:rsidRPr="00DF242F" w14:paraId="545E94E1" w14:textId="77777777" w:rsidTr="000D064C">
        <w:tc>
          <w:tcPr>
            <w:tcW w:w="846" w:type="dxa"/>
            <w:shd w:val="clear" w:color="auto" w:fill="auto"/>
          </w:tcPr>
          <w:p w14:paraId="545E94DD" w14:textId="77777777" w:rsidR="00561046" w:rsidRPr="00DF242F" w:rsidRDefault="00561046" w:rsidP="001F5329">
            <w:pPr>
              <w:pStyle w:val="TableText"/>
              <w:jc w:val="center"/>
            </w:pPr>
            <w:r w:rsidRPr="00DF242F">
              <w:t>1</w:t>
            </w:r>
          </w:p>
        </w:tc>
        <w:tc>
          <w:tcPr>
            <w:tcW w:w="1980" w:type="dxa"/>
            <w:shd w:val="clear" w:color="auto" w:fill="auto"/>
          </w:tcPr>
          <w:p w14:paraId="545E94DE" w14:textId="6EA3FFAB" w:rsidR="00561046" w:rsidRPr="00DF242F" w:rsidRDefault="00561046" w:rsidP="000D064C">
            <w:pPr>
              <w:pStyle w:val="TableText"/>
              <w:jc w:val="center"/>
            </w:pPr>
            <w:r w:rsidRPr="00DF242F">
              <w:t>CA</w:t>
            </w:r>
          </w:p>
        </w:tc>
        <w:tc>
          <w:tcPr>
            <w:tcW w:w="4774" w:type="dxa"/>
            <w:shd w:val="clear" w:color="auto" w:fill="auto"/>
          </w:tcPr>
          <w:p w14:paraId="545E94DF" w14:textId="5EC44A9F" w:rsidR="00561046" w:rsidRPr="00DF242F" w:rsidRDefault="007920FD" w:rsidP="00DD3EF3">
            <w:pPr>
              <w:pStyle w:val="BulletText1"/>
            </w:pPr>
            <w:r w:rsidRPr="00DF242F">
              <w:t>identifies</w:t>
            </w:r>
            <w:r w:rsidR="00561046" w:rsidRPr="00DF242F">
              <w:t xml:space="preserve"> all pending claims associated with the incorrect corporate record, </w:t>
            </w:r>
            <w:r w:rsidR="00561046" w:rsidRPr="00DF242F">
              <w:rPr>
                <w:b/>
              </w:rPr>
              <w:t>and</w:t>
            </w:r>
          </w:p>
          <w:p w14:paraId="545E94E0" w14:textId="740776CB" w:rsidR="00561046" w:rsidRPr="00DF242F" w:rsidRDefault="007920FD" w:rsidP="00DD3EF3">
            <w:pPr>
              <w:pStyle w:val="BulletText1"/>
            </w:pPr>
            <w:r w:rsidRPr="00DF242F">
              <w:t>reports duplicate records</w:t>
            </w:r>
            <w:r w:rsidR="00561046" w:rsidRPr="00DF242F">
              <w:t xml:space="preserve"> to the Station Awards Superuser or Station Trailboss</w:t>
            </w:r>
            <w:r w:rsidRPr="00DF242F">
              <w:t xml:space="preserve"> (IPC Coach)</w:t>
            </w:r>
            <w:r w:rsidR="00561046" w:rsidRPr="00DF242F">
              <w:t>.</w:t>
            </w:r>
          </w:p>
        </w:tc>
      </w:tr>
      <w:tr w:rsidR="00561046" w:rsidRPr="00DF242F" w14:paraId="545E94E7" w14:textId="77777777" w:rsidTr="000D064C">
        <w:tc>
          <w:tcPr>
            <w:tcW w:w="846" w:type="dxa"/>
            <w:shd w:val="clear" w:color="auto" w:fill="auto"/>
          </w:tcPr>
          <w:p w14:paraId="545E94E2" w14:textId="77777777" w:rsidR="00561046" w:rsidRPr="00DF242F" w:rsidRDefault="00561046" w:rsidP="001F5329">
            <w:pPr>
              <w:pStyle w:val="TableText"/>
              <w:jc w:val="center"/>
            </w:pPr>
            <w:r w:rsidRPr="00DF242F">
              <w:t>2</w:t>
            </w:r>
          </w:p>
        </w:tc>
        <w:tc>
          <w:tcPr>
            <w:tcW w:w="1980" w:type="dxa"/>
            <w:shd w:val="clear" w:color="auto" w:fill="auto"/>
          </w:tcPr>
          <w:p w14:paraId="545E94E3" w14:textId="77777777" w:rsidR="00561046" w:rsidRPr="00DF242F" w:rsidRDefault="00561046" w:rsidP="001255B0">
            <w:pPr>
              <w:pStyle w:val="TableText"/>
            </w:pPr>
            <w:r w:rsidRPr="00DF242F">
              <w:t xml:space="preserve">Awards Superuser, </w:t>
            </w:r>
            <w:r w:rsidRPr="00DF242F">
              <w:rPr>
                <w:b/>
              </w:rPr>
              <w:t>and/or</w:t>
            </w:r>
          </w:p>
          <w:p w14:paraId="545E94E4" w14:textId="5D653245" w:rsidR="00561046" w:rsidRPr="00DF242F" w:rsidRDefault="00561046" w:rsidP="001255B0">
            <w:pPr>
              <w:pStyle w:val="TableText"/>
            </w:pPr>
            <w:r w:rsidRPr="00DF242F">
              <w:t>Station Trailboss</w:t>
            </w:r>
            <w:r w:rsidR="007920FD" w:rsidRPr="00DF242F">
              <w:t xml:space="preserve"> (IPC Coach)</w:t>
            </w:r>
          </w:p>
        </w:tc>
        <w:tc>
          <w:tcPr>
            <w:tcW w:w="4774" w:type="dxa"/>
            <w:shd w:val="clear" w:color="auto" w:fill="auto"/>
          </w:tcPr>
          <w:p w14:paraId="0E4669E5" w14:textId="77777777" w:rsidR="007920FD" w:rsidRPr="00DF242F" w:rsidRDefault="00DD3EF3" w:rsidP="00DD3EF3">
            <w:pPr>
              <w:pStyle w:val="BulletText1"/>
            </w:pPr>
            <w:r w:rsidRPr="00DF242F">
              <w:t>identifies the record to b</w:t>
            </w:r>
            <w:r w:rsidR="00561046" w:rsidRPr="00DF242F">
              <w:t xml:space="preserve">e retained, </w:t>
            </w:r>
          </w:p>
          <w:p w14:paraId="545E94E5" w14:textId="03859391" w:rsidR="00561046" w:rsidRPr="00DF242F" w:rsidRDefault="007920FD" w:rsidP="00DD3EF3">
            <w:pPr>
              <w:pStyle w:val="BulletText1"/>
            </w:pPr>
            <w:r w:rsidRPr="00DF242F">
              <w:t xml:space="preserve">uses the ‘Corporate Update’ command to immediately correct the duplicate record, </w:t>
            </w:r>
            <w:r w:rsidR="00561046" w:rsidRPr="00DF242F">
              <w:rPr>
                <w:b/>
              </w:rPr>
              <w:t>and</w:t>
            </w:r>
          </w:p>
          <w:p w14:paraId="545E94E6" w14:textId="5450FFB3" w:rsidR="0084509E" w:rsidRPr="00DF242F" w:rsidRDefault="00561046" w:rsidP="00D1260C">
            <w:pPr>
              <w:pStyle w:val="BulletText1"/>
            </w:pPr>
            <w:r w:rsidRPr="00DF242F">
              <w:t>submits a trouble ticket to request the corporate records to be consolidated.</w:t>
            </w:r>
          </w:p>
        </w:tc>
      </w:tr>
    </w:tbl>
    <w:p w14:paraId="3AF61AC1" w14:textId="77777777" w:rsidR="0084509E" w:rsidRPr="00DF242F" w:rsidRDefault="0084509E" w:rsidP="00561046">
      <w:pPr>
        <w:spacing w:after="240"/>
        <w:outlineLvl w:val="3"/>
      </w:pPr>
    </w:p>
    <w:tbl>
      <w:tblPr>
        <w:tblW w:w="7732" w:type="dxa"/>
        <w:tblInd w:w="1728" w:type="dxa"/>
        <w:tblLayout w:type="fixed"/>
        <w:tblLook w:val="0000" w:firstRow="0" w:lastRow="0" w:firstColumn="0" w:lastColumn="0" w:noHBand="0" w:noVBand="0"/>
      </w:tblPr>
      <w:tblGrid>
        <w:gridCol w:w="7732"/>
      </w:tblGrid>
      <w:tr w:rsidR="0084509E" w:rsidRPr="00DF242F" w14:paraId="701F9049" w14:textId="77777777" w:rsidTr="0084509E">
        <w:tc>
          <w:tcPr>
            <w:tcW w:w="5000" w:type="pct"/>
            <w:shd w:val="clear" w:color="auto" w:fill="auto"/>
          </w:tcPr>
          <w:p w14:paraId="4A8C3F52" w14:textId="77777777" w:rsidR="0015542A" w:rsidRPr="00DF242F" w:rsidRDefault="0084509E" w:rsidP="0084509E">
            <w:pPr>
              <w:pStyle w:val="NoteText"/>
            </w:pPr>
            <w:r w:rsidRPr="00DF242F">
              <w:rPr>
                <w:b/>
                <w:i/>
              </w:rPr>
              <w:t>Note:</w:t>
            </w:r>
            <w:r w:rsidRPr="00DF242F">
              <w:t xml:space="preserve"> If the IPC Coach is unable to fix the issue, trouble tickets are submitted to either Compensation Service or P&amp;F Service for correction.</w:t>
            </w:r>
            <w:r w:rsidR="0015542A" w:rsidRPr="00DF242F">
              <w:t xml:space="preserve"> </w:t>
            </w:r>
          </w:p>
          <w:p w14:paraId="43EDAB15" w14:textId="77777777" w:rsidR="0015542A" w:rsidRPr="00DF242F" w:rsidRDefault="0015542A" w:rsidP="0084509E">
            <w:pPr>
              <w:pStyle w:val="NoteText"/>
            </w:pPr>
          </w:p>
          <w:p w14:paraId="10CBA903" w14:textId="0A251D8F" w:rsidR="0015542A" w:rsidRPr="00DF242F" w:rsidRDefault="0015542A" w:rsidP="0084509E">
            <w:pPr>
              <w:pStyle w:val="NoteText"/>
            </w:pPr>
            <w:r w:rsidRPr="00DF242F">
              <w:rPr>
                <w:b/>
                <w:i/>
              </w:rPr>
              <w:t>Important:</w:t>
            </w:r>
            <w:r w:rsidRPr="00DF242F">
              <w:t xml:space="preserve"> </w:t>
            </w:r>
            <w:r w:rsidR="00664FDD" w:rsidRPr="00DF242F">
              <w:t xml:space="preserve">The </w:t>
            </w:r>
            <w:hyperlink r:id="rId21" w:history="1">
              <w:r w:rsidRPr="00DF242F">
                <w:rPr>
                  <w:rStyle w:val="Hyperlink"/>
                </w:rPr>
                <w:t>Corporate Trouble Ticket Request Form</w:t>
              </w:r>
            </w:hyperlink>
            <w:r w:rsidR="00BE4795" w:rsidRPr="00DF242F">
              <w:t xml:space="preserve"> can be accessed from the Compe</w:t>
            </w:r>
            <w:r w:rsidRPr="00DF242F">
              <w:t>n</w:t>
            </w:r>
            <w:r w:rsidR="00BE4795" w:rsidRPr="00DF242F">
              <w:t>s</w:t>
            </w:r>
            <w:r w:rsidRPr="00DF242F">
              <w:t>at</w:t>
            </w:r>
            <w:r w:rsidR="00FB3E77" w:rsidRPr="00DF242F">
              <w:t>ion Service Intranet webpage under the Business Management Home Page and VETSNET</w:t>
            </w:r>
            <w:r w:rsidR="00BA1AE3" w:rsidRPr="00DF242F">
              <w:t xml:space="preserve"> category.</w:t>
            </w:r>
          </w:p>
        </w:tc>
      </w:tr>
    </w:tbl>
    <w:p w14:paraId="0CB3F14D" w14:textId="472B8F3C" w:rsidR="00E27502" w:rsidRPr="00DF242F" w:rsidRDefault="00E27502">
      <w:pPr>
        <w:spacing w:after="200" w:line="276" w:lineRule="auto"/>
        <w:rPr>
          <w:szCs w:val="20"/>
        </w:rPr>
      </w:pPr>
    </w:p>
    <w:p w14:paraId="46DD4FBB" w14:textId="77777777" w:rsidR="00B7657B" w:rsidRPr="00DF242F" w:rsidRDefault="00B7657B">
      <w:pPr>
        <w:spacing w:after="200" w:line="276" w:lineRule="auto"/>
        <w:rPr>
          <w:rFonts w:ascii="Arial" w:hAnsi="Arial" w:cs="Arial"/>
          <w:b/>
          <w:sz w:val="32"/>
          <w:szCs w:val="20"/>
        </w:rPr>
      </w:pPr>
      <w:r w:rsidRPr="00DF242F">
        <w:br w:type="page"/>
      </w:r>
    </w:p>
    <w:p w14:paraId="545E94E9" w14:textId="46410157" w:rsidR="00561046" w:rsidRPr="00DF242F" w:rsidRDefault="001147A9" w:rsidP="00E015D7">
      <w:pPr>
        <w:pStyle w:val="Heading4"/>
      </w:pPr>
      <w:r w:rsidRPr="00DF242F">
        <w:lastRenderedPageBreak/>
        <w:t>4. Monthly</w:t>
      </w:r>
      <w:r w:rsidR="00E015D7" w:rsidRPr="00DF242F">
        <w:t xml:space="preserve"> Reporting</w:t>
      </w:r>
    </w:p>
    <w:p w14:paraId="545E94EA"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INFOTYPE="OTHER"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4F5" w14:textId="77777777" w:rsidTr="00D54AC6">
        <w:trPr>
          <w:cantSplit/>
        </w:trPr>
        <w:tc>
          <w:tcPr>
            <w:tcW w:w="1728" w:type="dxa"/>
          </w:tcPr>
          <w:p w14:paraId="545E94EB" w14:textId="77777777" w:rsidR="00561046" w:rsidRPr="00DF242F" w:rsidRDefault="00561046" w:rsidP="00F55D94">
            <w:pPr>
              <w:pStyle w:val="Heading5"/>
            </w:pPr>
            <w:r w:rsidRPr="00DF242F">
              <w:t>Introduction</w:t>
            </w:r>
          </w:p>
        </w:tc>
        <w:tc>
          <w:tcPr>
            <w:tcW w:w="7740" w:type="dxa"/>
          </w:tcPr>
          <w:p w14:paraId="545E94EC" w14:textId="774DF178" w:rsidR="00561046" w:rsidRPr="00DF242F" w:rsidRDefault="00561046" w:rsidP="00F55D94">
            <w:pPr>
              <w:pStyle w:val="BlockText"/>
            </w:pPr>
            <w:r w:rsidRPr="00DF242F">
              <w:t xml:space="preserve">This topic contains information on </w:t>
            </w:r>
            <w:r w:rsidR="001147A9" w:rsidRPr="00DF242F">
              <w:t>monthly</w:t>
            </w:r>
            <w:r w:rsidRPr="00DF242F">
              <w:t xml:space="preserve"> reporting, including</w:t>
            </w:r>
          </w:p>
          <w:p w14:paraId="545E94ED" w14:textId="77777777" w:rsidR="00561046" w:rsidRPr="00DF242F" w:rsidRDefault="00561046" w:rsidP="00F55D94">
            <w:pPr>
              <w:pStyle w:val="BlockText"/>
            </w:pPr>
          </w:p>
          <w:p w14:paraId="545E94EE" w14:textId="288BFD8C" w:rsidR="00561046" w:rsidRPr="00DF242F" w:rsidRDefault="00C50D63" w:rsidP="00F55D94">
            <w:pPr>
              <w:pStyle w:val="BulletText1"/>
            </w:pPr>
            <w:hyperlink w:anchor="_a.__RCS" w:history="1">
              <w:r w:rsidR="00561046" w:rsidRPr="00DF242F">
                <w:rPr>
                  <w:rStyle w:val="Hyperlink"/>
                </w:rPr>
                <w:t xml:space="preserve">the </w:t>
              </w:r>
              <w:r w:rsidR="00561046" w:rsidRPr="00DF242F">
                <w:rPr>
                  <w:rStyle w:val="Hyperlink"/>
                  <w:i/>
                </w:rPr>
                <w:t>RCS</w:t>
              </w:r>
              <w:r w:rsidR="00561046" w:rsidRPr="00DF242F">
                <w:rPr>
                  <w:rStyle w:val="Hyperlink"/>
                </w:rPr>
                <w:t xml:space="preserve"> number</w:t>
              </w:r>
            </w:hyperlink>
          </w:p>
          <w:p w14:paraId="545E94EF" w14:textId="1C20DDBD" w:rsidR="00561046" w:rsidRPr="00DF242F" w:rsidRDefault="00C50D63" w:rsidP="00F55D94">
            <w:pPr>
              <w:pStyle w:val="BulletText1"/>
            </w:pPr>
            <w:hyperlink w:anchor="_b.__Date" w:history="1">
              <w:r w:rsidR="00561046" w:rsidRPr="00DF242F">
                <w:rPr>
                  <w:rStyle w:val="Hyperlink"/>
                </w:rPr>
                <w:t>the date report is due</w:t>
              </w:r>
            </w:hyperlink>
          </w:p>
          <w:p w14:paraId="545E94F0" w14:textId="2EF64FF1" w:rsidR="00561046" w:rsidRPr="00DF242F" w:rsidRDefault="00C50D63" w:rsidP="00F55D94">
            <w:pPr>
              <w:pStyle w:val="BulletText1"/>
            </w:pPr>
            <w:hyperlink w:anchor="_c.__Report" w:history="1">
              <w:r w:rsidR="00561046" w:rsidRPr="00DF242F">
                <w:rPr>
                  <w:rStyle w:val="Hyperlink"/>
                </w:rPr>
                <w:t>the report format</w:t>
              </w:r>
            </w:hyperlink>
          </w:p>
          <w:p w14:paraId="545E94F1" w14:textId="54FC14D6" w:rsidR="00561046" w:rsidRPr="00DF242F" w:rsidRDefault="00C50D63" w:rsidP="00F55D94">
            <w:pPr>
              <w:pStyle w:val="BulletText1"/>
            </w:pPr>
            <w:hyperlink w:anchor="_d.__Example:" w:history="1">
              <w:r w:rsidR="00561046" w:rsidRPr="00DF242F">
                <w:rPr>
                  <w:rStyle w:val="Hyperlink"/>
                </w:rPr>
                <w:t>an example of a sample report</w:t>
              </w:r>
            </w:hyperlink>
          </w:p>
          <w:p w14:paraId="545E94F2" w14:textId="7E70D0F8" w:rsidR="00561046" w:rsidRPr="00DF242F" w:rsidRDefault="00C50D63" w:rsidP="00F55D94">
            <w:pPr>
              <w:pStyle w:val="BulletText1"/>
            </w:pPr>
            <w:hyperlink w:anchor="_e.__VACO" w:history="1">
              <w:r w:rsidR="00561046" w:rsidRPr="00DF242F">
                <w:rPr>
                  <w:rStyle w:val="Hyperlink"/>
                </w:rPr>
                <w:t>Department of Veterans Affairs Central Office (VACO) review</w:t>
              </w:r>
            </w:hyperlink>
          </w:p>
          <w:p w14:paraId="545E94F3" w14:textId="2CAB8168" w:rsidR="00561046" w:rsidRPr="00DF242F" w:rsidRDefault="00C50D63" w:rsidP="00F55D94">
            <w:pPr>
              <w:pStyle w:val="BulletText1"/>
            </w:pPr>
            <w:hyperlink w:anchor="_f.__Submitting" w:history="1">
              <w:r w:rsidR="00561046" w:rsidRPr="00DF242F">
                <w:rPr>
                  <w:rStyle w:val="Hyperlink"/>
                </w:rPr>
                <w:t>submitting the report</w:t>
              </w:r>
            </w:hyperlink>
            <w:r w:rsidR="00561046" w:rsidRPr="00DF242F">
              <w:t>, and</w:t>
            </w:r>
          </w:p>
          <w:p w14:paraId="545E94F4" w14:textId="50C4887A" w:rsidR="00561046" w:rsidRPr="00DF242F" w:rsidRDefault="00C50D63" w:rsidP="001147A9">
            <w:pPr>
              <w:pStyle w:val="BulletText1"/>
            </w:pPr>
            <w:hyperlink w:anchor="_g.__Contact" w:history="1">
              <w:r w:rsidR="00561046" w:rsidRPr="00DF242F">
                <w:rPr>
                  <w:rStyle w:val="Hyperlink"/>
                </w:rPr>
                <w:t>contact at the regional office (RO)</w:t>
              </w:r>
            </w:hyperlink>
            <w:r w:rsidR="000543D7" w:rsidRPr="00DF242F">
              <w:t xml:space="preserve"> </w:t>
            </w:r>
          </w:p>
        </w:tc>
      </w:tr>
    </w:tbl>
    <w:p w14:paraId="545E94F6" w14:textId="77777777" w:rsidR="00561046" w:rsidRPr="00DF242F" w:rsidRDefault="00561046" w:rsidP="00561046">
      <w:pPr>
        <w:pBdr>
          <w:top w:val="single" w:sz="6" w:space="1" w:color="auto"/>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561046" w:rsidRPr="00DF242F" w14:paraId="545E94F9" w14:textId="77777777" w:rsidTr="00D54AC6">
        <w:trPr>
          <w:cantSplit/>
        </w:trPr>
        <w:tc>
          <w:tcPr>
            <w:tcW w:w="1728" w:type="dxa"/>
          </w:tcPr>
          <w:p w14:paraId="545E94F7" w14:textId="77777777" w:rsidR="00561046" w:rsidRPr="00DF242F" w:rsidRDefault="00561046" w:rsidP="00F55D94">
            <w:pPr>
              <w:pStyle w:val="Heading5"/>
            </w:pPr>
            <w:r w:rsidRPr="00DF242F">
              <w:t>Change Date</w:t>
            </w:r>
          </w:p>
        </w:tc>
        <w:tc>
          <w:tcPr>
            <w:tcW w:w="7740" w:type="dxa"/>
          </w:tcPr>
          <w:p w14:paraId="545E94F8" w14:textId="4E6DD86C" w:rsidR="00561046" w:rsidRPr="00DF242F" w:rsidRDefault="00947C45" w:rsidP="00F55D94">
            <w:pPr>
              <w:pStyle w:val="BlockText"/>
            </w:pPr>
            <w:r w:rsidRPr="00DF242F">
              <w:t>March 7, 2015</w:t>
            </w:r>
          </w:p>
        </w:tc>
      </w:tr>
    </w:tbl>
    <w:p w14:paraId="545E94FA"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4FD" w14:textId="77777777" w:rsidTr="00D54AC6">
        <w:trPr>
          <w:cantSplit/>
        </w:trPr>
        <w:tc>
          <w:tcPr>
            <w:tcW w:w="1728" w:type="dxa"/>
          </w:tcPr>
          <w:p w14:paraId="545E94FB" w14:textId="77777777" w:rsidR="00561046" w:rsidRPr="00DF242F" w:rsidRDefault="00561046" w:rsidP="00F55D94">
            <w:pPr>
              <w:pStyle w:val="Heading5"/>
            </w:pPr>
            <w:bookmarkStart w:id="21" w:name="_a.__RCS"/>
            <w:bookmarkEnd w:id="21"/>
            <w:r w:rsidRPr="00DF242F">
              <w:t>a.  RCS Number</w:t>
            </w:r>
          </w:p>
        </w:tc>
        <w:tc>
          <w:tcPr>
            <w:tcW w:w="7740" w:type="dxa"/>
          </w:tcPr>
          <w:p w14:paraId="545E94FC" w14:textId="66C177BD" w:rsidR="00561046" w:rsidRPr="00DF242F" w:rsidRDefault="00561046" w:rsidP="00664FDD">
            <w:pPr>
              <w:pStyle w:val="BlockText"/>
            </w:pPr>
            <w:r w:rsidRPr="00DF242F">
              <w:t>Every RO that receives a</w:t>
            </w:r>
            <w:r w:rsidRPr="00DF242F">
              <w:rPr>
                <w:i/>
              </w:rPr>
              <w:t xml:space="preserve"> </w:t>
            </w:r>
            <w:r w:rsidR="001147A9" w:rsidRPr="00DF242F">
              <w:rPr>
                <w:i/>
              </w:rPr>
              <w:t xml:space="preserve">Monthly </w:t>
            </w:r>
            <w:r w:rsidRPr="00DF242F">
              <w:rPr>
                <w:i/>
              </w:rPr>
              <w:t xml:space="preserve"> Review of the Potential Duplicate Payments Cases</w:t>
            </w:r>
            <w:r w:rsidRPr="00DF242F">
              <w:t xml:space="preserve"> listing is required to send a report to Compensation Service and/or </w:t>
            </w:r>
            <w:r w:rsidR="00664FDD" w:rsidRPr="00DF242F">
              <w:t>P&amp;F</w:t>
            </w:r>
            <w:r w:rsidRPr="00DF242F">
              <w:t xml:space="preserve"> Service.  Assign </w:t>
            </w:r>
            <w:r w:rsidRPr="00DF242F">
              <w:rPr>
                <w:i/>
              </w:rPr>
              <w:t>RCS 20-0633</w:t>
            </w:r>
            <w:r w:rsidRPr="00DF242F">
              <w:t>.</w:t>
            </w:r>
          </w:p>
        </w:tc>
      </w:tr>
    </w:tbl>
    <w:p w14:paraId="545E94FE"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503" w14:textId="77777777" w:rsidTr="00D54AC6">
        <w:trPr>
          <w:cantSplit/>
        </w:trPr>
        <w:tc>
          <w:tcPr>
            <w:tcW w:w="1728" w:type="dxa"/>
          </w:tcPr>
          <w:p w14:paraId="545E94FF" w14:textId="77777777" w:rsidR="00561046" w:rsidRPr="00DF242F" w:rsidRDefault="00561046" w:rsidP="00F55D94">
            <w:pPr>
              <w:pStyle w:val="Heading5"/>
            </w:pPr>
            <w:bookmarkStart w:id="22" w:name="_b.__Date"/>
            <w:bookmarkEnd w:id="22"/>
            <w:r w:rsidRPr="00DF242F">
              <w:t>b.  Date Report Is Due</w:t>
            </w:r>
          </w:p>
        </w:tc>
        <w:tc>
          <w:tcPr>
            <w:tcW w:w="7740" w:type="dxa"/>
          </w:tcPr>
          <w:p w14:paraId="545E9500" w14:textId="77777777" w:rsidR="00561046" w:rsidRPr="00DF242F" w:rsidRDefault="00561046" w:rsidP="00F55D94">
            <w:pPr>
              <w:pStyle w:val="BlockText"/>
            </w:pPr>
            <w:r w:rsidRPr="00DF242F">
              <w:t xml:space="preserve">The date the report is due appears on the transmittal document accompanying the listing.  </w:t>
            </w:r>
          </w:p>
          <w:p w14:paraId="545E9501" w14:textId="77777777" w:rsidR="00561046" w:rsidRPr="00DF242F" w:rsidRDefault="00561046" w:rsidP="00F55D94">
            <w:pPr>
              <w:pStyle w:val="BlockText"/>
            </w:pPr>
          </w:p>
          <w:p w14:paraId="545E9502" w14:textId="77777777" w:rsidR="00561046" w:rsidRPr="00DF242F" w:rsidRDefault="00561046" w:rsidP="00F55D94">
            <w:pPr>
              <w:pStyle w:val="BlockText"/>
            </w:pPr>
            <w:r w:rsidRPr="00DF242F">
              <w:t xml:space="preserve">Please do not submit interim reports or incomplete reports. </w:t>
            </w:r>
          </w:p>
        </w:tc>
      </w:tr>
    </w:tbl>
    <w:p w14:paraId="545E9504"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507" w14:textId="77777777" w:rsidTr="00D54AC6">
        <w:trPr>
          <w:cantSplit/>
        </w:trPr>
        <w:tc>
          <w:tcPr>
            <w:tcW w:w="1728" w:type="dxa"/>
          </w:tcPr>
          <w:p w14:paraId="545E9505" w14:textId="77777777" w:rsidR="00561046" w:rsidRPr="00DF242F" w:rsidRDefault="00561046" w:rsidP="00F55D94">
            <w:pPr>
              <w:pStyle w:val="Heading5"/>
            </w:pPr>
            <w:bookmarkStart w:id="23" w:name="_c.__Report"/>
            <w:bookmarkEnd w:id="23"/>
            <w:r w:rsidRPr="00DF242F">
              <w:t>c.  Report Format</w:t>
            </w:r>
          </w:p>
        </w:tc>
        <w:tc>
          <w:tcPr>
            <w:tcW w:w="7740" w:type="dxa"/>
          </w:tcPr>
          <w:p w14:paraId="545E9506" w14:textId="77777777" w:rsidR="00561046" w:rsidRPr="00DF242F" w:rsidRDefault="00561046" w:rsidP="00F55D94">
            <w:pPr>
              <w:pStyle w:val="BlockText"/>
            </w:pPr>
            <w:r w:rsidRPr="00DF242F">
              <w:t>The report consists of a certification that all required corrective action has been completed.  A description of the action taken on individual cases is not required.</w:t>
            </w:r>
          </w:p>
        </w:tc>
      </w:tr>
    </w:tbl>
    <w:p w14:paraId="545E9508"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INFOTYPE="STRUCTURE"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510" w14:textId="77777777" w:rsidTr="00D54AC6">
        <w:trPr>
          <w:cantSplit/>
        </w:trPr>
        <w:tc>
          <w:tcPr>
            <w:tcW w:w="1728" w:type="dxa"/>
          </w:tcPr>
          <w:p w14:paraId="545E9509" w14:textId="364569AA" w:rsidR="00561046" w:rsidRPr="00DF242F" w:rsidRDefault="00561046" w:rsidP="00F0562A">
            <w:pPr>
              <w:pStyle w:val="Heading5"/>
            </w:pPr>
            <w:bookmarkStart w:id="24" w:name="_d.__Example:"/>
            <w:bookmarkEnd w:id="24"/>
            <w:r w:rsidRPr="00DF242F">
              <w:t xml:space="preserve">d.  </w:t>
            </w:r>
            <w:r w:rsidR="00F0562A" w:rsidRPr="00DF242F">
              <w:t>Contact at RO</w:t>
            </w:r>
          </w:p>
        </w:tc>
        <w:tc>
          <w:tcPr>
            <w:tcW w:w="7740" w:type="dxa"/>
          </w:tcPr>
          <w:p w14:paraId="7E5AA528" w14:textId="77777777" w:rsidR="00F0562A" w:rsidRPr="00DF242F" w:rsidRDefault="00F0562A" w:rsidP="00F0562A">
            <w:pPr>
              <w:pStyle w:val="BlockText"/>
            </w:pPr>
            <w:r w:rsidRPr="00DF242F">
              <w:t>Include the name and telephone number of an individual at the RO who can answer questions about the report.</w:t>
            </w:r>
          </w:p>
          <w:p w14:paraId="767EF580" w14:textId="77777777" w:rsidR="00F0562A" w:rsidRPr="00DF242F" w:rsidRDefault="00F0562A" w:rsidP="00F0562A">
            <w:pPr>
              <w:pStyle w:val="BlockText"/>
            </w:pPr>
          </w:p>
          <w:p w14:paraId="7F9D2702" w14:textId="77777777" w:rsidR="00F0562A" w:rsidRPr="00DF242F" w:rsidRDefault="00F0562A" w:rsidP="00F0562A">
            <w:pPr>
              <w:pStyle w:val="BlockText"/>
            </w:pPr>
            <w:r w:rsidRPr="00DF242F">
              <w:t>If different individuals are responsible for different parts of the report, furnish their names and telephone numbers and the digit range for which each person is responsible.</w:t>
            </w:r>
          </w:p>
          <w:p w14:paraId="4AEE6D24" w14:textId="77777777" w:rsidR="00F0562A" w:rsidRPr="00DF242F" w:rsidRDefault="00F0562A" w:rsidP="00F0562A">
            <w:pPr>
              <w:pStyle w:val="BlockText"/>
            </w:pPr>
          </w:p>
          <w:p w14:paraId="545E950F" w14:textId="37DDC9D5" w:rsidR="00561046" w:rsidRPr="00DF242F" w:rsidRDefault="00F0562A" w:rsidP="00F0562A">
            <w:pPr>
              <w:pStyle w:val="BlockText"/>
            </w:pPr>
            <w:r w:rsidRPr="00DF242F">
              <w:t>Please submit the report via e-mail.  The mailbox to which the report may be sent will appear on the transmittal document accompanying the listing.  Alternatively, you may submit the report by mail or fax.</w:t>
            </w:r>
          </w:p>
        </w:tc>
      </w:tr>
    </w:tbl>
    <w:p w14:paraId="545E9513"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INFOTYPE="PRINCIPLE" </w:instrText>
      </w:r>
      <w:r w:rsidRPr="00DF242F">
        <w:rPr>
          <w:szCs w:val="20"/>
        </w:rPr>
        <w:fldChar w:fldCharType="end"/>
      </w:r>
      <w:r w:rsidRPr="00DF242F">
        <w:rPr>
          <w:szCs w:val="20"/>
        </w:rPr>
        <w:t xml:space="preserve"> </w:t>
      </w:r>
    </w:p>
    <w:tbl>
      <w:tblPr>
        <w:tblW w:w="0" w:type="auto"/>
        <w:tblLayout w:type="fixed"/>
        <w:tblLook w:val="0000" w:firstRow="0" w:lastRow="0" w:firstColumn="0" w:lastColumn="0" w:noHBand="0" w:noVBand="0"/>
      </w:tblPr>
      <w:tblGrid>
        <w:gridCol w:w="1728"/>
        <w:gridCol w:w="7740"/>
      </w:tblGrid>
      <w:tr w:rsidR="00561046" w:rsidRPr="00DF242F" w14:paraId="545E9516" w14:textId="77777777" w:rsidTr="00D54AC6">
        <w:trPr>
          <w:cantSplit/>
        </w:trPr>
        <w:tc>
          <w:tcPr>
            <w:tcW w:w="1728" w:type="dxa"/>
          </w:tcPr>
          <w:p w14:paraId="545E9514" w14:textId="39502DA9" w:rsidR="00561046" w:rsidRPr="00DF242F" w:rsidRDefault="00561046" w:rsidP="00F0562A">
            <w:pPr>
              <w:pStyle w:val="Heading5"/>
            </w:pPr>
            <w:bookmarkStart w:id="25" w:name="_e.__VACO"/>
            <w:bookmarkEnd w:id="25"/>
            <w:r w:rsidRPr="00DF242F">
              <w:lastRenderedPageBreak/>
              <w:t xml:space="preserve">e.  </w:t>
            </w:r>
            <w:r w:rsidR="00F0562A" w:rsidRPr="00DF242F">
              <w:t>Example: Sample Report</w:t>
            </w:r>
          </w:p>
        </w:tc>
        <w:tc>
          <w:tcPr>
            <w:tcW w:w="7740" w:type="dxa"/>
          </w:tcPr>
          <w:p w14:paraId="590B240A" w14:textId="77777777" w:rsidR="00F0562A" w:rsidRPr="00DF242F" w:rsidRDefault="00F0562A" w:rsidP="00F0562A">
            <w:pPr>
              <w:pStyle w:val="BlockText"/>
            </w:pPr>
            <w:r w:rsidRPr="00DF242F">
              <w:t>The following is a sample report:</w:t>
            </w:r>
          </w:p>
          <w:p w14:paraId="1B726828" w14:textId="77777777" w:rsidR="00F0562A" w:rsidRPr="00DF242F" w:rsidRDefault="00F0562A" w:rsidP="00F0562A">
            <w:pPr>
              <w:pStyle w:val="BlockText"/>
            </w:pPr>
          </w:p>
          <w:p w14:paraId="0F1275D0" w14:textId="77777777" w:rsidR="00F0562A" w:rsidRPr="00DF242F" w:rsidRDefault="00F0562A" w:rsidP="00F0562A">
            <w:pPr>
              <w:pStyle w:val="BlockText"/>
            </w:pPr>
            <w:r w:rsidRPr="00DF242F">
              <w:t>This certifies that all required action has been completed and checked in VETSNET and VBMS for the [insert month and year] semiannual review of potential duplicate payment cases (RCS 20-0633) for RO XXX.  Questions about the report may be directed as follows:</w:t>
            </w:r>
          </w:p>
          <w:p w14:paraId="523E77A4" w14:textId="77777777" w:rsidR="00F0562A" w:rsidRPr="00DF242F" w:rsidRDefault="00F0562A" w:rsidP="00F0562A">
            <w:pPr>
              <w:pStyle w:val="BlockText"/>
            </w:pPr>
          </w:p>
          <w:p w14:paraId="4180A891" w14:textId="77777777" w:rsidR="00F0562A" w:rsidRPr="00DF242F" w:rsidRDefault="00F0562A" w:rsidP="00F0562A">
            <w:pPr>
              <w:pStyle w:val="BlockText"/>
            </w:pPr>
            <w:r w:rsidRPr="00DF242F">
              <w:t>digits 00-49</w:t>
            </w:r>
            <w:r w:rsidRPr="00DF242F">
              <w:tab/>
              <w:t xml:space="preserve">Elvis Examine </w:t>
            </w:r>
            <w:r w:rsidRPr="00DF242F">
              <w:tab/>
              <w:t xml:space="preserve"> (703) 555-1212</w:t>
            </w:r>
          </w:p>
          <w:p w14:paraId="545E9515" w14:textId="76B8BDD4" w:rsidR="00561046" w:rsidRPr="00DF242F" w:rsidRDefault="00F0562A" w:rsidP="00F0562A">
            <w:pPr>
              <w:pStyle w:val="BlockText"/>
            </w:pPr>
            <w:r w:rsidRPr="00DF242F">
              <w:t>digits 50-99</w:t>
            </w:r>
            <w:r w:rsidRPr="00DF242F">
              <w:tab/>
              <w:t>Veronica VSR</w:t>
            </w:r>
            <w:r w:rsidRPr="00DF242F">
              <w:tab/>
            </w:r>
            <w:r w:rsidRPr="00DF242F">
              <w:tab/>
              <w:t xml:space="preserve"> (703) 555-131</w:t>
            </w:r>
            <w:r w:rsidR="000D064C" w:rsidRPr="00DF242F">
              <w:t>3</w:t>
            </w:r>
          </w:p>
        </w:tc>
      </w:tr>
    </w:tbl>
    <w:p w14:paraId="545E9517" w14:textId="77777777"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DF242F" w14:paraId="545E951A" w14:textId="77777777" w:rsidTr="00D54AC6">
        <w:trPr>
          <w:cantSplit/>
        </w:trPr>
        <w:tc>
          <w:tcPr>
            <w:tcW w:w="1728" w:type="dxa"/>
          </w:tcPr>
          <w:p w14:paraId="71112126" w14:textId="78B6BD65" w:rsidR="00F0562A" w:rsidRPr="00DF242F" w:rsidRDefault="00561046" w:rsidP="00C539EE">
            <w:pPr>
              <w:pStyle w:val="Heading5"/>
            </w:pPr>
            <w:bookmarkStart w:id="26" w:name="_f.__Submitting"/>
            <w:bookmarkEnd w:id="26"/>
            <w:r w:rsidRPr="00DF242F">
              <w:t>f.</w:t>
            </w:r>
            <w:r w:rsidR="00F40007" w:rsidRPr="00DF242F">
              <w:t xml:space="preserve">  </w:t>
            </w:r>
            <w:r w:rsidR="00F0562A" w:rsidRPr="00DF242F">
              <w:t>VACO Review</w:t>
            </w:r>
          </w:p>
          <w:p w14:paraId="427E0C9D" w14:textId="77777777" w:rsidR="00F0562A" w:rsidRPr="00DF242F" w:rsidRDefault="00F0562A" w:rsidP="00C539EE">
            <w:pPr>
              <w:pStyle w:val="Heading5"/>
            </w:pPr>
          </w:p>
          <w:p w14:paraId="302A7F0C" w14:textId="77777777" w:rsidR="00F40007" w:rsidRPr="00DF242F" w:rsidRDefault="00561046" w:rsidP="00C539EE">
            <w:pPr>
              <w:pStyle w:val="Heading5"/>
            </w:pPr>
            <w:r w:rsidRPr="00DF242F">
              <w:t xml:space="preserve">  </w:t>
            </w:r>
          </w:p>
          <w:p w14:paraId="545E9518" w14:textId="1F885990" w:rsidR="00561046" w:rsidRPr="00DF242F" w:rsidRDefault="00561046" w:rsidP="00C539EE">
            <w:pPr>
              <w:pStyle w:val="Heading5"/>
            </w:pPr>
          </w:p>
        </w:tc>
        <w:tc>
          <w:tcPr>
            <w:tcW w:w="7740" w:type="dxa"/>
          </w:tcPr>
          <w:p w14:paraId="545E9519" w14:textId="695E2BA8" w:rsidR="00561046" w:rsidRPr="00DF242F" w:rsidRDefault="00F0562A" w:rsidP="00C539EE">
            <w:pPr>
              <w:pStyle w:val="BlockText"/>
            </w:pPr>
            <w:r w:rsidRPr="00DF242F">
              <w:t xml:space="preserve">When you certify that you have completed all action on the listing, VA Central Office (VACO) will review the listing and contact you for clarification of any apparent discrepancies.  If you do a Corporate Update, </w:t>
            </w:r>
            <w:r w:rsidRPr="00DF242F">
              <w:rPr>
                <w:rFonts w:ascii="Times" w:hAnsi="Times"/>
                <w:caps/>
              </w:rPr>
              <w:t>bupd</w:t>
            </w:r>
            <w:r w:rsidRPr="00DF242F">
              <w:t>, or an amended award, verify that the transaction actually processed and properly updated the system before you furnish the certification.</w:t>
            </w:r>
          </w:p>
        </w:tc>
      </w:tr>
    </w:tbl>
    <w:p w14:paraId="545E951B" w14:textId="303EABB9" w:rsidR="00561046" w:rsidRPr="00DF242F" w:rsidRDefault="00561046" w:rsidP="00561046">
      <w:pPr>
        <w:pBdr>
          <w:top w:val="single" w:sz="6" w:space="1" w:color="auto"/>
          <w:between w:val="single" w:sz="6" w:space="1" w:color="auto"/>
        </w:pBdr>
        <w:spacing w:before="240"/>
        <w:ind w:left="1728"/>
        <w:rPr>
          <w:szCs w:val="20"/>
        </w:rPr>
      </w:pPr>
      <w:r w:rsidRPr="00DF242F">
        <w:rPr>
          <w:szCs w:val="20"/>
        </w:rPr>
        <w:fldChar w:fldCharType="begin"/>
      </w:r>
      <w:r w:rsidRPr="00DF242F">
        <w:rPr>
          <w:szCs w:val="20"/>
        </w:rPr>
        <w:instrText xml:space="preserve"> PRIVATE INFOTYPE="PROCEDURE" </w:instrText>
      </w:r>
      <w:r w:rsidRPr="00DF242F">
        <w:rPr>
          <w:szCs w:val="20"/>
        </w:rPr>
        <w:fldChar w:fldCharType="end"/>
      </w:r>
    </w:p>
    <w:tbl>
      <w:tblPr>
        <w:tblW w:w="0" w:type="auto"/>
        <w:tblLayout w:type="fixed"/>
        <w:tblLook w:val="0000" w:firstRow="0" w:lastRow="0" w:firstColumn="0" w:lastColumn="0" w:noHBand="0" w:noVBand="0"/>
      </w:tblPr>
      <w:tblGrid>
        <w:gridCol w:w="1728"/>
        <w:gridCol w:w="7740"/>
      </w:tblGrid>
      <w:tr w:rsidR="00561046" w:rsidRPr="00561046" w14:paraId="545E9520" w14:textId="77777777" w:rsidTr="00D54AC6">
        <w:trPr>
          <w:cantSplit/>
        </w:trPr>
        <w:tc>
          <w:tcPr>
            <w:tcW w:w="1728" w:type="dxa"/>
          </w:tcPr>
          <w:p w14:paraId="545E951C" w14:textId="41E23E99" w:rsidR="00561046" w:rsidRPr="00DF242F" w:rsidRDefault="00561046" w:rsidP="00F40007">
            <w:pPr>
              <w:pStyle w:val="Heading5"/>
            </w:pPr>
            <w:bookmarkStart w:id="27" w:name="_g.__Contact"/>
            <w:bookmarkEnd w:id="27"/>
            <w:r w:rsidRPr="00DF242F">
              <w:t xml:space="preserve">g. </w:t>
            </w:r>
            <w:r w:rsidR="00F40007" w:rsidRPr="00DF242F">
              <w:t xml:space="preserve"> Submitting the Report</w:t>
            </w:r>
          </w:p>
        </w:tc>
        <w:tc>
          <w:tcPr>
            <w:tcW w:w="7740" w:type="dxa"/>
          </w:tcPr>
          <w:p w14:paraId="545E951F" w14:textId="19972296" w:rsidR="00561046" w:rsidRPr="00561046" w:rsidRDefault="00F40007" w:rsidP="00C539EE">
            <w:pPr>
              <w:pStyle w:val="BlockText"/>
            </w:pPr>
            <w:r w:rsidRPr="00DF242F">
              <w:t xml:space="preserve">Please </w:t>
            </w:r>
            <w:r w:rsidR="007D7EC3" w:rsidRPr="00DF242F">
              <w:t>submit</w:t>
            </w:r>
            <w:r w:rsidRPr="00DF242F">
              <w:t xml:space="preserve"> the report via e-mail.  The mailbox to which the report may be sent will appear on the transmittal document accompanying the listing. Alternatively, you may submit the report by mail or fax.</w:t>
            </w:r>
          </w:p>
        </w:tc>
      </w:tr>
    </w:tbl>
    <w:p w14:paraId="545E9521" w14:textId="77777777" w:rsidR="00561046" w:rsidRPr="00561046" w:rsidRDefault="00561046" w:rsidP="00561046">
      <w:pPr>
        <w:pBdr>
          <w:top w:val="single" w:sz="6" w:space="1" w:color="auto"/>
          <w:between w:val="single" w:sz="6" w:space="1" w:color="auto"/>
        </w:pBdr>
        <w:spacing w:before="240"/>
        <w:ind w:left="1728"/>
        <w:rPr>
          <w:szCs w:val="20"/>
        </w:rPr>
      </w:pPr>
    </w:p>
    <w:p w14:paraId="545E9522" w14:textId="77777777" w:rsidR="00F02D6F" w:rsidRPr="00561046" w:rsidRDefault="00F02D6F" w:rsidP="00561046"/>
    <w:sectPr w:rsidR="00F02D6F" w:rsidRPr="00561046" w:rsidSect="00821CD1">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A2BE" w14:textId="77777777" w:rsidR="00D54AC6" w:rsidRDefault="00D54AC6">
      <w:r>
        <w:separator/>
      </w:r>
    </w:p>
  </w:endnote>
  <w:endnote w:type="continuationSeparator" w:id="0">
    <w:p w14:paraId="5BDE2A25" w14:textId="77777777" w:rsidR="00D54AC6" w:rsidRDefault="00D5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2F" w14:textId="671485CB" w:rsidR="00D54AC6" w:rsidRDefault="00D54AC6">
    <w:pPr>
      <w:pStyle w:val="Footer"/>
      <w:tabs>
        <w:tab w:val="left" w:pos="0"/>
        <w:tab w:val="right" w:pos="9274"/>
      </w:tabs>
      <w:ind w:right="360"/>
    </w:pP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30" w14:textId="0B09D372" w:rsidR="00D54AC6" w:rsidRDefault="00D54AC6">
    <w:pPr>
      <w:pStyle w:val="Footer"/>
      <w:tabs>
        <w:tab w:val="left" w:pos="0"/>
        <w:tab w:val="right" w:pos="9274"/>
      </w:tabs>
    </w:pP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32" w14:textId="77777777" w:rsidR="00D54AC6" w:rsidRDefault="00D54AC6">
    <w:pPr>
      <w:pStyle w:val="Footer"/>
      <w:tabs>
        <w:tab w:val="left" w:pos="0"/>
        <w:tab w:val="right" w:pos="9274"/>
      </w:tabs>
    </w:pPr>
    <w:r>
      <w:rPr>
        <w:b/>
      </w:rPr>
      <w:t>Final</w:t>
    </w:r>
    <w:r>
      <w:rPr>
        <w:b/>
      </w:rPr>
      <w:tab/>
      <w:t>6-</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5B2A" w14:textId="77777777" w:rsidR="00D54AC6" w:rsidRDefault="00D54AC6">
      <w:r>
        <w:separator/>
      </w:r>
    </w:p>
  </w:footnote>
  <w:footnote w:type="continuationSeparator" w:id="0">
    <w:p w14:paraId="0D8360FD" w14:textId="77777777" w:rsidR="00D54AC6" w:rsidRDefault="00D5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2D" w14:textId="56168D49" w:rsidR="00D54AC6" w:rsidRDefault="00D54AC6">
    <w:pPr>
      <w:pStyle w:val="Header"/>
      <w:tabs>
        <w:tab w:val="left" w:pos="0"/>
      </w:tabs>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2E" w14:textId="6F76C4D4" w:rsidR="00D54AC6" w:rsidRDefault="000D064C">
    <w:pPr>
      <w:pStyle w:val="Header"/>
      <w:tabs>
        <w:tab w:val="left" w:pos="0"/>
      </w:tabs>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9531" w14:textId="77777777" w:rsidR="00D54AC6" w:rsidRDefault="00D54AC6">
    <w:pPr>
      <w:pStyle w:val="Header"/>
      <w:tabs>
        <w:tab w:val="left" w:pos="0"/>
      </w:tabs>
    </w:pPr>
    <w:r>
      <w:rPr>
        <w:b/>
      </w:rPr>
      <w:t>Date</w:t>
    </w:r>
    <w:r>
      <w:rPr>
        <w:b/>
      </w:rPr>
      <w:tab/>
      <w:t>M21-1MR, Part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E159E"/>
    <w:multiLevelType w:val="hybridMultilevel"/>
    <w:tmpl w:val="E35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
    <w:abstractNumId w:val="5"/>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Basic.xsl"/>
  </w:docVars>
  <w:rsids>
    <w:rsidRoot w:val="006013C8"/>
    <w:rsid w:val="00007821"/>
    <w:rsid w:val="00014CE3"/>
    <w:rsid w:val="00017C10"/>
    <w:rsid w:val="00023ED2"/>
    <w:rsid w:val="000316F3"/>
    <w:rsid w:val="000373FB"/>
    <w:rsid w:val="00052CA7"/>
    <w:rsid w:val="000543D7"/>
    <w:rsid w:val="000669D8"/>
    <w:rsid w:val="00067AAF"/>
    <w:rsid w:val="00067B4E"/>
    <w:rsid w:val="00081551"/>
    <w:rsid w:val="000D064C"/>
    <w:rsid w:val="00104BF6"/>
    <w:rsid w:val="001147A9"/>
    <w:rsid w:val="001255B0"/>
    <w:rsid w:val="00140CDA"/>
    <w:rsid w:val="0015542A"/>
    <w:rsid w:val="00164DAE"/>
    <w:rsid w:val="0016681F"/>
    <w:rsid w:val="001751F3"/>
    <w:rsid w:val="0017647E"/>
    <w:rsid w:val="001800D6"/>
    <w:rsid w:val="00186270"/>
    <w:rsid w:val="00190FF7"/>
    <w:rsid w:val="00194E69"/>
    <w:rsid w:val="001C4E3B"/>
    <w:rsid w:val="001E1EE1"/>
    <w:rsid w:val="001E413E"/>
    <w:rsid w:val="001F5329"/>
    <w:rsid w:val="002004C0"/>
    <w:rsid w:val="002567B9"/>
    <w:rsid w:val="00281DED"/>
    <w:rsid w:val="00291DE6"/>
    <w:rsid w:val="002C1825"/>
    <w:rsid w:val="002D0BA3"/>
    <w:rsid w:val="002D1805"/>
    <w:rsid w:val="002E57D6"/>
    <w:rsid w:val="002E6258"/>
    <w:rsid w:val="002F2222"/>
    <w:rsid w:val="002F7224"/>
    <w:rsid w:val="0030179F"/>
    <w:rsid w:val="00304AF4"/>
    <w:rsid w:val="00306166"/>
    <w:rsid w:val="0031271A"/>
    <w:rsid w:val="00336008"/>
    <w:rsid w:val="00337764"/>
    <w:rsid w:val="00355263"/>
    <w:rsid w:val="003645A9"/>
    <w:rsid w:val="0038722F"/>
    <w:rsid w:val="003C1722"/>
    <w:rsid w:val="003D253F"/>
    <w:rsid w:val="003F219E"/>
    <w:rsid w:val="00406E14"/>
    <w:rsid w:val="00420B40"/>
    <w:rsid w:val="004430A2"/>
    <w:rsid w:val="004441FA"/>
    <w:rsid w:val="004442B1"/>
    <w:rsid w:val="00444F25"/>
    <w:rsid w:val="00455778"/>
    <w:rsid w:val="00477DC4"/>
    <w:rsid w:val="00483FD4"/>
    <w:rsid w:val="00484AB3"/>
    <w:rsid w:val="00487A67"/>
    <w:rsid w:val="00492968"/>
    <w:rsid w:val="00492CD0"/>
    <w:rsid w:val="00495539"/>
    <w:rsid w:val="004D4B60"/>
    <w:rsid w:val="004E1A9F"/>
    <w:rsid w:val="004E7290"/>
    <w:rsid w:val="005068CA"/>
    <w:rsid w:val="00540318"/>
    <w:rsid w:val="00543BFE"/>
    <w:rsid w:val="00561046"/>
    <w:rsid w:val="00561C19"/>
    <w:rsid w:val="0059389C"/>
    <w:rsid w:val="005939B5"/>
    <w:rsid w:val="005948FC"/>
    <w:rsid w:val="005C11F4"/>
    <w:rsid w:val="005D2097"/>
    <w:rsid w:val="005D6EB0"/>
    <w:rsid w:val="006013C8"/>
    <w:rsid w:val="00601B28"/>
    <w:rsid w:val="00621157"/>
    <w:rsid w:val="00641636"/>
    <w:rsid w:val="0064400E"/>
    <w:rsid w:val="0064622C"/>
    <w:rsid w:val="00655E7F"/>
    <w:rsid w:val="00664FDD"/>
    <w:rsid w:val="00690239"/>
    <w:rsid w:val="006907CC"/>
    <w:rsid w:val="006B54B1"/>
    <w:rsid w:val="006C160B"/>
    <w:rsid w:val="00703CC2"/>
    <w:rsid w:val="007049E8"/>
    <w:rsid w:val="007374D3"/>
    <w:rsid w:val="007420E5"/>
    <w:rsid w:val="00744B0E"/>
    <w:rsid w:val="00771C71"/>
    <w:rsid w:val="00773334"/>
    <w:rsid w:val="00775820"/>
    <w:rsid w:val="00784CC1"/>
    <w:rsid w:val="007920FD"/>
    <w:rsid w:val="0079373E"/>
    <w:rsid w:val="007A3FF3"/>
    <w:rsid w:val="007A51B5"/>
    <w:rsid w:val="007B5974"/>
    <w:rsid w:val="007B633A"/>
    <w:rsid w:val="007D6FCF"/>
    <w:rsid w:val="007D7EC3"/>
    <w:rsid w:val="00821CD1"/>
    <w:rsid w:val="00824F24"/>
    <w:rsid w:val="00842A60"/>
    <w:rsid w:val="0084509E"/>
    <w:rsid w:val="00845DBC"/>
    <w:rsid w:val="008503A2"/>
    <w:rsid w:val="008562CC"/>
    <w:rsid w:val="00871E20"/>
    <w:rsid w:val="00892814"/>
    <w:rsid w:val="008B16CF"/>
    <w:rsid w:val="008B48EB"/>
    <w:rsid w:val="008D697F"/>
    <w:rsid w:val="008E1B09"/>
    <w:rsid w:val="00911A05"/>
    <w:rsid w:val="00923AFE"/>
    <w:rsid w:val="00940334"/>
    <w:rsid w:val="009444C5"/>
    <w:rsid w:val="00947C45"/>
    <w:rsid w:val="00970847"/>
    <w:rsid w:val="00984CB5"/>
    <w:rsid w:val="00990B45"/>
    <w:rsid w:val="00992CC5"/>
    <w:rsid w:val="009B0CDC"/>
    <w:rsid w:val="009B4C36"/>
    <w:rsid w:val="009B71A6"/>
    <w:rsid w:val="009E2317"/>
    <w:rsid w:val="00A04387"/>
    <w:rsid w:val="00A122AA"/>
    <w:rsid w:val="00A2106D"/>
    <w:rsid w:val="00A23738"/>
    <w:rsid w:val="00A34968"/>
    <w:rsid w:val="00A51AEE"/>
    <w:rsid w:val="00A529AE"/>
    <w:rsid w:val="00AB787B"/>
    <w:rsid w:val="00AC6F94"/>
    <w:rsid w:val="00AD4642"/>
    <w:rsid w:val="00AE0842"/>
    <w:rsid w:val="00AF29CF"/>
    <w:rsid w:val="00AF6F43"/>
    <w:rsid w:val="00B1286F"/>
    <w:rsid w:val="00B15B3D"/>
    <w:rsid w:val="00B206B9"/>
    <w:rsid w:val="00B40BA6"/>
    <w:rsid w:val="00B45519"/>
    <w:rsid w:val="00B57793"/>
    <w:rsid w:val="00B7657B"/>
    <w:rsid w:val="00B9648E"/>
    <w:rsid w:val="00BA1AE3"/>
    <w:rsid w:val="00BA5A1B"/>
    <w:rsid w:val="00BA6822"/>
    <w:rsid w:val="00BC0E15"/>
    <w:rsid w:val="00BD74FA"/>
    <w:rsid w:val="00BE4795"/>
    <w:rsid w:val="00BF4BA7"/>
    <w:rsid w:val="00C06A5B"/>
    <w:rsid w:val="00C118BC"/>
    <w:rsid w:val="00C1205A"/>
    <w:rsid w:val="00C31317"/>
    <w:rsid w:val="00C32284"/>
    <w:rsid w:val="00C33B2C"/>
    <w:rsid w:val="00C40423"/>
    <w:rsid w:val="00C41E48"/>
    <w:rsid w:val="00C50D63"/>
    <w:rsid w:val="00C51F62"/>
    <w:rsid w:val="00C539EE"/>
    <w:rsid w:val="00C62FDD"/>
    <w:rsid w:val="00C675B6"/>
    <w:rsid w:val="00C7319D"/>
    <w:rsid w:val="00C864DF"/>
    <w:rsid w:val="00CA2234"/>
    <w:rsid w:val="00CA4C85"/>
    <w:rsid w:val="00CA6136"/>
    <w:rsid w:val="00CC4239"/>
    <w:rsid w:val="00CC61D8"/>
    <w:rsid w:val="00D04163"/>
    <w:rsid w:val="00D04290"/>
    <w:rsid w:val="00D11F95"/>
    <w:rsid w:val="00D1260C"/>
    <w:rsid w:val="00D54AC6"/>
    <w:rsid w:val="00D71D15"/>
    <w:rsid w:val="00D73E83"/>
    <w:rsid w:val="00D81247"/>
    <w:rsid w:val="00D90631"/>
    <w:rsid w:val="00DA1D75"/>
    <w:rsid w:val="00DA2936"/>
    <w:rsid w:val="00DB5E1B"/>
    <w:rsid w:val="00DD33BB"/>
    <w:rsid w:val="00DD3EF3"/>
    <w:rsid w:val="00DE2EC0"/>
    <w:rsid w:val="00DE36DC"/>
    <w:rsid w:val="00DF04D0"/>
    <w:rsid w:val="00DF242F"/>
    <w:rsid w:val="00DF397A"/>
    <w:rsid w:val="00E015D7"/>
    <w:rsid w:val="00E114E4"/>
    <w:rsid w:val="00E27502"/>
    <w:rsid w:val="00E60AD2"/>
    <w:rsid w:val="00E61660"/>
    <w:rsid w:val="00E62170"/>
    <w:rsid w:val="00E6326B"/>
    <w:rsid w:val="00E65AB4"/>
    <w:rsid w:val="00EA71CF"/>
    <w:rsid w:val="00EB6254"/>
    <w:rsid w:val="00ED42F0"/>
    <w:rsid w:val="00EE7510"/>
    <w:rsid w:val="00EF649E"/>
    <w:rsid w:val="00F0258E"/>
    <w:rsid w:val="00F02D6F"/>
    <w:rsid w:val="00F0410C"/>
    <w:rsid w:val="00F0562A"/>
    <w:rsid w:val="00F12373"/>
    <w:rsid w:val="00F40007"/>
    <w:rsid w:val="00F42C34"/>
    <w:rsid w:val="00F46D0F"/>
    <w:rsid w:val="00F5129F"/>
    <w:rsid w:val="00F55D94"/>
    <w:rsid w:val="00F56AA3"/>
    <w:rsid w:val="00F67D8E"/>
    <w:rsid w:val="00FA2463"/>
    <w:rsid w:val="00FB3E77"/>
    <w:rsid w:val="00FC39FC"/>
    <w:rsid w:val="00FE5C61"/>
    <w:rsid w:val="00FF4C23"/>
    <w:rsid w:val="00FF548F"/>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5E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1B"/>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DB5E1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B5E1B"/>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B5E1B"/>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B5E1B"/>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B5E1B"/>
    <w:pPr>
      <w:outlineLvl w:val="4"/>
    </w:pPr>
    <w:rPr>
      <w:b/>
      <w:sz w:val="22"/>
      <w:szCs w:val="20"/>
    </w:rPr>
  </w:style>
  <w:style w:type="paragraph" w:styleId="Heading6">
    <w:name w:val="heading 6"/>
    <w:aliases w:val="Sub Label"/>
    <w:basedOn w:val="Heading5"/>
    <w:next w:val="BlockText"/>
    <w:link w:val="Heading6Char"/>
    <w:rsid w:val="00DB5E1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E1B"/>
    <w:pPr>
      <w:tabs>
        <w:tab w:val="center" w:pos="4680"/>
        <w:tab w:val="right" w:pos="9360"/>
      </w:tabs>
    </w:pPr>
    <w:rPr>
      <w:sz w:val="20"/>
    </w:rPr>
  </w:style>
  <w:style w:type="character" w:customStyle="1" w:styleId="HeaderChar">
    <w:name w:val="Header Char"/>
    <w:link w:val="Header"/>
    <w:rsid w:val="00DB5E1B"/>
    <w:rPr>
      <w:rFonts w:ascii="Times New Roman" w:eastAsia="Times New Roman" w:hAnsi="Times New Roman" w:cs="Times New Roman"/>
      <w:color w:val="000000"/>
      <w:sz w:val="20"/>
      <w:szCs w:val="24"/>
    </w:rPr>
  </w:style>
  <w:style w:type="paragraph" w:styleId="Footer">
    <w:name w:val="footer"/>
    <w:basedOn w:val="Normal"/>
    <w:link w:val="FooterChar"/>
    <w:rsid w:val="00DB5E1B"/>
    <w:pPr>
      <w:tabs>
        <w:tab w:val="center" w:pos="4680"/>
        <w:tab w:val="right" w:pos="9360"/>
      </w:tabs>
    </w:pPr>
    <w:rPr>
      <w:sz w:val="20"/>
    </w:rPr>
  </w:style>
  <w:style w:type="character" w:customStyle="1" w:styleId="FooterChar">
    <w:name w:val="Footer Char"/>
    <w:link w:val="Footer"/>
    <w:rsid w:val="00DB5E1B"/>
    <w:rPr>
      <w:rFonts w:ascii="Times New Roman" w:eastAsia="Times New Roman" w:hAnsi="Times New Roman" w:cs="Times New Roman"/>
      <w:color w:val="000000"/>
      <w:sz w:val="20"/>
      <w:szCs w:val="24"/>
    </w:rPr>
  </w:style>
  <w:style w:type="paragraph" w:styleId="CommentText">
    <w:name w:val="annotation text"/>
    <w:basedOn w:val="Normal"/>
    <w:link w:val="CommentTextChar"/>
    <w:uiPriority w:val="99"/>
    <w:semiHidden/>
    <w:unhideWhenUsed/>
    <w:rsid w:val="006013C8"/>
    <w:rPr>
      <w:sz w:val="20"/>
      <w:szCs w:val="20"/>
    </w:rPr>
  </w:style>
  <w:style w:type="character" w:customStyle="1" w:styleId="CommentTextChar">
    <w:name w:val="Comment Text Char"/>
    <w:basedOn w:val="DefaultParagraphFont"/>
    <w:link w:val="CommentText"/>
    <w:uiPriority w:val="99"/>
    <w:semiHidden/>
    <w:rsid w:val="006013C8"/>
    <w:rPr>
      <w:sz w:val="20"/>
      <w:szCs w:val="20"/>
    </w:rPr>
  </w:style>
  <w:style w:type="paragraph" w:customStyle="1" w:styleId="BulletText1">
    <w:name w:val="Bullet Text 1"/>
    <w:basedOn w:val="Normal"/>
    <w:qFormat/>
    <w:rsid w:val="00DB5E1B"/>
    <w:pPr>
      <w:numPr>
        <w:numId w:val="2"/>
      </w:numPr>
    </w:pPr>
    <w:rPr>
      <w:szCs w:val="20"/>
    </w:rPr>
  </w:style>
  <w:style w:type="character" w:styleId="PageNumber">
    <w:name w:val="page number"/>
    <w:basedOn w:val="DefaultParagraphFont"/>
    <w:semiHidden/>
    <w:rsid w:val="006013C8"/>
  </w:style>
  <w:style w:type="character" w:styleId="CommentReference">
    <w:name w:val="annotation reference"/>
    <w:basedOn w:val="DefaultParagraphFont"/>
    <w:semiHidden/>
    <w:rsid w:val="006013C8"/>
    <w:rPr>
      <w:sz w:val="16"/>
    </w:rPr>
  </w:style>
  <w:style w:type="paragraph" w:styleId="BalloonText">
    <w:name w:val="Balloon Text"/>
    <w:basedOn w:val="Normal"/>
    <w:link w:val="BalloonTextChar"/>
    <w:semiHidden/>
    <w:rsid w:val="00DB5E1B"/>
    <w:rPr>
      <w:rFonts w:ascii="Tahoma" w:hAnsi="Tahoma" w:cs="Tahoma"/>
      <w:sz w:val="16"/>
      <w:szCs w:val="16"/>
    </w:rPr>
  </w:style>
  <w:style w:type="character" w:customStyle="1" w:styleId="BalloonTextChar">
    <w:name w:val="Balloon Text Char"/>
    <w:basedOn w:val="DefaultParagraphFont"/>
    <w:link w:val="BalloonText"/>
    <w:semiHidden/>
    <w:rsid w:val="006013C8"/>
    <w:rPr>
      <w:rFonts w:ascii="Tahoma" w:eastAsia="Times New Roman" w:hAnsi="Tahoma" w:cs="Tahoma"/>
      <w:color w:val="000000"/>
      <w:sz w:val="16"/>
      <w:szCs w:val="16"/>
    </w:rPr>
  </w:style>
  <w:style w:type="character" w:customStyle="1" w:styleId="Heading1Char">
    <w:name w:val="Heading 1 Char"/>
    <w:aliases w:val="Part Title Char"/>
    <w:basedOn w:val="DefaultParagraphFont"/>
    <w:link w:val="Heading1"/>
    <w:rsid w:val="00DB5E1B"/>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DB5E1B"/>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DB5E1B"/>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DB5E1B"/>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DB5E1B"/>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DB5E1B"/>
    <w:rPr>
      <w:rFonts w:ascii="Times New Roman" w:eastAsia="Times New Roman" w:hAnsi="Times New Roman" w:cs="Times New Roman"/>
      <w:b/>
      <w:i/>
      <w:color w:val="000000"/>
      <w:szCs w:val="20"/>
    </w:rPr>
  </w:style>
  <w:style w:type="paragraph" w:customStyle="1" w:styleId="BlockLine">
    <w:name w:val="Block Line"/>
    <w:basedOn w:val="Normal"/>
    <w:next w:val="Normal"/>
    <w:rsid w:val="00DB5E1B"/>
    <w:pPr>
      <w:pBdr>
        <w:top w:val="single" w:sz="6" w:space="1" w:color="000000"/>
        <w:between w:val="single" w:sz="6" w:space="1" w:color="auto"/>
      </w:pBdr>
      <w:spacing w:before="240"/>
      <w:ind w:left="1728"/>
    </w:pPr>
    <w:rPr>
      <w:szCs w:val="20"/>
    </w:rPr>
  </w:style>
  <w:style w:type="paragraph" w:styleId="BlockText">
    <w:name w:val="Block Text"/>
    <w:basedOn w:val="Normal"/>
    <w:qFormat/>
    <w:rsid w:val="00DB5E1B"/>
  </w:style>
  <w:style w:type="paragraph" w:customStyle="1" w:styleId="BulletText2">
    <w:name w:val="Bullet Text 2"/>
    <w:basedOn w:val="Normal"/>
    <w:rsid w:val="00DB5E1B"/>
    <w:pPr>
      <w:numPr>
        <w:numId w:val="3"/>
      </w:numPr>
      <w:ind w:left="346"/>
    </w:pPr>
    <w:rPr>
      <w:szCs w:val="20"/>
    </w:rPr>
  </w:style>
  <w:style w:type="paragraph" w:customStyle="1" w:styleId="BulletText3">
    <w:name w:val="Bullet Text 3"/>
    <w:basedOn w:val="Normal"/>
    <w:rsid w:val="00DB5E1B"/>
    <w:pPr>
      <w:numPr>
        <w:numId w:val="4"/>
      </w:numPr>
      <w:ind w:left="518"/>
    </w:pPr>
    <w:rPr>
      <w:szCs w:val="20"/>
    </w:rPr>
  </w:style>
  <w:style w:type="paragraph" w:customStyle="1" w:styleId="ContinuedBlockLabel">
    <w:name w:val="Continued Block Label"/>
    <w:basedOn w:val="Normal"/>
    <w:next w:val="Normal"/>
    <w:rsid w:val="00DB5E1B"/>
    <w:pPr>
      <w:spacing w:after="240"/>
    </w:pPr>
    <w:rPr>
      <w:b/>
      <w:sz w:val="22"/>
      <w:szCs w:val="20"/>
    </w:rPr>
  </w:style>
  <w:style w:type="paragraph" w:customStyle="1" w:styleId="ContinuedOnNextPa">
    <w:name w:val="Continued On Next Pa"/>
    <w:basedOn w:val="Normal"/>
    <w:next w:val="Normal"/>
    <w:rsid w:val="00DB5E1B"/>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B5E1B"/>
    <w:pPr>
      <w:spacing w:after="240"/>
    </w:pPr>
    <w:rPr>
      <w:b/>
      <w:sz w:val="22"/>
      <w:szCs w:val="20"/>
    </w:rPr>
  </w:style>
  <w:style w:type="paragraph" w:customStyle="1" w:styleId="EmbeddedText">
    <w:name w:val="Embedded Text"/>
    <w:basedOn w:val="Normal"/>
    <w:rsid w:val="00DB5E1B"/>
    <w:rPr>
      <w:szCs w:val="20"/>
    </w:rPr>
  </w:style>
  <w:style w:type="character" w:styleId="HTMLAcronym">
    <w:name w:val="HTML Acronym"/>
    <w:basedOn w:val="DefaultParagraphFont"/>
    <w:rsid w:val="00DB5E1B"/>
  </w:style>
  <w:style w:type="paragraph" w:customStyle="1" w:styleId="IMTOC">
    <w:name w:val="IMTOC"/>
    <w:rsid w:val="00DB5E1B"/>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DB5E1B"/>
    <w:pPr>
      <w:spacing w:after="240"/>
    </w:pPr>
    <w:rPr>
      <w:rFonts w:ascii="Arial" w:hAnsi="Arial" w:cs="Arial"/>
      <w:b/>
      <w:sz w:val="32"/>
      <w:szCs w:val="20"/>
    </w:rPr>
  </w:style>
  <w:style w:type="paragraph" w:customStyle="1" w:styleId="MemoLine">
    <w:name w:val="Memo Line"/>
    <w:basedOn w:val="BlockLine"/>
    <w:next w:val="Normal"/>
    <w:rsid w:val="00DB5E1B"/>
    <w:pPr>
      <w:ind w:left="0"/>
    </w:pPr>
  </w:style>
  <w:style w:type="paragraph" w:customStyle="1" w:styleId="NoteText">
    <w:name w:val="Note Text"/>
    <w:basedOn w:val="Normal"/>
    <w:rsid w:val="00DB5E1B"/>
    <w:rPr>
      <w:szCs w:val="20"/>
    </w:rPr>
  </w:style>
  <w:style w:type="paragraph" w:customStyle="1" w:styleId="PublicationTitle">
    <w:name w:val="Publication Title"/>
    <w:basedOn w:val="Normal"/>
    <w:next w:val="Heading4"/>
    <w:rsid w:val="00DB5E1B"/>
    <w:pPr>
      <w:spacing w:after="240"/>
      <w:jc w:val="center"/>
    </w:pPr>
    <w:rPr>
      <w:rFonts w:ascii="Arial" w:hAnsi="Arial" w:cs="Arial"/>
      <w:b/>
      <w:sz w:val="32"/>
      <w:szCs w:val="20"/>
    </w:rPr>
  </w:style>
  <w:style w:type="table" w:styleId="TableGrid">
    <w:name w:val="Table Grid"/>
    <w:basedOn w:val="TableNormal"/>
    <w:rsid w:val="00DB5E1B"/>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B5E1B"/>
    <w:pPr>
      <w:jc w:val="center"/>
    </w:pPr>
    <w:rPr>
      <w:b/>
      <w:szCs w:val="20"/>
    </w:rPr>
  </w:style>
  <w:style w:type="paragraph" w:customStyle="1" w:styleId="TableText">
    <w:name w:val="Table Text"/>
    <w:basedOn w:val="Normal"/>
    <w:qFormat/>
    <w:rsid w:val="00DB5E1B"/>
    <w:rPr>
      <w:szCs w:val="20"/>
    </w:rPr>
  </w:style>
  <w:style w:type="paragraph" w:customStyle="1" w:styleId="TOCTitle">
    <w:name w:val="TOC Title"/>
    <w:basedOn w:val="Normal"/>
    <w:rsid w:val="00DB5E1B"/>
    <w:pPr>
      <w:widowControl w:val="0"/>
    </w:pPr>
    <w:rPr>
      <w:rFonts w:ascii="Arial" w:hAnsi="Arial" w:cs="Arial"/>
      <w:b/>
      <w:sz w:val="32"/>
      <w:szCs w:val="20"/>
    </w:rPr>
  </w:style>
  <w:style w:type="paragraph" w:customStyle="1" w:styleId="TOCItem">
    <w:name w:val="TOCItem"/>
    <w:basedOn w:val="Normal"/>
    <w:rsid w:val="00DB5E1B"/>
    <w:pPr>
      <w:tabs>
        <w:tab w:val="left" w:leader="dot" w:pos="7061"/>
        <w:tab w:val="right" w:pos="7524"/>
      </w:tabs>
      <w:spacing w:before="60" w:after="60"/>
      <w:ind w:right="465"/>
    </w:pPr>
    <w:rPr>
      <w:szCs w:val="20"/>
    </w:rPr>
  </w:style>
  <w:style w:type="paragraph" w:customStyle="1" w:styleId="TOCStem">
    <w:name w:val="TOCStem"/>
    <w:basedOn w:val="Normal"/>
    <w:rsid w:val="00DB5E1B"/>
    <w:rPr>
      <w:szCs w:val="20"/>
    </w:rPr>
  </w:style>
  <w:style w:type="paragraph" w:styleId="ListParagraph">
    <w:name w:val="List Paragraph"/>
    <w:basedOn w:val="Normal"/>
    <w:uiPriority w:val="34"/>
    <w:qFormat/>
    <w:rsid w:val="00DB5E1B"/>
    <w:pPr>
      <w:ind w:left="720"/>
      <w:contextualSpacing/>
    </w:pPr>
  </w:style>
  <w:style w:type="character" w:styleId="FollowedHyperlink">
    <w:name w:val="FollowedHyperlink"/>
    <w:rsid w:val="00DB5E1B"/>
    <w:rPr>
      <w:color w:val="800080"/>
      <w:u w:val="single"/>
    </w:rPr>
  </w:style>
  <w:style w:type="character" w:styleId="Hyperlink">
    <w:name w:val="Hyperlink"/>
    <w:uiPriority w:val="99"/>
    <w:rsid w:val="00DB5E1B"/>
    <w:rPr>
      <w:color w:val="0000FF"/>
      <w:u w:val="single"/>
    </w:rPr>
  </w:style>
  <w:style w:type="paragraph" w:styleId="TOC3">
    <w:name w:val="toc 3"/>
    <w:basedOn w:val="Normal"/>
    <w:next w:val="Normal"/>
    <w:autoRedefine/>
    <w:uiPriority w:val="39"/>
    <w:rsid w:val="00DB5E1B"/>
    <w:pPr>
      <w:ind w:left="480"/>
    </w:pPr>
  </w:style>
  <w:style w:type="paragraph" w:styleId="TOC4">
    <w:name w:val="toc 4"/>
    <w:basedOn w:val="Normal"/>
    <w:next w:val="Normal"/>
    <w:autoRedefine/>
    <w:uiPriority w:val="39"/>
    <w:rsid w:val="00DB5E1B"/>
    <w:pPr>
      <w:ind w:left="720"/>
    </w:pPr>
  </w:style>
  <w:style w:type="paragraph" w:styleId="CommentSubject">
    <w:name w:val="annotation subject"/>
    <w:basedOn w:val="CommentText"/>
    <w:next w:val="CommentText"/>
    <w:link w:val="CommentSubjectChar"/>
    <w:uiPriority w:val="99"/>
    <w:semiHidden/>
    <w:unhideWhenUsed/>
    <w:rsid w:val="00C1205A"/>
    <w:rPr>
      <w:b/>
      <w:bCs/>
    </w:rPr>
  </w:style>
  <w:style w:type="character" w:customStyle="1" w:styleId="CommentSubjectChar">
    <w:name w:val="Comment Subject Char"/>
    <w:basedOn w:val="CommentTextChar"/>
    <w:link w:val="CommentSubject"/>
    <w:uiPriority w:val="99"/>
    <w:semiHidden/>
    <w:rsid w:val="00C1205A"/>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1B"/>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DB5E1B"/>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B5E1B"/>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B5E1B"/>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B5E1B"/>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B5E1B"/>
    <w:pPr>
      <w:outlineLvl w:val="4"/>
    </w:pPr>
    <w:rPr>
      <w:b/>
      <w:sz w:val="22"/>
      <w:szCs w:val="20"/>
    </w:rPr>
  </w:style>
  <w:style w:type="paragraph" w:styleId="Heading6">
    <w:name w:val="heading 6"/>
    <w:aliases w:val="Sub Label"/>
    <w:basedOn w:val="Heading5"/>
    <w:next w:val="BlockText"/>
    <w:link w:val="Heading6Char"/>
    <w:rsid w:val="00DB5E1B"/>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E1B"/>
    <w:pPr>
      <w:tabs>
        <w:tab w:val="center" w:pos="4680"/>
        <w:tab w:val="right" w:pos="9360"/>
      </w:tabs>
    </w:pPr>
    <w:rPr>
      <w:sz w:val="20"/>
    </w:rPr>
  </w:style>
  <w:style w:type="character" w:customStyle="1" w:styleId="HeaderChar">
    <w:name w:val="Header Char"/>
    <w:link w:val="Header"/>
    <w:rsid w:val="00DB5E1B"/>
    <w:rPr>
      <w:rFonts w:ascii="Times New Roman" w:eastAsia="Times New Roman" w:hAnsi="Times New Roman" w:cs="Times New Roman"/>
      <w:color w:val="000000"/>
      <w:sz w:val="20"/>
      <w:szCs w:val="24"/>
    </w:rPr>
  </w:style>
  <w:style w:type="paragraph" w:styleId="Footer">
    <w:name w:val="footer"/>
    <w:basedOn w:val="Normal"/>
    <w:link w:val="FooterChar"/>
    <w:rsid w:val="00DB5E1B"/>
    <w:pPr>
      <w:tabs>
        <w:tab w:val="center" w:pos="4680"/>
        <w:tab w:val="right" w:pos="9360"/>
      </w:tabs>
    </w:pPr>
    <w:rPr>
      <w:sz w:val="20"/>
    </w:rPr>
  </w:style>
  <w:style w:type="character" w:customStyle="1" w:styleId="FooterChar">
    <w:name w:val="Footer Char"/>
    <w:link w:val="Footer"/>
    <w:rsid w:val="00DB5E1B"/>
    <w:rPr>
      <w:rFonts w:ascii="Times New Roman" w:eastAsia="Times New Roman" w:hAnsi="Times New Roman" w:cs="Times New Roman"/>
      <w:color w:val="000000"/>
      <w:sz w:val="20"/>
      <w:szCs w:val="24"/>
    </w:rPr>
  </w:style>
  <w:style w:type="paragraph" w:styleId="CommentText">
    <w:name w:val="annotation text"/>
    <w:basedOn w:val="Normal"/>
    <w:link w:val="CommentTextChar"/>
    <w:uiPriority w:val="99"/>
    <w:semiHidden/>
    <w:unhideWhenUsed/>
    <w:rsid w:val="006013C8"/>
    <w:rPr>
      <w:sz w:val="20"/>
      <w:szCs w:val="20"/>
    </w:rPr>
  </w:style>
  <w:style w:type="character" w:customStyle="1" w:styleId="CommentTextChar">
    <w:name w:val="Comment Text Char"/>
    <w:basedOn w:val="DefaultParagraphFont"/>
    <w:link w:val="CommentText"/>
    <w:uiPriority w:val="99"/>
    <w:semiHidden/>
    <w:rsid w:val="006013C8"/>
    <w:rPr>
      <w:sz w:val="20"/>
      <w:szCs w:val="20"/>
    </w:rPr>
  </w:style>
  <w:style w:type="paragraph" w:customStyle="1" w:styleId="BulletText1">
    <w:name w:val="Bullet Text 1"/>
    <w:basedOn w:val="Normal"/>
    <w:qFormat/>
    <w:rsid w:val="00DB5E1B"/>
    <w:pPr>
      <w:numPr>
        <w:numId w:val="2"/>
      </w:numPr>
    </w:pPr>
    <w:rPr>
      <w:szCs w:val="20"/>
    </w:rPr>
  </w:style>
  <w:style w:type="character" w:styleId="PageNumber">
    <w:name w:val="page number"/>
    <w:basedOn w:val="DefaultParagraphFont"/>
    <w:semiHidden/>
    <w:rsid w:val="006013C8"/>
  </w:style>
  <w:style w:type="character" w:styleId="CommentReference">
    <w:name w:val="annotation reference"/>
    <w:basedOn w:val="DefaultParagraphFont"/>
    <w:semiHidden/>
    <w:rsid w:val="006013C8"/>
    <w:rPr>
      <w:sz w:val="16"/>
    </w:rPr>
  </w:style>
  <w:style w:type="paragraph" w:styleId="BalloonText">
    <w:name w:val="Balloon Text"/>
    <w:basedOn w:val="Normal"/>
    <w:link w:val="BalloonTextChar"/>
    <w:semiHidden/>
    <w:rsid w:val="00DB5E1B"/>
    <w:rPr>
      <w:rFonts w:ascii="Tahoma" w:hAnsi="Tahoma" w:cs="Tahoma"/>
      <w:sz w:val="16"/>
      <w:szCs w:val="16"/>
    </w:rPr>
  </w:style>
  <w:style w:type="character" w:customStyle="1" w:styleId="BalloonTextChar">
    <w:name w:val="Balloon Text Char"/>
    <w:basedOn w:val="DefaultParagraphFont"/>
    <w:link w:val="BalloonText"/>
    <w:semiHidden/>
    <w:rsid w:val="006013C8"/>
    <w:rPr>
      <w:rFonts w:ascii="Tahoma" w:eastAsia="Times New Roman" w:hAnsi="Tahoma" w:cs="Tahoma"/>
      <w:color w:val="000000"/>
      <w:sz w:val="16"/>
      <w:szCs w:val="16"/>
    </w:rPr>
  </w:style>
  <w:style w:type="character" w:customStyle="1" w:styleId="Heading1Char">
    <w:name w:val="Heading 1 Char"/>
    <w:aliases w:val="Part Title Char"/>
    <w:basedOn w:val="DefaultParagraphFont"/>
    <w:link w:val="Heading1"/>
    <w:rsid w:val="00DB5E1B"/>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DB5E1B"/>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DB5E1B"/>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DB5E1B"/>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DB5E1B"/>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DB5E1B"/>
    <w:rPr>
      <w:rFonts w:ascii="Times New Roman" w:eastAsia="Times New Roman" w:hAnsi="Times New Roman" w:cs="Times New Roman"/>
      <w:b/>
      <w:i/>
      <w:color w:val="000000"/>
      <w:szCs w:val="20"/>
    </w:rPr>
  </w:style>
  <w:style w:type="paragraph" w:customStyle="1" w:styleId="BlockLine">
    <w:name w:val="Block Line"/>
    <w:basedOn w:val="Normal"/>
    <w:next w:val="Normal"/>
    <w:rsid w:val="00DB5E1B"/>
    <w:pPr>
      <w:pBdr>
        <w:top w:val="single" w:sz="6" w:space="1" w:color="000000"/>
        <w:between w:val="single" w:sz="6" w:space="1" w:color="auto"/>
      </w:pBdr>
      <w:spacing w:before="240"/>
      <w:ind w:left="1728"/>
    </w:pPr>
    <w:rPr>
      <w:szCs w:val="20"/>
    </w:rPr>
  </w:style>
  <w:style w:type="paragraph" w:styleId="BlockText">
    <w:name w:val="Block Text"/>
    <w:basedOn w:val="Normal"/>
    <w:qFormat/>
    <w:rsid w:val="00DB5E1B"/>
  </w:style>
  <w:style w:type="paragraph" w:customStyle="1" w:styleId="BulletText2">
    <w:name w:val="Bullet Text 2"/>
    <w:basedOn w:val="Normal"/>
    <w:rsid w:val="00DB5E1B"/>
    <w:pPr>
      <w:numPr>
        <w:numId w:val="3"/>
      </w:numPr>
      <w:ind w:left="346"/>
    </w:pPr>
    <w:rPr>
      <w:szCs w:val="20"/>
    </w:rPr>
  </w:style>
  <w:style w:type="paragraph" w:customStyle="1" w:styleId="BulletText3">
    <w:name w:val="Bullet Text 3"/>
    <w:basedOn w:val="Normal"/>
    <w:rsid w:val="00DB5E1B"/>
    <w:pPr>
      <w:numPr>
        <w:numId w:val="4"/>
      </w:numPr>
      <w:ind w:left="518"/>
    </w:pPr>
    <w:rPr>
      <w:szCs w:val="20"/>
    </w:rPr>
  </w:style>
  <w:style w:type="paragraph" w:customStyle="1" w:styleId="ContinuedBlockLabel">
    <w:name w:val="Continued Block Label"/>
    <w:basedOn w:val="Normal"/>
    <w:next w:val="Normal"/>
    <w:rsid w:val="00DB5E1B"/>
    <w:pPr>
      <w:spacing w:after="240"/>
    </w:pPr>
    <w:rPr>
      <w:b/>
      <w:sz w:val="22"/>
      <w:szCs w:val="20"/>
    </w:rPr>
  </w:style>
  <w:style w:type="paragraph" w:customStyle="1" w:styleId="ContinuedOnNextPa">
    <w:name w:val="Continued On Next Pa"/>
    <w:basedOn w:val="Normal"/>
    <w:next w:val="Normal"/>
    <w:rsid w:val="00DB5E1B"/>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B5E1B"/>
    <w:pPr>
      <w:spacing w:after="240"/>
    </w:pPr>
    <w:rPr>
      <w:b/>
      <w:sz w:val="22"/>
      <w:szCs w:val="20"/>
    </w:rPr>
  </w:style>
  <w:style w:type="paragraph" w:customStyle="1" w:styleId="EmbeddedText">
    <w:name w:val="Embedded Text"/>
    <w:basedOn w:val="Normal"/>
    <w:rsid w:val="00DB5E1B"/>
    <w:rPr>
      <w:szCs w:val="20"/>
    </w:rPr>
  </w:style>
  <w:style w:type="character" w:styleId="HTMLAcronym">
    <w:name w:val="HTML Acronym"/>
    <w:basedOn w:val="DefaultParagraphFont"/>
    <w:rsid w:val="00DB5E1B"/>
  </w:style>
  <w:style w:type="paragraph" w:customStyle="1" w:styleId="IMTOC">
    <w:name w:val="IMTOC"/>
    <w:rsid w:val="00DB5E1B"/>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DB5E1B"/>
    <w:pPr>
      <w:spacing w:after="240"/>
    </w:pPr>
    <w:rPr>
      <w:rFonts w:ascii="Arial" w:hAnsi="Arial" w:cs="Arial"/>
      <w:b/>
      <w:sz w:val="32"/>
      <w:szCs w:val="20"/>
    </w:rPr>
  </w:style>
  <w:style w:type="paragraph" w:customStyle="1" w:styleId="MemoLine">
    <w:name w:val="Memo Line"/>
    <w:basedOn w:val="BlockLine"/>
    <w:next w:val="Normal"/>
    <w:rsid w:val="00DB5E1B"/>
    <w:pPr>
      <w:ind w:left="0"/>
    </w:pPr>
  </w:style>
  <w:style w:type="paragraph" w:customStyle="1" w:styleId="NoteText">
    <w:name w:val="Note Text"/>
    <w:basedOn w:val="Normal"/>
    <w:rsid w:val="00DB5E1B"/>
    <w:rPr>
      <w:szCs w:val="20"/>
    </w:rPr>
  </w:style>
  <w:style w:type="paragraph" w:customStyle="1" w:styleId="PublicationTitle">
    <w:name w:val="Publication Title"/>
    <w:basedOn w:val="Normal"/>
    <w:next w:val="Heading4"/>
    <w:rsid w:val="00DB5E1B"/>
    <w:pPr>
      <w:spacing w:after="240"/>
      <w:jc w:val="center"/>
    </w:pPr>
    <w:rPr>
      <w:rFonts w:ascii="Arial" w:hAnsi="Arial" w:cs="Arial"/>
      <w:b/>
      <w:sz w:val="32"/>
      <w:szCs w:val="20"/>
    </w:rPr>
  </w:style>
  <w:style w:type="table" w:styleId="TableGrid">
    <w:name w:val="Table Grid"/>
    <w:basedOn w:val="TableNormal"/>
    <w:rsid w:val="00DB5E1B"/>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B5E1B"/>
    <w:pPr>
      <w:jc w:val="center"/>
    </w:pPr>
    <w:rPr>
      <w:b/>
      <w:szCs w:val="20"/>
    </w:rPr>
  </w:style>
  <w:style w:type="paragraph" w:customStyle="1" w:styleId="TableText">
    <w:name w:val="Table Text"/>
    <w:basedOn w:val="Normal"/>
    <w:qFormat/>
    <w:rsid w:val="00DB5E1B"/>
    <w:rPr>
      <w:szCs w:val="20"/>
    </w:rPr>
  </w:style>
  <w:style w:type="paragraph" w:customStyle="1" w:styleId="TOCTitle">
    <w:name w:val="TOC Title"/>
    <w:basedOn w:val="Normal"/>
    <w:rsid w:val="00DB5E1B"/>
    <w:pPr>
      <w:widowControl w:val="0"/>
    </w:pPr>
    <w:rPr>
      <w:rFonts w:ascii="Arial" w:hAnsi="Arial" w:cs="Arial"/>
      <w:b/>
      <w:sz w:val="32"/>
      <w:szCs w:val="20"/>
    </w:rPr>
  </w:style>
  <w:style w:type="paragraph" w:customStyle="1" w:styleId="TOCItem">
    <w:name w:val="TOCItem"/>
    <w:basedOn w:val="Normal"/>
    <w:rsid w:val="00DB5E1B"/>
    <w:pPr>
      <w:tabs>
        <w:tab w:val="left" w:leader="dot" w:pos="7061"/>
        <w:tab w:val="right" w:pos="7524"/>
      </w:tabs>
      <w:spacing w:before="60" w:after="60"/>
      <w:ind w:right="465"/>
    </w:pPr>
    <w:rPr>
      <w:szCs w:val="20"/>
    </w:rPr>
  </w:style>
  <w:style w:type="paragraph" w:customStyle="1" w:styleId="TOCStem">
    <w:name w:val="TOCStem"/>
    <w:basedOn w:val="Normal"/>
    <w:rsid w:val="00DB5E1B"/>
    <w:rPr>
      <w:szCs w:val="20"/>
    </w:rPr>
  </w:style>
  <w:style w:type="paragraph" w:styleId="ListParagraph">
    <w:name w:val="List Paragraph"/>
    <w:basedOn w:val="Normal"/>
    <w:uiPriority w:val="34"/>
    <w:qFormat/>
    <w:rsid w:val="00DB5E1B"/>
    <w:pPr>
      <w:ind w:left="720"/>
      <w:contextualSpacing/>
    </w:pPr>
  </w:style>
  <w:style w:type="character" w:styleId="FollowedHyperlink">
    <w:name w:val="FollowedHyperlink"/>
    <w:rsid w:val="00DB5E1B"/>
    <w:rPr>
      <w:color w:val="800080"/>
      <w:u w:val="single"/>
    </w:rPr>
  </w:style>
  <w:style w:type="character" w:styleId="Hyperlink">
    <w:name w:val="Hyperlink"/>
    <w:uiPriority w:val="99"/>
    <w:rsid w:val="00DB5E1B"/>
    <w:rPr>
      <w:color w:val="0000FF"/>
      <w:u w:val="single"/>
    </w:rPr>
  </w:style>
  <w:style w:type="paragraph" w:styleId="TOC3">
    <w:name w:val="toc 3"/>
    <w:basedOn w:val="Normal"/>
    <w:next w:val="Normal"/>
    <w:autoRedefine/>
    <w:uiPriority w:val="39"/>
    <w:rsid w:val="00DB5E1B"/>
    <w:pPr>
      <w:ind w:left="480"/>
    </w:pPr>
  </w:style>
  <w:style w:type="paragraph" w:styleId="TOC4">
    <w:name w:val="toc 4"/>
    <w:basedOn w:val="Normal"/>
    <w:next w:val="Normal"/>
    <w:autoRedefine/>
    <w:uiPriority w:val="39"/>
    <w:rsid w:val="00DB5E1B"/>
    <w:pPr>
      <w:ind w:left="720"/>
    </w:pPr>
  </w:style>
  <w:style w:type="paragraph" w:styleId="CommentSubject">
    <w:name w:val="annotation subject"/>
    <w:basedOn w:val="CommentText"/>
    <w:next w:val="CommentText"/>
    <w:link w:val="CommentSubjectChar"/>
    <w:uiPriority w:val="99"/>
    <w:semiHidden/>
    <w:unhideWhenUsed/>
    <w:rsid w:val="00C1205A"/>
    <w:rPr>
      <w:b/>
      <w:bCs/>
    </w:rPr>
  </w:style>
  <w:style w:type="character" w:customStyle="1" w:styleId="CommentSubjectChar">
    <w:name w:val="Comment Subject Char"/>
    <w:basedOn w:val="CommentTextChar"/>
    <w:link w:val="CommentSubject"/>
    <w:uiPriority w:val="99"/>
    <w:semiHidden/>
    <w:rsid w:val="00C1205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rms.vba.va.gov/regs/38CFR/BOOKB/PART3/S3_216.DOC" TargetMode="External"/><Relationship Id="rId18" Type="http://schemas.openxmlformats.org/officeDocument/2006/relationships/hyperlink" Target="http://www.warms.vba.va.gov/regs/38cfr/bookb/part3/s3_55.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vbaw.vba.va.gov/bl/21/systems/docs/Corporate%20Trouble%20Ticket%20Request.doc" TargetMode="External"/><Relationship Id="rId7" Type="http://schemas.microsoft.com/office/2007/relationships/stylesWithEffects" Target="stylesWithEffects.xml"/><Relationship Id="rId12" Type="http://schemas.openxmlformats.org/officeDocument/2006/relationships/hyperlink" Target="imi-internal:M21-1MRX.6.2" TargetMode="External"/><Relationship Id="rId17" Type="http://schemas.openxmlformats.org/officeDocument/2006/relationships/hyperlink" Target="http://www.warms.vba.va.gov/regs/38CFR/BOOKB/PART3/S3_272.DO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arms.vba.va.gov/regs/38CFR/BOOKB/PART3/S3_700.DOC" TargetMode="External"/><Relationship Id="rId20" Type="http://schemas.openxmlformats.org/officeDocument/2006/relationships/hyperlink" Target="imi-internal:m21-1mrx.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rms.vba.va.gov/admin21/m21_1/part2/ch06.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imi-internal:M21-1MR.III.ii.4.D.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rms.vba.va.gov/regs/38CFR/BOOKB/PART3/S3_500.DOC"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61F2-C1D0-4028-9146-653CAF87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A2536-62F7-49D4-B31A-20010BE2AEBC}">
  <ds:schemaRefs>
    <ds:schemaRef ds:uri="http://schemas.microsoft.com/sharepoint/v3/contenttype/forms"/>
  </ds:schemaRefs>
</ds:datastoreItem>
</file>

<file path=customXml/itemProps3.xml><?xml version="1.0" encoding="utf-8"?>
<ds:datastoreItem xmlns:ds="http://schemas.openxmlformats.org/officeDocument/2006/customXml" ds:itemID="{F6DBB786-CA82-43E4-B88E-2BAA211048CA}">
  <ds:schemaRefs>
    <ds:schemaRef ds:uri="http://purl.org/dc/elements/1.1/"/>
    <ds:schemaRef ds:uri="http://www.w3.org/XML/1998/namespace"/>
    <ds:schemaRef ds:uri="http://schemas.openxmlformats.org/package/2006/metadata/core-properties"/>
    <ds:schemaRef ds:uri="http://purl.org/dc/terms/"/>
    <ds:schemaRef ds:uri="b438dcf7-3998-4283-b7fc-0ec6fa8e430f"/>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5CB2EBA-08B4-4DED-A5F7-0F354AA0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91</TotalTime>
  <Pages>10</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Semiannual Review of Potential Duplicate Payment Cases (US Department of Veterans Affairs)</vt:lpstr>
    </vt:vector>
  </TitlesOfParts>
  <Company>Dept. of Veterans Affairs</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Review of Potential Duplicate Payment Cases (US Department of Veterans Affairs)</dc:title>
  <dc:subject>DUPC</dc:subject>
  <dc:creator>Jimison, Nora, VBAVACO</dc:creator>
  <cp:keywords>DUPC; duplicate claims; duplicate payment; duplicate payments; claims assistants; CA</cp:keywords>
  <dc:description>Provides claims assitants instructions on what to do when faced with duplicante claims for the same Veteran</dc:description>
  <cp:lastModifiedBy>Amy Hamma</cp:lastModifiedBy>
  <cp:revision>13</cp:revision>
  <dcterms:created xsi:type="dcterms:W3CDTF">2014-10-26T20:24:00Z</dcterms:created>
  <dcterms:modified xsi:type="dcterms:W3CDTF">2015-03-07T17:01:00Z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vt:lpwstr>
  </property>
  <property fmtid="{D5CDD505-2E9C-101B-9397-08002B2CF9AE}" pid="3" name="DateCreated">
    <vt:lpwstr>20140711</vt:lpwstr>
  </property>
  <property fmtid="{D5CDD505-2E9C-101B-9397-08002B2CF9AE}" pid="4" name="Language">
    <vt:lpwstr>en</vt:lpwstr>
  </property>
  <property fmtid="{D5CDD505-2E9C-101B-9397-08002B2CF9AE}" pid="5" name="Type">
    <vt:lpwstr>Manual</vt:lpwstr>
  </property>
  <property fmtid="{D5CDD505-2E9C-101B-9397-08002B2CF9AE}" pid="6" name="DateReviewed">
    <vt:lpwstr>20140711</vt:lpwstr>
  </property>
  <property fmtid="{D5CDD505-2E9C-101B-9397-08002B2CF9AE}" pid="7" name="REFERENCECODE">
    <vt:lpwstr>X.6</vt:lpwstr>
  </property>
  <property fmtid="{D5CDD505-2E9C-101B-9397-08002B2CF9AE}" pid="8" name="ContentTypeId">
    <vt:lpwstr>0x010100A3776AF772BF364D8E899CBB1EA8E540</vt:lpwstr>
  </property>
</Properties>
</file>