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27A7" w14:textId="2CF87095" w:rsidR="00504F80" w:rsidRPr="00656E26" w:rsidRDefault="003E7D95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</w:t>
      </w:r>
      <w:r w:rsidRPr="00656E26">
        <w:rPr>
          <w:rFonts w:ascii="Times New Roman" w:hAnsi="Times New Roman"/>
          <w:sz w:val="20"/>
        </w:rPr>
        <w:t xml:space="preserve">Affairs                                                                             </w:t>
      </w:r>
      <w:r w:rsidR="00656E26">
        <w:rPr>
          <w:rFonts w:ascii="Times New Roman" w:hAnsi="Times New Roman"/>
          <w:sz w:val="20"/>
        </w:rPr>
        <w:t xml:space="preserve">            </w:t>
      </w:r>
      <w:bookmarkStart w:id="0" w:name="_GoBack"/>
      <w:bookmarkEnd w:id="0"/>
      <w:r w:rsidRPr="00656E26">
        <w:rPr>
          <w:rFonts w:ascii="Times New Roman" w:hAnsi="Times New Roman"/>
          <w:sz w:val="20"/>
        </w:rPr>
        <w:t xml:space="preserve"> M21-1</w:t>
      </w:r>
      <w:r w:rsidR="00504F80" w:rsidRPr="00656E26">
        <w:rPr>
          <w:rFonts w:ascii="Times New Roman" w:hAnsi="Times New Roman"/>
          <w:sz w:val="20"/>
        </w:rPr>
        <w:t xml:space="preserve">, Part </w:t>
      </w:r>
      <w:r w:rsidR="001E28EA" w:rsidRPr="00656E26">
        <w:rPr>
          <w:rFonts w:ascii="Times New Roman" w:hAnsi="Times New Roman"/>
          <w:sz w:val="20"/>
        </w:rPr>
        <w:t>I, Chapter 5</w:t>
      </w:r>
      <w:r w:rsidRPr="00656E26">
        <w:rPr>
          <w:rFonts w:ascii="Times New Roman" w:hAnsi="Times New Roman"/>
          <w:sz w:val="20"/>
        </w:rPr>
        <w:t xml:space="preserve">  </w:t>
      </w:r>
    </w:p>
    <w:p w14:paraId="749916AB" w14:textId="36A32CBF" w:rsidR="00504F80" w:rsidRDefault="00504F80" w:rsidP="00504F80">
      <w:pPr>
        <w:rPr>
          <w:b/>
          <w:bCs/>
          <w:sz w:val="20"/>
        </w:rPr>
      </w:pPr>
      <w:r w:rsidRPr="00656E26">
        <w:rPr>
          <w:b/>
          <w:bCs/>
          <w:sz w:val="20"/>
        </w:rPr>
        <w:t>Veterans Benefits Administration</w:t>
      </w:r>
      <w:r w:rsidRPr="00656E26">
        <w:rPr>
          <w:b/>
          <w:bCs/>
          <w:sz w:val="20"/>
        </w:rPr>
        <w:tab/>
      </w:r>
      <w:r w:rsidRPr="00656E26">
        <w:rPr>
          <w:b/>
          <w:bCs/>
          <w:sz w:val="20"/>
        </w:rPr>
        <w:tab/>
      </w:r>
      <w:r w:rsidRPr="00656E26">
        <w:rPr>
          <w:b/>
          <w:bCs/>
          <w:sz w:val="20"/>
        </w:rPr>
        <w:tab/>
      </w:r>
      <w:r w:rsidRPr="00656E26">
        <w:rPr>
          <w:b/>
          <w:bCs/>
          <w:sz w:val="20"/>
        </w:rPr>
        <w:tab/>
      </w:r>
      <w:r w:rsidRPr="00656E26">
        <w:rPr>
          <w:b/>
          <w:bCs/>
          <w:sz w:val="20"/>
        </w:rPr>
        <w:tab/>
      </w:r>
      <w:r w:rsidRPr="00656E26">
        <w:rPr>
          <w:b/>
          <w:bCs/>
          <w:sz w:val="20"/>
        </w:rPr>
        <w:tab/>
        <w:t xml:space="preserve">                                    </w:t>
      </w:r>
      <w:r w:rsidR="00656E26">
        <w:rPr>
          <w:b/>
          <w:bCs/>
          <w:sz w:val="20"/>
        </w:rPr>
        <w:t>June 5, 2015</w:t>
      </w:r>
      <w:r>
        <w:rPr>
          <w:b/>
          <w:bCs/>
          <w:sz w:val="20"/>
        </w:rPr>
        <w:tab/>
      </w:r>
    </w:p>
    <w:p w14:paraId="300798A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E7731BB" w14:textId="77777777" w:rsidR="00504F80" w:rsidRDefault="00504F80" w:rsidP="00504F80">
      <w:pPr>
        <w:rPr>
          <w:b/>
          <w:bCs/>
          <w:sz w:val="20"/>
        </w:rPr>
      </w:pPr>
    </w:p>
    <w:p w14:paraId="2DBB9339" w14:textId="77777777" w:rsidR="00504F80" w:rsidRDefault="00504F80" w:rsidP="00504F80">
      <w:pPr>
        <w:pStyle w:val="Heading4"/>
      </w:pPr>
      <w:r>
        <w:t xml:space="preserve">Transmittal Sheet </w:t>
      </w:r>
    </w:p>
    <w:p w14:paraId="100BC5B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9D25003" w14:textId="77777777" w:rsidTr="00C24D50">
        <w:tc>
          <w:tcPr>
            <w:tcW w:w="1728" w:type="dxa"/>
          </w:tcPr>
          <w:p w14:paraId="2EAC559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45D7653" w14:textId="34DB4BEE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3E7D95">
              <w:t>Veterans Benefits Manual M21-1</w:t>
            </w:r>
            <w:r>
              <w:t xml:space="preserve">, Part </w:t>
            </w:r>
            <w:r w:rsidR="001E28EA">
              <w:t>I</w:t>
            </w:r>
            <w:r>
              <w:t>, “</w:t>
            </w:r>
            <w:r w:rsidR="001E28EA">
              <w:t>Appeals,</w:t>
            </w:r>
            <w:proofErr w:type="gramStart"/>
            <w:r w:rsidR="001E28EA">
              <w:t>” Chapter 5</w:t>
            </w:r>
            <w:r>
              <w:t xml:space="preserve"> “</w:t>
            </w:r>
            <w:r w:rsidR="001E28EA">
              <w:t>Decision</w:t>
            </w:r>
            <w:proofErr w:type="gramEnd"/>
            <w:r w:rsidR="001E28EA">
              <w:t xml:space="preserve"> Review Office</w:t>
            </w:r>
            <w:r w:rsidR="00BD1E1E">
              <w:t>r</w:t>
            </w:r>
            <w:r w:rsidR="001E28EA">
              <w:t xml:space="preserve"> (DRO) Review Process.”</w:t>
            </w:r>
          </w:p>
          <w:p w14:paraId="3091258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B593136" w14:textId="77777777" w:rsidR="00504F80" w:rsidRDefault="00504F80" w:rsidP="007561DE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BFCC15A" w14:textId="591626BF" w:rsidR="00BD1E1E" w:rsidRDefault="00BD1E1E" w:rsidP="00513289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41D965B9" w14:textId="47BE566A" w:rsidR="00BD1E1E" w:rsidRDefault="00BD1E1E" w:rsidP="00513289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37C1D2EA" w14:textId="77777777" w:rsidR="00513289" w:rsidRDefault="00504F80" w:rsidP="00513289">
            <w:pPr>
              <w:pStyle w:val="BulletText1"/>
            </w:pPr>
            <w:r>
              <w:t>Mi</w:t>
            </w:r>
            <w:r w:rsidR="007561DE">
              <w:t xml:space="preserve">nor editorial changes have </w:t>
            </w:r>
            <w:r>
              <w:t xml:space="preserve">been made to </w:t>
            </w:r>
          </w:p>
          <w:p w14:paraId="21C51CD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21F163E4" w14:textId="77777777" w:rsidR="00504F80" w:rsidRDefault="00504F80" w:rsidP="001E28EA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4491E33E" w14:textId="77777777" w:rsidR="003E2CA2" w:rsidRDefault="00504F80" w:rsidP="004931F6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BC78AF4" w14:textId="77777777" w:rsidR="007561DE" w:rsidRDefault="007561DE" w:rsidP="004931F6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6C0605A9" w14:textId="77777777" w:rsidR="00BD1E1E" w:rsidRDefault="007561DE" w:rsidP="004931F6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212A8CC8" w14:textId="21494752" w:rsidR="007561DE" w:rsidRDefault="00BD1E1E" w:rsidP="004931F6">
            <w:pPr>
              <w:pStyle w:val="BulletText2"/>
              <w:tabs>
                <w:tab w:val="num" w:pos="547"/>
              </w:tabs>
            </w:pPr>
            <w:r>
              <w:t>clarify block labels and/or block text</w:t>
            </w:r>
            <w:r w:rsidR="007561DE">
              <w:t>, and</w:t>
            </w:r>
          </w:p>
          <w:p w14:paraId="78679BD6" w14:textId="5FB4F2F7" w:rsidR="00504F80" w:rsidRPr="00EA3A57" w:rsidRDefault="00504F80" w:rsidP="00BD1E1E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AB4367">
              <w:t>t into conformance with M21-1</w:t>
            </w:r>
            <w:r>
              <w:t xml:space="preserve"> standards</w:t>
            </w:r>
            <w:r w:rsidR="00BD1E1E">
              <w:t>.</w:t>
            </w:r>
          </w:p>
        </w:tc>
      </w:tr>
    </w:tbl>
    <w:p w14:paraId="545452E3" w14:textId="4C20391B" w:rsidR="00C24D50" w:rsidRDefault="00C24D50" w:rsidP="00C24D50"/>
    <w:tbl>
      <w:tblPr>
        <w:tblW w:w="8517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5"/>
        <w:gridCol w:w="2342"/>
      </w:tblGrid>
      <w:tr w:rsidR="002B27FC" w14:paraId="6AA50113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41FCB976" w14:textId="77777777" w:rsidR="002B27FC" w:rsidRPr="00C24D50" w:rsidRDefault="002B27FC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75" w:type="pct"/>
            <w:shd w:val="clear" w:color="auto" w:fill="auto"/>
          </w:tcPr>
          <w:p w14:paraId="1763CC65" w14:textId="77777777" w:rsidR="002B27FC" w:rsidRPr="00C24D50" w:rsidRDefault="002B27FC" w:rsidP="002F7397">
            <w:pPr>
              <w:pStyle w:val="TableHeaderText"/>
            </w:pPr>
            <w:r w:rsidRPr="00C24D50">
              <w:t>Citation</w:t>
            </w:r>
          </w:p>
        </w:tc>
      </w:tr>
      <w:tr w:rsidR="002B27FC" w14:paraId="765AE6CA" w14:textId="77777777" w:rsidTr="00BD1E1E">
        <w:trPr>
          <w:trHeight w:val="1708"/>
        </w:trPr>
        <w:tc>
          <w:tcPr>
            <w:tcW w:w="3625" w:type="pct"/>
            <w:tcBorders>
              <w:bottom w:val="single" w:sz="4" w:space="0" w:color="auto"/>
            </w:tcBorders>
            <w:shd w:val="clear" w:color="auto" w:fill="auto"/>
          </w:tcPr>
          <w:p w14:paraId="5727338E" w14:textId="70790FED" w:rsidR="00F26DF0" w:rsidRPr="00C24D50" w:rsidRDefault="00EB3385" w:rsidP="00825104">
            <w:pPr>
              <w:pStyle w:val="TableText"/>
            </w:pPr>
            <w:r>
              <w:t xml:space="preserve">To clarify in the table the </w:t>
            </w:r>
            <w:r w:rsidR="00D412D9">
              <w:t>decision review officer’s (DRO</w:t>
            </w:r>
            <w:r>
              <w:t>) duty to work with the appellant to identify and clarify issues under appeal.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5F1BFE1" w14:textId="77777777" w:rsidR="002B27FC" w:rsidRPr="00C24D50" w:rsidRDefault="002132F8" w:rsidP="002F7397">
            <w:pPr>
              <w:pStyle w:val="TableText"/>
            </w:pPr>
            <w:r>
              <w:t xml:space="preserve">M21-1, </w:t>
            </w:r>
            <w:r w:rsidR="002B27FC">
              <w:t xml:space="preserve">Part </w:t>
            </w:r>
            <w:r w:rsidR="00EB3385">
              <w:t>I, Chapter 5, Section C, Topic 1, Block a (I.5.C.1</w:t>
            </w:r>
            <w:r w:rsidR="002B27FC">
              <w:t>.a)</w:t>
            </w:r>
          </w:p>
        </w:tc>
      </w:tr>
      <w:tr w:rsidR="002B27FC" w14:paraId="5C29FD2E" w14:textId="77777777" w:rsidTr="00BD1E1E">
        <w:trPr>
          <w:trHeight w:val="750"/>
        </w:trPr>
        <w:tc>
          <w:tcPr>
            <w:tcW w:w="3625" w:type="pct"/>
            <w:shd w:val="clear" w:color="auto" w:fill="auto"/>
          </w:tcPr>
          <w:p w14:paraId="1854BB3C" w14:textId="584BA0D7" w:rsidR="002B27FC" w:rsidRPr="00C24D50" w:rsidRDefault="00D412D9" w:rsidP="00825104">
            <w:pPr>
              <w:pStyle w:val="TableText"/>
            </w:pPr>
            <w:r>
              <w:t>To delete old B</w:t>
            </w:r>
            <w:r w:rsidR="00EB3385">
              <w:t>lock a</w:t>
            </w:r>
            <w:r>
              <w:t xml:space="preserve"> due to relocation of appeal term definitions to I.5.A.1</w:t>
            </w:r>
            <w:r w:rsidR="00EB3385">
              <w:t>.</w:t>
            </w:r>
          </w:p>
        </w:tc>
        <w:tc>
          <w:tcPr>
            <w:tcW w:w="1375" w:type="pct"/>
            <w:shd w:val="clear" w:color="auto" w:fill="auto"/>
          </w:tcPr>
          <w:p w14:paraId="059FBD33" w14:textId="289AB853" w:rsidR="002B27FC" w:rsidRPr="00C24D50" w:rsidRDefault="00D412D9" w:rsidP="00EB3385">
            <w:pPr>
              <w:pStyle w:val="TableText"/>
            </w:pPr>
            <w:r>
              <w:t>I.5.C.2.a (old)</w:t>
            </w:r>
          </w:p>
        </w:tc>
      </w:tr>
      <w:tr w:rsidR="002B27FC" w14:paraId="53831AD8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51E2BBA1" w14:textId="77777777" w:rsidR="002B27FC" w:rsidRDefault="00EB3385" w:rsidP="00EB338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language in the table to evaluate evidence obtained during conferences.</w:t>
            </w:r>
          </w:p>
          <w:p w14:paraId="0244FB3D" w14:textId="77777777" w:rsidR="00EB3385" w:rsidRDefault="00EB3385" w:rsidP="00EB338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language in the table indicating that decisions must be made on the entire evidentiary record.</w:t>
            </w:r>
          </w:p>
          <w:p w14:paraId="2B670E48" w14:textId="77777777" w:rsidR="00EB3385" w:rsidRDefault="00EB3385" w:rsidP="00EB338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delete language in the table regarding the DRO’s duty to perform duties now assigned to Quality Review Teams (QRTs).</w:t>
            </w:r>
          </w:p>
          <w:p w14:paraId="2B9B9FB3" w14:textId="77777777" w:rsidR="00EB3385" w:rsidRDefault="00EB3385" w:rsidP="00EB338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clarify in the table the DRO’s duty to certify and coordinate the transfer of appeals to the Board of Veterans’ </w:t>
            </w:r>
            <w:r>
              <w:lastRenderedPageBreak/>
              <w:t>Appeals (BVA).</w:t>
            </w:r>
          </w:p>
          <w:p w14:paraId="0C4A61B5" w14:textId="77777777" w:rsidR="00EB3385" w:rsidRPr="00C24D50" w:rsidRDefault="00EB3385" w:rsidP="00EB338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reference regarding the definition of DRO.</w:t>
            </w:r>
          </w:p>
        </w:tc>
        <w:tc>
          <w:tcPr>
            <w:tcW w:w="1375" w:type="pct"/>
            <w:shd w:val="clear" w:color="auto" w:fill="auto"/>
          </w:tcPr>
          <w:p w14:paraId="1C9321C4" w14:textId="77777777" w:rsidR="002B27FC" w:rsidRPr="00C24D50" w:rsidRDefault="00825104" w:rsidP="00EB3385">
            <w:pPr>
              <w:pStyle w:val="TableText"/>
            </w:pPr>
            <w:r>
              <w:lastRenderedPageBreak/>
              <w:t xml:space="preserve"> </w:t>
            </w:r>
            <w:r w:rsidR="00EB3385">
              <w:t>I.5.C.2.a</w:t>
            </w:r>
          </w:p>
        </w:tc>
      </w:tr>
      <w:tr w:rsidR="00EB3385" w14:paraId="2F1D3125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67A9A49C" w14:textId="77777777" w:rsidR="00EB3385" w:rsidRDefault="00EB3385" w:rsidP="00EB338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lastRenderedPageBreak/>
              <w:t>To delete language in the table regarding Rating Veteran Service Representative (RVSR) duties.</w:t>
            </w:r>
          </w:p>
          <w:p w14:paraId="721CF432" w14:textId="77777777" w:rsidR="00EB3385" w:rsidRDefault="00EB3385" w:rsidP="00EB338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language in the table regarding which work credit a DRO receives for preparing a statement of the case (SOC) or for issuing a full grant of the benefits sought on appeal.</w:t>
            </w:r>
          </w:p>
          <w:p w14:paraId="5BD12836" w14:textId="77777777" w:rsidR="00EB3385" w:rsidRDefault="00EB3385" w:rsidP="00EB338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language in the table clarifying which work credit a DRO receives when an informal conference is held and no further action is required. </w:t>
            </w:r>
          </w:p>
          <w:p w14:paraId="020077D0" w14:textId="77777777" w:rsidR="00EB3385" w:rsidRDefault="00EB3385" w:rsidP="00EB338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a reference for the definition of </w:t>
            </w:r>
            <w:r>
              <w:rPr>
                <w:i/>
              </w:rPr>
              <w:t>de novo</w:t>
            </w:r>
            <w:r>
              <w:t xml:space="preserve"> review.</w:t>
            </w:r>
          </w:p>
        </w:tc>
        <w:tc>
          <w:tcPr>
            <w:tcW w:w="1375" w:type="pct"/>
            <w:shd w:val="clear" w:color="auto" w:fill="auto"/>
          </w:tcPr>
          <w:p w14:paraId="67011205" w14:textId="77777777" w:rsidR="00EB3385" w:rsidRDefault="00EB3385" w:rsidP="00EB3385">
            <w:pPr>
              <w:pStyle w:val="TableText"/>
            </w:pPr>
            <w:r>
              <w:t>I.5.C.2.d</w:t>
            </w:r>
          </w:p>
        </w:tc>
      </w:tr>
      <w:tr w:rsidR="00EB3385" w14:paraId="592B8ED0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0DF3356E" w14:textId="77777777" w:rsidR="00EB3385" w:rsidRDefault="00EB3385" w:rsidP="00EB3385">
            <w:r>
              <w:t>To add language clarifying when an acting DRO may be appointed.</w:t>
            </w:r>
          </w:p>
        </w:tc>
        <w:tc>
          <w:tcPr>
            <w:tcW w:w="1375" w:type="pct"/>
            <w:shd w:val="clear" w:color="auto" w:fill="auto"/>
          </w:tcPr>
          <w:p w14:paraId="46558065" w14:textId="2954FB03" w:rsidR="00EB3385" w:rsidRDefault="00D412D9" w:rsidP="00EB3385">
            <w:pPr>
              <w:pStyle w:val="TableText"/>
            </w:pPr>
            <w:r>
              <w:t>I.5.C.2.e</w:t>
            </w:r>
          </w:p>
        </w:tc>
      </w:tr>
      <w:tr w:rsidR="00EB3385" w14:paraId="1BFC276B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77129F85" w14:textId="77777777" w:rsidR="00EB3385" w:rsidRDefault="004D7B3F" w:rsidP="004D7B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remove duplicate language regarding DRO jurisdiction over rating issues </w:t>
            </w:r>
            <w:proofErr w:type="gramStart"/>
            <w:r>
              <w:t>raised</w:t>
            </w:r>
            <w:proofErr w:type="gramEnd"/>
            <w:r>
              <w:t xml:space="preserve"> during a hearing.</w:t>
            </w:r>
          </w:p>
          <w:p w14:paraId="207EA8FB" w14:textId="77777777" w:rsidR="004D7B3F" w:rsidRDefault="004D7B3F" w:rsidP="004D7B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language regarding DRO jurisdiction over benefits governed by 38 CFR Parts 3 and 4.</w:t>
            </w:r>
          </w:p>
          <w:p w14:paraId="36255BCF" w14:textId="77777777" w:rsidR="004D7B3F" w:rsidRDefault="004D7B3F" w:rsidP="004D7B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language regarding the requirement to address any issues that are inextricably intertwined with the issues under appeal.</w:t>
            </w:r>
          </w:p>
          <w:p w14:paraId="523FD7A2" w14:textId="77777777" w:rsidR="004D7B3F" w:rsidRDefault="004D7B3F" w:rsidP="004D7B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a reference to the definition of inextricably intertwined.</w:t>
            </w:r>
          </w:p>
        </w:tc>
        <w:tc>
          <w:tcPr>
            <w:tcW w:w="1375" w:type="pct"/>
            <w:shd w:val="clear" w:color="auto" w:fill="auto"/>
          </w:tcPr>
          <w:p w14:paraId="76404DF8" w14:textId="77777777" w:rsidR="00EB3385" w:rsidRDefault="00EB3385" w:rsidP="00EB3385">
            <w:pPr>
              <w:pStyle w:val="TableText"/>
            </w:pPr>
            <w:r>
              <w:t>I.5.C.3.a</w:t>
            </w:r>
          </w:p>
        </w:tc>
      </w:tr>
      <w:tr w:rsidR="00EB3385" w14:paraId="4757B217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3381052B" w14:textId="77777777" w:rsidR="00EB3385" w:rsidRDefault="004D7B3F" w:rsidP="004D7B3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language clarifying when a DRO assumes jurisdiction over downstream issues.</w:t>
            </w:r>
          </w:p>
          <w:p w14:paraId="77B01F87" w14:textId="77777777" w:rsidR="004D7B3F" w:rsidRDefault="004D7B3F" w:rsidP="004D7B3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add language identifying when a DRO may not perform </w:t>
            </w:r>
            <w:r>
              <w:rPr>
                <w:i/>
              </w:rPr>
              <w:t>de novo</w:t>
            </w:r>
            <w:r>
              <w:t xml:space="preserve"> review over a downstream issue.</w:t>
            </w:r>
          </w:p>
          <w:p w14:paraId="3AB6873D" w14:textId="77777777" w:rsidR="004D7B3F" w:rsidRDefault="004D7B3F" w:rsidP="004D7B3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references regarding the definition of downstream issues, when a downstream issue confers new appeal rights, considering subordinate issues, ancillary benefits, handling new issues raised on substantive appeal, and review of benefit claims decisions.</w:t>
            </w:r>
          </w:p>
        </w:tc>
        <w:tc>
          <w:tcPr>
            <w:tcW w:w="1375" w:type="pct"/>
            <w:shd w:val="clear" w:color="auto" w:fill="auto"/>
          </w:tcPr>
          <w:p w14:paraId="076EF91E" w14:textId="77777777" w:rsidR="00EB3385" w:rsidRDefault="004D7B3F" w:rsidP="00EB3385">
            <w:pPr>
              <w:pStyle w:val="TableText"/>
            </w:pPr>
            <w:r>
              <w:t>I.5.C.3.b</w:t>
            </w:r>
          </w:p>
        </w:tc>
      </w:tr>
      <w:tr w:rsidR="004D7B3F" w14:paraId="01674D7A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0A57ED0F" w14:textId="26E06721" w:rsidR="004D7B3F" w:rsidRDefault="004D7B3F" w:rsidP="00D412D9">
            <w:r>
              <w:t xml:space="preserve">To add a new </w:t>
            </w:r>
            <w:r w:rsidR="00D412D9">
              <w:t>B</w:t>
            </w:r>
            <w:r>
              <w:t>lock</w:t>
            </w:r>
            <w:r w:rsidR="00D412D9">
              <w:t xml:space="preserve"> c with </w:t>
            </w:r>
            <w:r>
              <w:t>table identifying when a decision on a downstream issue confers new appeal rights.</w:t>
            </w:r>
          </w:p>
        </w:tc>
        <w:tc>
          <w:tcPr>
            <w:tcW w:w="1375" w:type="pct"/>
            <w:shd w:val="clear" w:color="auto" w:fill="auto"/>
          </w:tcPr>
          <w:p w14:paraId="6A2DFD9D" w14:textId="77777777" w:rsidR="004D7B3F" w:rsidRDefault="004D7B3F" w:rsidP="00EB3385">
            <w:pPr>
              <w:pStyle w:val="TableText"/>
            </w:pPr>
            <w:r>
              <w:t>I.5.C.3.c</w:t>
            </w:r>
          </w:p>
        </w:tc>
      </w:tr>
      <w:tr w:rsidR="0027222F" w14:paraId="10D7C22D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7313E1D6" w14:textId="31D171C1" w:rsidR="0027222F" w:rsidRDefault="0027222F" w:rsidP="004D7B3F">
            <w:r>
              <w:t xml:space="preserve">To add language clarifying the jurisdiction of the visiting DRO and submission of written requests to Compensation Service for delegation of Veteran Service Center Manager (VSCM) </w:t>
            </w:r>
            <w:r w:rsidR="00CC1D2C">
              <w:t xml:space="preserve">or Pension Management Center Manager (PMCM) </w:t>
            </w:r>
            <w:r>
              <w:t>authority.</w:t>
            </w:r>
          </w:p>
        </w:tc>
        <w:tc>
          <w:tcPr>
            <w:tcW w:w="1375" w:type="pct"/>
            <w:shd w:val="clear" w:color="auto" w:fill="auto"/>
          </w:tcPr>
          <w:p w14:paraId="5CCBC880" w14:textId="77777777" w:rsidR="0027222F" w:rsidRDefault="0027222F" w:rsidP="00EB3385">
            <w:pPr>
              <w:pStyle w:val="TableText"/>
            </w:pPr>
            <w:r>
              <w:t>I.5.C.3.e</w:t>
            </w:r>
          </w:p>
        </w:tc>
      </w:tr>
      <w:tr w:rsidR="0027222F" w14:paraId="3046808C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4040EC80" w14:textId="77777777" w:rsidR="0027222F" w:rsidRDefault="0027222F" w:rsidP="0027222F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The add language clarifying when a DRO may amend, reverse, or modify a decision.</w:t>
            </w:r>
          </w:p>
          <w:p w14:paraId="15BDAE2A" w14:textId="77777777" w:rsidR="0027222F" w:rsidRDefault="0027222F" w:rsidP="0027222F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add language clarifying when VSCM signature is required for DRO decisions citing a clear and unmistakable error (CUE).</w:t>
            </w:r>
          </w:p>
        </w:tc>
        <w:tc>
          <w:tcPr>
            <w:tcW w:w="1375" w:type="pct"/>
            <w:shd w:val="clear" w:color="auto" w:fill="auto"/>
          </w:tcPr>
          <w:p w14:paraId="28CF358F" w14:textId="77777777" w:rsidR="0027222F" w:rsidRDefault="0027222F" w:rsidP="00EB3385">
            <w:pPr>
              <w:pStyle w:val="TableText"/>
            </w:pPr>
            <w:r>
              <w:t>I.5.C.3.f</w:t>
            </w:r>
          </w:p>
        </w:tc>
      </w:tr>
      <w:tr w:rsidR="0027222F" w14:paraId="57E1F2FB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0016B707" w14:textId="77777777" w:rsidR="0027222F" w:rsidRDefault="0027222F" w:rsidP="0027222F">
            <w:r>
              <w:t>To add language identifying when a DRO is not bound by a BVA decision.</w:t>
            </w:r>
          </w:p>
        </w:tc>
        <w:tc>
          <w:tcPr>
            <w:tcW w:w="1375" w:type="pct"/>
            <w:shd w:val="clear" w:color="auto" w:fill="auto"/>
          </w:tcPr>
          <w:p w14:paraId="0278304F" w14:textId="77777777" w:rsidR="0027222F" w:rsidRDefault="0027222F" w:rsidP="00EB3385">
            <w:pPr>
              <w:pStyle w:val="TableText"/>
            </w:pPr>
            <w:r>
              <w:t>I.5.C.3.h</w:t>
            </w:r>
          </w:p>
        </w:tc>
      </w:tr>
      <w:tr w:rsidR="0027222F" w14:paraId="2D235D9F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12337C18" w14:textId="77777777" w:rsidR="0027222F" w:rsidRDefault="0027222F" w:rsidP="0027222F">
            <w:r>
              <w:t>To add language to an example to clarify the prohibition on DRO bargaining.</w:t>
            </w:r>
          </w:p>
        </w:tc>
        <w:tc>
          <w:tcPr>
            <w:tcW w:w="1375" w:type="pct"/>
            <w:shd w:val="clear" w:color="auto" w:fill="auto"/>
          </w:tcPr>
          <w:p w14:paraId="5C2C5E1D" w14:textId="77777777" w:rsidR="0027222F" w:rsidRDefault="0027222F" w:rsidP="0027222F">
            <w:pPr>
              <w:pStyle w:val="TableText"/>
            </w:pPr>
            <w:r>
              <w:t>I.5.C.3.i</w:t>
            </w:r>
          </w:p>
        </w:tc>
      </w:tr>
      <w:tr w:rsidR="0027222F" w14:paraId="12E6E3AC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40CB637F" w14:textId="2888E9A7" w:rsidR="0027222F" w:rsidRDefault="005B262F" w:rsidP="0027222F">
            <w:r>
              <w:t>To delete old B</w:t>
            </w:r>
            <w:r w:rsidR="0027222F">
              <w:t>lock a</w:t>
            </w:r>
            <w:r>
              <w:t xml:space="preserve"> due to relocation of appeal term </w:t>
            </w:r>
            <w:r>
              <w:lastRenderedPageBreak/>
              <w:t>definitions to I.5.A.1</w:t>
            </w:r>
            <w:r w:rsidR="0027222F">
              <w:t>.</w:t>
            </w:r>
          </w:p>
        </w:tc>
        <w:tc>
          <w:tcPr>
            <w:tcW w:w="1375" w:type="pct"/>
            <w:shd w:val="clear" w:color="auto" w:fill="auto"/>
          </w:tcPr>
          <w:p w14:paraId="55B4C498" w14:textId="3B09CF7D" w:rsidR="0027222F" w:rsidRDefault="005B262F" w:rsidP="0027222F">
            <w:pPr>
              <w:pStyle w:val="TableText"/>
            </w:pPr>
            <w:r>
              <w:lastRenderedPageBreak/>
              <w:t>I.5.C.4.a (old)</w:t>
            </w:r>
          </w:p>
        </w:tc>
      </w:tr>
      <w:tr w:rsidR="0027222F" w14:paraId="269D2EA6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3EB8F8E7" w14:textId="0907BC05" w:rsidR="0027222F" w:rsidRDefault="005B262F" w:rsidP="0027222F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lastRenderedPageBreak/>
              <w:t xml:space="preserve">To add language clarifying </w:t>
            </w:r>
            <w:r w:rsidR="0027222F">
              <w:t xml:space="preserve">when an appellant has the right to a </w:t>
            </w:r>
            <w:r w:rsidR="0027222F" w:rsidRPr="0027222F">
              <w:rPr>
                <w:i/>
              </w:rPr>
              <w:t>de novo</w:t>
            </w:r>
            <w:r w:rsidR="0027222F">
              <w:t xml:space="preserve"> review.</w:t>
            </w:r>
          </w:p>
          <w:p w14:paraId="59319154" w14:textId="77777777" w:rsidR="0027222F" w:rsidRDefault="0027222F" w:rsidP="0027222F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add language clarifying the number of </w:t>
            </w:r>
            <w:r>
              <w:rPr>
                <w:i/>
              </w:rPr>
              <w:t>de novo</w:t>
            </w:r>
            <w:r>
              <w:t xml:space="preserve"> reviews an appellant may have.</w:t>
            </w:r>
          </w:p>
          <w:p w14:paraId="5DA1346E" w14:textId="77777777" w:rsidR="0027222F" w:rsidRPr="0027222F" w:rsidRDefault="0027222F" w:rsidP="0027222F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add references for the definition of </w:t>
            </w:r>
            <w:r>
              <w:rPr>
                <w:i/>
              </w:rPr>
              <w:t xml:space="preserve">de novo </w:t>
            </w:r>
            <w:r>
              <w:t>review, definition of appellant, DRO jurisdiction and authority, and downstream issues</w:t>
            </w:r>
          </w:p>
        </w:tc>
        <w:tc>
          <w:tcPr>
            <w:tcW w:w="1375" w:type="pct"/>
            <w:shd w:val="clear" w:color="auto" w:fill="auto"/>
          </w:tcPr>
          <w:p w14:paraId="0C6555E7" w14:textId="77777777" w:rsidR="0027222F" w:rsidRDefault="0027222F" w:rsidP="0027222F">
            <w:pPr>
              <w:pStyle w:val="TableText"/>
            </w:pPr>
            <w:r>
              <w:t>I.5.C.4.a</w:t>
            </w:r>
          </w:p>
        </w:tc>
      </w:tr>
      <w:tr w:rsidR="0027222F" w14:paraId="06F57583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771364D4" w14:textId="77777777" w:rsidR="0027222F" w:rsidRPr="0027222F" w:rsidRDefault="0027222F" w:rsidP="0027222F">
            <w:r>
              <w:t xml:space="preserve">To delete language regarding DRO </w:t>
            </w:r>
            <w:r>
              <w:rPr>
                <w:i/>
              </w:rPr>
              <w:t>de novo</w:t>
            </w:r>
            <w:r>
              <w:t xml:space="preserve"> review authority.</w:t>
            </w:r>
          </w:p>
        </w:tc>
        <w:tc>
          <w:tcPr>
            <w:tcW w:w="1375" w:type="pct"/>
            <w:shd w:val="clear" w:color="auto" w:fill="auto"/>
          </w:tcPr>
          <w:p w14:paraId="3E1000A4" w14:textId="77777777" w:rsidR="0027222F" w:rsidRDefault="0027222F" w:rsidP="0027222F">
            <w:pPr>
              <w:pStyle w:val="TableText"/>
            </w:pPr>
            <w:r>
              <w:t>I.5.C.4.b</w:t>
            </w:r>
          </w:p>
        </w:tc>
      </w:tr>
      <w:tr w:rsidR="0027222F" w14:paraId="1FCB0EF6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11A9E594" w14:textId="77777777" w:rsidR="0027222F" w:rsidRDefault="0027222F" w:rsidP="0027222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add language clarifying </w:t>
            </w:r>
            <w:r w:rsidRPr="0027222F">
              <w:rPr>
                <w:i/>
              </w:rPr>
              <w:t>de novo</w:t>
            </w:r>
            <w:r>
              <w:t xml:space="preserve"> review authority over contested claims involving multiple jurisdictions.</w:t>
            </w:r>
          </w:p>
          <w:p w14:paraId="3DD92114" w14:textId="7D9B210C" w:rsidR="0027222F" w:rsidRDefault="0027222F" w:rsidP="0027222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add language to the table describing the process </w:t>
            </w:r>
            <w:r w:rsidR="003F4250">
              <w:t xml:space="preserve">for uploading a transcript to the </w:t>
            </w:r>
            <w:r w:rsidR="005B262F">
              <w:t>electronic claims folder (</w:t>
            </w:r>
            <w:r w:rsidR="003F4250">
              <w:t>eFolder</w:t>
            </w:r>
            <w:r w:rsidR="005B262F">
              <w:t>)</w:t>
            </w:r>
            <w:r w:rsidR="003F4250">
              <w:t xml:space="preserve"> and providing notification upon completion.</w:t>
            </w:r>
          </w:p>
          <w:p w14:paraId="4DD6CC97" w14:textId="434FB88E" w:rsidR="003F4250" w:rsidRPr="0027222F" w:rsidRDefault="003F4250" w:rsidP="005B262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add a reference to the Veterans Benefits Management System (VBMS) User Guide.</w:t>
            </w:r>
          </w:p>
        </w:tc>
        <w:tc>
          <w:tcPr>
            <w:tcW w:w="1375" w:type="pct"/>
            <w:shd w:val="clear" w:color="auto" w:fill="auto"/>
          </w:tcPr>
          <w:p w14:paraId="44738BE8" w14:textId="77777777" w:rsidR="0027222F" w:rsidRDefault="0027222F" w:rsidP="0027222F">
            <w:pPr>
              <w:pStyle w:val="TableText"/>
            </w:pPr>
            <w:r>
              <w:t>I.5.C.4.d</w:t>
            </w:r>
          </w:p>
        </w:tc>
      </w:tr>
      <w:tr w:rsidR="003F4250" w14:paraId="291ACEE2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4C09B860" w14:textId="71398D62" w:rsidR="003F4250" w:rsidRDefault="00500EAA" w:rsidP="005B262F">
            <w:r>
              <w:t xml:space="preserve">To delete old </w:t>
            </w:r>
            <w:r w:rsidR="005B262F">
              <w:t>B</w:t>
            </w:r>
            <w:r>
              <w:t>lock a</w:t>
            </w:r>
            <w:r w:rsidR="005B262F">
              <w:t xml:space="preserve"> due to the relocation of appeal term definitions to I.5.A.1</w:t>
            </w:r>
            <w:r>
              <w:t>.</w:t>
            </w:r>
          </w:p>
        </w:tc>
        <w:tc>
          <w:tcPr>
            <w:tcW w:w="1375" w:type="pct"/>
            <w:shd w:val="clear" w:color="auto" w:fill="auto"/>
          </w:tcPr>
          <w:p w14:paraId="2BF31FE1" w14:textId="68870054" w:rsidR="003F4250" w:rsidRDefault="005B262F" w:rsidP="0027222F">
            <w:pPr>
              <w:pStyle w:val="TableText"/>
            </w:pPr>
            <w:r>
              <w:t>I.5.C.5.a (old)</w:t>
            </w:r>
          </w:p>
        </w:tc>
      </w:tr>
      <w:tr w:rsidR="00500EAA" w14:paraId="3F83777C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047F8D45" w14:textId="77777777" w:rsidR="00500EAA" w:rsidRDefault="00500EAA" w:rsidP="003F425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add language clarifying the purpose of an informal conference.</w:t>
            </w:r>
          </w:p>
          <w:p w14:paraId="2C5B4963" w14:textId="77777777" w:rsidR="00500EAA" w:rsidRDefault="00500EAA" w:rsidP="003F425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add a reference to the definition of informal conference.</w:t>
            </w:r>
          </w:p>
        </w:tc>
        <w:tc>
          <w:tcPr>
            <w:tcW w:w="1375" w:type="pct"/>
            <w:shd w:val="clear" w:color="auto" w:fill="auto"/>
          </w:tcPr>
          <w:p w14:paraId="451B3315" w14:textId="77777777" w:rsidR="00500EAA" w:rsidRDefault="00500EAA" w:rsidP="00500EAA">
            <w:pPr>
              <w:pStyle w:val="TableText"/>
              <w:tabs>
                <w:tab w:val="left" w:pos="1122"/>
              </w:tabs>
            </w:pPr>
            <w:r>
              <w:t>I.5.C.5.a</w:t>
            </w:r>
          </w:p>
        </w:tc>
      </w:tr>
      <w:tr w:rsidR="00500EAA" w14:paraId="3615F364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318B9522" w14:textId="77777777" w:rsidR="00500EAA" w:rsidRDefault="00500EAA" w:rsidP="00500EAA">
            <w:r>
              <w:t>To add language clarifying documenting an oral request to have, cancel, or reschedule an informal conference.</w:t>
            </w:r>
          </w:p>
        </w:tc>
        <w:tc>
          <w:tcPr>
            <w:tcW w:w="1375" w:type="pct"/>
            <w:shd w:val="clear" w:color="auto" w:fill="auto"/>
          </w:tcPr>
          <w:p w14:paraId="52E4FEF6" w14:textId="77777777" w:rsidR="00500EAA" w:rsidRDefault="00500EAA" w:rsidP="00500EAA">
            <w:pPr>
              <w:pStyle w:val="TableText"/>
              <w:tabs>
                <w:tab w:val="left" w:pos="1122"/>
              </w:tabs>
            </w:pPr>
            <w:r>
              <w:t>I.5.C.5.c</w:t>
            </w:r>
          </w:p>
        </w:tc>
      </w:tr>
      <w:tr w:rsidR="00500EAA" w14:paraId="75FA3BA1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03271CDF" w14:textId="77777777" w:rsidR="00500EAA" w:rsidRDefault="00500EAA" w:rsidP="00500EAA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 xml:space="preserve">To add language clarifying which information in an </w:t>
            </w:r>
            <w:r w:rsidRPr="00500EAA">
              <w:rPr>
                <w:i/>
              </w:rPr>
              <w:t>Informal Conference Report</w:t>
            </w:r>
            <w:r>
              <w:t xml:space="preserve"> to consider.</w:t>
            </w:r>
          </w:p>
          <w:p w14:paraId="0E8B4CD0" w14:textId="77777777" w:rsidR="00500EAA" w:rsidRPr="00500EAA" w:rsidRDefault="00500EAA" w:rsidP="00500EAA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>To delete language regarding the specific requirements of a DRO decision.</w:t>
            </w:r>
          </w:p>
        </w:tc>
        <w:tc>
          <w:tcPr>
            <w:tcW w:w="1375" w:type="pct"/>
            <w:shd w:val="clear" w:color="auto" w:fill="auto"/>
          </w:tcPr>
          <w:p w14:paraId="110E8B14" w14:textId="77777777" w:rsidR="00500EAA" w:rsidRDefault="00500EAA" w:rsidP="00500EAA">
            <w:pPr>
              <w:pStyle w:val="TableText"/>
              <w:tabs>
                <w:tab w:val="left" w:pos="1122"/>
              </w:tabs>
            </w:pPr>
            <w:r>
              <w:t>I.5.C.6.a</w:t>
            </w:r>
          </w:p>
        </w:tc>
      </w:tr>
      <w:tr w:rsidR="00500EAA" w14:paraId="35DFFF14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1BCE86A0" w14:textId="4B05C17E" w:rsidR="00500EAA" w:rsidRDefault="00500EAA" w:rsidP="00500EAA">
            <w:r>
              <w:t>To add language clarifying when a VSCM</w:t>
            </w:r>
            <w:r w:rsidR="00CC1D2C">
              <w:t xml:space="preserve"> or PMCM</w:t>
            </w:r>
            <w:r>
              <w:t xml:space="preserve"> may direct a change in the DRO decision.</w:t>
            </w:r>
          </w:p>
        </w:tc>
        <w:tc>
          <w:tcPr>
            <w:tcW w:w="1375" w:type="pct"/>
            <w:shd w:val="clear" w:color="auto" w:fill="auto"/>
          </w:tcPr>
          <w:p w14:paraId="5D0F7A9F" w14:textId="77777777" w:rsidR="00500EAA" w:rsidRDefault="00500EAA" w:rsidP="00500EAA">
            <w:pPr>
              <w:pStyle w:val="TableText"/>
              <w:tabs>
                <w:tab w:val="left" w:pos="1122"/>
              </w:tabs>
            </w:pPr>
            <w:r>
              <w:t>I.5.C.6.b</w:t>
            </w:r>
          </w:p>
        </w:tc>
      </w:tr>
      <w:tr w:rsidR="00500EAA" w14:paraId="3DE50DD8" w14:textId="77777777" w:rsidTr="00BD1E1E">
        <w:trPr>
          <w:trHeight w:val="180"/>
        </w:trPr>
        <w:tc>
          <w:tcPr>
            <w:tcW w:w="3625" w:type="pct"/>
            <w:shd w:val="clear" w:color="auto" w:fill="auto"/>
          </w:tcPr>
          <w:p w14:paraId="6D496985" w14:textId="77777777" w:rsidR="00500EAA" w:rsidRDefault="00902607" w:rsidP="00902607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add language clarifying what must be included in the decision notice.</w:t>
            </w:r>
          </w:p>
          <w:p w14:paraId="3462098E" w14:textId="77777777" w:rsidR="00902607" w:rsidRDefault="00902607" w:rsidP="00902607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add a reference to the definition of full grant.</w:t>
            </w:r>
          </w:p>
        </w:tc>
        <w:tc>
          <w:tcPr>
            <w:tcW w:w="1375" w:type="pct"/>
            <w:shd w:val="clear" w:color="auto" w:fill="auto"/>
          </w:tcPr>
          <w:p w14:paraId="30155831" w14:textId="77777777" w:rsidR="00500EAA" w:rsidRDefault="00500EAA" w:rsidP="00500EAA">
            <w:pPr>
              <w:pStyle w:val="TableText"/>
              <w:tabs>
                <w:tab w:val="left" w:pos="1122"/>
              </w:tabs>
            </w:pPr>
            <w:r>
              <w:t>I.5.C.6.c</w:t>
            </w:r>
          </w:p>
        </w:tc>
      </w:tr>
    </w:tbl>
    <w:p w14:paraId="0002C1F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E3AF41" w14:textId="77777777" w:rsidTr="00237C22">
        <w:tc>
          <w:tcPr>
            <w:tcW w:w="1728" w:type="dxa"/>
          </w:tcPr>
          <w:p w14:paraId="04D809B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EF92A9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4C72D9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F5CD862" w14:textId="77777777" w:rsidTr="00237C22">
        <w:tc>
          <w:tcPr>
            <w:tcW w:w="1728" w:type="dxa"/>
          </w:tcPr>
          <w:p w14:paraId="082D306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8A5E55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7E5F8E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EF4A8C" w14:textId="77777777" w:rsidTr="00237C22">
        <w:tc>
          <w:tcPr>
            <w:tcW w:w="1728" w:type="dxa"/>
          </w:tcPr>
          <w:p w14:paraId="5C8A6C7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56FF410" w14:textId="77777777" w:rsidR="00504F80" w:rsidRPr="00B4163A" w:rsidRDefault="00504F80" w:rsidP="00237C22">
            <w:pPr>
              <w:pStyle w:val="BlockText"/>
            </w:pPr>
          </w:p>
          <w:p w14:paraId="72F2D3B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8B00AE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49E7B5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D0B935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2F8C565" w14:textId="77777777" w:rsidTr="00237C22">
        <w:tc>
          <w:tcPr>
            <w:tcW w:w="1728" w:type="dxa"/>
          </w:tcPr>
          <w:p w14:paraId="101FFFB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6A2EA0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CB965AB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F7E30E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085A" w14:textId="77777777" w:rsidR="00720B0E" w:rsidRDefault="00720B0E" w:rsidP="00C765C7">
      <w:r>
        <w:separator/>
      </w:r>
    </w:p>
  </w:endnote>
  <w:endnote w:type="continuationSeparator" w:id="0">
    <w:p w14:paraId="3961FA83" w14:textId="77777777" w:rsidR="00720B0E" w:rsidRDefault="00720B0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785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2E34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EFD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E26">
      <w:rPr>
        <w:rStyle w:val="PageNumber"/>
        <w:noProof/>
      </w:rPr>
      <w:t>i</w:t>
    </w:r>
    <w:r>
      <w:rPr>
        <w:rStyle w:val="PageNumber"/>
      </w:rPr>
      <w:fldChar w:fldCharType="end"/>
    </w:r>
  </w:p>
  <w:p w14:paraId="041AEDD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606D3" w14:textId="77777777" w:rsidR="00720B0E" w:rsidRDefault="00720B0E" w:rsidP="00C765C7">
      <w:r>
        <w:separator/>
      </w:r>
    </w:p>
  </w:footnote>
  <w:footnote w:type="continuationSeparator" w:id="0">
    <w:p w14:paraId="4A83026C" w14:textId="77777777" w:rsidR="00720B0E" w:rsidRDefault="00720B0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85pt;height:11.85pt" o:bullet="t">
        <v:imagedata r:id="rId1" o:title="fspro_2columns"/>
      </v:shape>
    </w:pict>
  </w:numPicBullet>
  <w:numPicBullet w:numPicBulletId="1">
    <w:pict>
      <v:shape id="_x0000_i1035" type="#_x0000_t75" style="width:11.85pt;height:11.85pt" o:bullet="t">
        <v:imagedata r:id="rId2" o:title="advanced"/>
      </v:shape>
    </w:pict>
  </w:numPicBullet>
  <w:numPicBullet w:numPicBulletId="2">
    <w:pict>
      <v:shape id="_x0000_i1036" type="#_x0000_t75" style="width:11.85pt;height:11.85pt" o:bullet="t">
        <v:imagedata r:id="rId3" o:title="continue"/>
      </v:shape>
    </w:pict>
  </w:numPicBullet>
  <w:numPicBullet w:numPicBulletId="3">
    <w:pict>
      <v:shape id="_x0000_i1037" type="#_x0000_t75" style="width:11.85pt;height:11.8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860EF"/>
    <w:multiLevelType w:val="hybridMultilevel"/>
    <w:tmpl w:val="122C8C7A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49E5"/>
    <w:multiLevelType w:val="hybridMultilevel"/>
    <w:tmpl w:val="341463B6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4191"/>
    <w:multiLevelType w:val="hybridMultilevel"/>
    <w:tmpl w:val="34C6DF34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96751"/>
    <w:multiLevelType w:val="hybridMultilevel"/>
    <w:tmpl w:val="B9E664B2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21C8B"/>
    <w:multiLevelType w:val="hybridMultilevel"/>
    <w:tmpl w:val="62363332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B36DE4"/>
    <w:multiLevelType w:val="hybridMultilevel"/>
    <w:tmpl w:val="21BA26C8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05F88"/>
    <w:multiLevelType w:val="hybridMultilevel"/>
    <w:tmpl w:val="5AF019AE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DB0EA4"/>
    <w:multiLevelType w:val="hybridMultilevel"/>
    <w:tmpl w:val="95F08652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17778"/>
    <w:multiLevelType w:val="hybridMultilevel"/>
    <w:tmpl w:val="152ED48C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DE2D01"/>
    <w:multiLevelType w:val="hybridMultilevel"/>
    <w:tmpl w:val="8960B48E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7">
    <w:nsid w:val="6C096042"/>
    <w:multiLevelType w:val="hybridMultilevel"/>
    <w:tmpl w:val="2CA88276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56528"/>
    <w:multiLevelType w:val="hybridMultilevel"/>
    <w:tmpl w:val="E9A4E208"/>
    <w:lvl w:ilvl="0" w:tplc="D9B8E1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9"/>
  </w:num>
  <w:num w:numId="5">
    <w:abstractNumId w:val="14"/>
  </w:num>
  <w:num w:numId="6">
    <w:abstractNumId w:val="12"/>
  </w:num>
  <w:num w:numId="7">
    <w:abstractNumId w:val="20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8"/>
  </w:num>
  <w:num w:numId="20">
    <w:abstractNumId w:val="1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8B5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6471B"/>
    <w:rsid w:val="00186D46"/>
    <w:rsid w:val="001C3AE3"/>
    <w:rsid w:val="001C3EB5"/>
    <w:rsid w:val="001E28EA"/>
    <w:rsid w:val="002041BE"/>
    <w:rsid w:val="002132F8"/>
    <w:rsid w:val="00237C22"/>
    <w:rsid w:val="00240624"/>
    <w:rsid w:val="0027222F"/>
    <w:rsid w:val="00282DF9"/>
    <w:rsid w:val="002B27FC"/>
    <w:rsid w:val="002B7A7E"/>
    <w:rsid w:val="002F5B21"/>
    <w:rsid w:val="002F7397"/>
    <w:rsid w:val="00332B80"/>
    <w:rsid w:val="00341981"/>
    <w:rsid w:val="00364CEA"/>
    <w:rsid w:val="00366D36"/>
    <w:rsid w:val="00386999"/>
    <w:rsid w:val="003B2927"/>
    <w:rsid w:val="003D47AF"/>
    <w:rsid w:val="003E2CA2"/>
    <w:rsid w:val="003E7D95"/>
    <w:rsid w:val="003F3021"/>
    <w:rsid w:val="003F4250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31F6"/>
    <w:rsid w:val="00494175"/>
    <w:rsid w:val="004D7B3F"/>
    <w:rsid w:val="004F3177"/>
    <w:rsid w:val="004F375E"/>
    <w:rsid w:val="00500EAA"/>
    <w:rsid w:val="00504F80"/>
    <w:rsid w:val="00506485"/>
    <w:rsid w:val="00513289"/>
    <w:rsid w:val="00513DA7"/>
    <w:rsid w:val="00516C82"/>
    <w:rsid w:val="00594258"/>
    <w:rsid w:val="005B262F"/>
    <w:rsid w:val="005E4363"/>
    <w:rsid w:val="00600DC7"/>
    <w:rsid w:val="0062068D"/>
    <w:rsid w:val="006317AA"/>
    <w:rsid w:val="006473C3"/>
    <w:rsid w:val="00656E26"/>
    <w:rsid w:val="006708D7"/>
    <w:rsid w:val="006837E0"/>
    <w:rsid w:val="006B7262"/>
    <w:rsid w:val="006C3E5F"/>
    <w:rsid w:val="006C48FF"/>
    <w:rsid w:val="006D10E5"/>
    <w:rsid w:val="006D52FE"/>
    <w:rsid w:val="006F6D37"/>
    <w:rsid w:val="00720B0E"/>
    <w:rsid w:val="00724248"/>
    <w:rsid w:val="00732186"/>
    <w:rsid w:val="00737049"/>
    <w:rsid w:val="007561DE"/>
    <w:rsid w:val="007A0C5F"/>
    <w:rsid w:val="007D5B97"/>
    <w:rsid w:val="007E5515"/>
    <w:rsid w:val="0080590C"/>
    <w:rsid w:val="008144E7"/>
    <w:rsid w:val="00822A16"/>
    <w:rsid w:val="00825104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607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4367"/>
    <w:rsid w:val="00AC2993"/>
    <w:rsid w:val="00AC5BE5"/>
    <w:rsid w:val="00AD0EDC"/>
    <w:rsid w:val="00AF06AD"/>
    <w:rsid w:val="00AF2CD6"/>
    <w:rsid w:val="00B0548B"/>
    <w:rsid w:val="00B30D2F"/>
    <w:rsid w:val="00B50AD7"/>
    <w:rsid w:val="00B64F2F"/>
    <w:rsid w:val="00B93A3C"/>
    <w:rsid w:val="00B96287"/>
    <w:rsid w:val="00BB3345"/>
    <w:rsid w:val="00BD1E1E"/>
    <w:rsid w:val="00BF7FE3"/>
    <w:rsid w:val="00C0404B"/>
    <w:rsid w:val="00C24D50"/>
    <w:rsid w:val="00C273AD"/>
    <w:rsid w:val="00C765C7"/>
    <w:rsid w:val="00CC1D2C"/>
    <w:rsid w:val="00CD2D08"/>
    <w:rsid w:val="00CD3A0F"/>
    <w:rsid w:val="00D33A6E"/>
    <w:rsid w:val="00D36508"/>
    <w:rsid w:val="00D412D9"/>
    <w:rsid w:val="00D57B91"/>
    <w:rsid w:val="00D61497"/>
    <w:rsid w:val="00D77146"/>
    <w:rsid w:val="00D823AF"/>
    <w:rsid w:val="00D835D3"/>
    <w:rsid w:val="00D87741"/>
    <w:rsid w:val="00D9207B"/>
    <w:rsid w:val="00DA11C2"/>
    <w:rsid w:val="00DB074F"/>
    <w:rsid w:val="00DB2902"/>
    <w:rsid w:val="00DB743E"/>
    <w:rsid w:val="00DE0E35"/>
    <w:rsid w:val="00DF44AC"/>
    <w:rsid w:val="00E227CC"/>
    <w:rsid w:val="00E2529E"/>
    <w:rsid w:val="00E36906"/>
    <w:rsid w:val="00E648E9"/>
    <w:rsid w:val="00E964FD"/>
    <w:rsid w:val="00EA47E0"/>
    <w:rsid w:val="00EB3385"/>
    <w:rsid w:val="00ED4D5E"/>
    <w:rsid w:val="00ED71C8"/>
    <w:rsid w:val="00F006B2"/>
    <w:rsid w:val="00F26DF0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B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B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B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b438dcf7-3998-4283-b7fc-0ec6fa8e430f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871544-19AF-4D28-9537-22E1B79CC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2015-04-06T16:19:00Z</dcterms:created>
  <dcterms:modified xsi:type="dcterms:W3CDTF">2015-06-05T19:58:00Z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