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A2508" w14:textId="77777777" w:rsidR="00504F80" w:rsidRPr="00B51A96" w:rsidRDefault="00B51A96" w:rsidP="00B51A96">
      <w:pPr>
        <w:pStyle w:val="Heading4"/>
        <w:tabs>
          <w:tab w:val="left" w:pos="4860"/>
        </w:tabs>
        <w:spacing w:after="0"/>
        <w:ind w:right="-720"/>
        <w:rPr>
          <w:rFonts w:ascii="Times New Roman" w:hAnsi="Times New Roman" w:cs="Times New Roman"/>
          <w:bCs/>
          <w:sz w:val="20"/>
          <w:szCs w:val="24"/>
        </w:rPr>
      </w:pPr>
      <w:r w:rsidRPr="00B51A96">
        <w:rPr>
          <w:rFonts w:ascii="Times New Roman" w:hAnsi="Times New Roman" w:cs="Times New Roman"/>
          <w:bCs/>
          <w:sz w:val="20"/>
          <w:szCs w:val="24"/>
        </w:rPr>
        <w:t>Department of Veterans Affairs</w:t>
      </w:r>
      <w:r>
        <w:rPr>
          <w:rFonts w:ascii="Times New Roman" w:hAnsi="Times New Roman" w:cs="Times New Roman"/>
          <w:bCs/>
          <w:sz w:val="20"/>
          <w:szCs w:val="24"/>
        </w:rPr>
        <w:tab/>
      </w:r>
      <w:r w:rsidR="00405E44">
        <w:rPr>
          <w:rFonts w:ascii="Times New Roman" w:hAnsi="Times New Roman" w:cs="Times New Roman"/>
          <w:bCs/>
          <w:sz w:val="20"/>
          <w:szCs w:val="24"/>
        </w:rPr>
        <w:tab/>
      </w:r>
      <w:r w:rsidR="00405E44">
        <w:rPr>
          <w:rFonts w:ascii="Times New Roman" w:hAnsi="Times New Roman" w:cs="Times New Roman"/>
          <w:bCs/>
          <w:sz w:val="20"/>
          <w:szCs w:val="24"/>
        </w:rPr>
        <w:tab/>
      </w:r>
      <w:r w:rsidR="00405E44">
        <w:rPr>
          <w:rFonts w:ascii="Times New Roman" w:hAnsi="Times New Roman" w:cs="Times New Roman"/>
          <w:bCs/>
          <w:sz w:val="20"/>
          <w:szCs w:val="24"/>
        </w:rPr>
        <w:tab/>
        <w:t xml:space="preserve">        </w:t>
      </w:r>
      <w:r w:rsidR="00504F80" w:rsidRPr="00B51A96">
        <w:rPr>
          <w:rFonts w:ascii="Times New Roman" w:hAnsi="Times New Roman" w:cs="Times New Roman"/>
          <w:bCs/>
          <w:sz w:val="20"/>
          <w:szCs w:val="24"/>
        </w:rPr>
        <w:t>M21-1MR, Part</w:t>
      </w:r>
      <w:r w:rsidR="00405E44">
        <w:rPr>
          <w:rFonts w:ascii="Times New Roman" w:hAnsi="Times New Roman" w:cs="Times New Roman"/>
          <w:bCs/>
          <w:sz w:val="20"/>
          <w:szCs w:val="24"/>
        </w:rPr>
        <w:t xml:space="preserve"> I</w:t>
      </w:r>
      <w:r w:rsidRPr="00B51A96">
        <w:rPr>
          <w:rFonts w:ascii="Times New Roman" w:hAnsi="Times New Roman" w:cs="Times New Roman"/>
          <w:bCs/>
          <w:sz w:val="20"/>
          <w:szCs w:val="24"/>
        </w:rPr>
        <w:t>, Chapter</w:t>
      </w:r>
      <w:r w:rsidR="00405E44">
        <w:rPr>
          <w:rFonts w:ascii="Times New Roman" w:hAnsi="Times New Roman" w:cs="Times New Roman"/>
          <w:bCs/>
          <w:sz w:val="20"/>
          <w:szCs w:val="24"/>
        </w:rPr>
        <w:t xml:space="preserve"> 4</w:t>
      </w:r>
    </w:p>
    <w:p w14:paraId="580BAD66" w14:textId="35964044"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2C6D07">
        <w:rPr>
          <w:b/>
          <w:bCs/>
          <w:sz w:val="20"/>
        </w:rPr>
        <w:t xml:space="preserve">                         January 9, 2014</w:t>
      </w:r>
      <w:r>
        <w:rPr>
          <w:b/>
          <w:bCs/>
          <w:sz w:val="20"/>
        </w:rPr>
        <w:tab/>
      </w:r>
    </w:p>
    <w:p w14:paraId="530807E2" w14:textId="77777777" w:rsidR="00504F80" w:rsidRDefault="00504F80" w:rsidP="00504F80">
      <w:pPr>
        <w:rPr>
          <w:b/>
          <w:bCs/>
          <w:sz w:val="20"/>
        </w:rPr>
      </w:pPr>
      <w:r>
        <w:rPr>
          <w:b/>
          <w:bCs/>
          <w:sz w:val="20"/>
        </w:rPr>
        <w:t>Washington, DC  20420</w:t>
      </w:r>
    </w:p>
    <w:p w14:paraId="76233D2B" w14:textId="77777777" w:rsidR="00504F80" w:rsidRDefault="00504F80" w:rsidP="00504F80">
      <w:pPr>
        <w:rPr>
          <w:b/>
          <w:bCs/>
          <w:sz w:val="20"/>
        </w:rPr>
      </w:pPr>
    </w:p>
    <w:p w14:paraId="40EE932E" w14:textId="77777777" w:rsidR="00504F80" w:rsidRDefault="00504F80" w:rsidP="00504F80">
      <w:pPr>
        <w:pStyle w:val="Heading4"/>
      </w:pPr>
      <w:r>
        <w:t xml:space="preserve">Transmittal Sheet </w:t>
      </w:r>
    </w:p>
    <w:p w14:paraId="1B912F98"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EE549B2" w14:textId="77777777" w:rsidTr="00C24D50">
        <w:tc>
          <w:tcPr>
            <w:tcW w:w="1728" w:type="dxa"/>
          </w:tcPr>
          <w:p w14:paraId="2BDB9291" w14:textId="77777777" w:rsidR="00504F80" w:rsidRDefault="00504F80" w:rsidP="00237C22">
            <w:pPr>
              <w:pStyle w:val="Heading5"/>
            </w:pPr>
            <w:r>
              <w:t>Changes Included in This Revision</w:t>
            </w:r>
          </w:p>
        </w:tc>
        <w:tc>
          <w:tcPr>
            <w:tcW w:w="7740" w:type="dxa"/>
          </w:tcPr>
          <w:p w14:paraId="21928EEF" w14:textId="77777777" w:rsidR="00504F80" w:rsidRDefault="00504F80" w:rsidP="00237C22">
            <w:pPr>
              <w:pStyle w:val="BlockText"/>
            </w:pPr>
            <w:r>
              <w:t xml:space="preserve">The table below describes the changes included in this revision of Veterans Benefits Manual M21-1MR, Part </w:t>
            </w:r>
            <w:r w:rsidR="00BB3345">
              <w:t>I</w:t>
            </w:r>
            <w:r>
              <w:t>, “</w:t>
            </w:r>
            <w:r w:rsidR="00405E44">
              <w:t>Claimant’s Rights and Responsibilities</w:t>
            </w:r>
            <w:r>
              <w:t xml:space="preserve">,” </w:t>
            </w:r>
            <w:r w:rsidR="00B51A96">
              <w:t xml:space="preserve">Chapter </w:t>
            </w:r>
            <w:r w:rsidR="00405E44">
              <w:t>4</w:t>
            </w:r>
            <w:r w:rsidR="00B51A96">
              <w:t>, “</w:t>
            </w:r>
            <w:r w:rsidR="00405E44">
              <w:t>Hearings.”</w:t>
            </w:r>
          </w:p>
          <w:p w14:paraId="0E821A87" w14:textId="77777777" w:rsidR="00504F80" w:rsidRPr="00450FD6" w:rsidRDefault="00504F80" w:rsidP="00237C22">
            <w:pPr>
              <w:pStyle w:val="BulletText1"/>
              <w:numPr>
                <w:ilvl w:val="0"/>
                <w:numId w:val="0"/>
              </w:numPr>
            </w:pPr>
          </w:p>
          <w:p w14:paraId="30406D42" w14:textId="77777777" w:rsidR="00504F80" w:rsidRDefault="00504F80" w:rsidP="00237C22">
            <w:pPr>
              <w:pStyle w:val="BulletText1"/>
              <w:numPr>
                <w:ilvl w:val="0"/>
                <w:numId w:val="0"/>
              </w:numPr>
            </w:pPr>
            <w:r>
              <w:rPr>
                <w:b/>
                <w:i/>
              </w:rPr>
              <w:t>Notes</w:t>
            </w:r>
            <w:r>
              <w:t xml:space="preserve">:  </w:t>
            </w:r>
          </w:p>
          <w:p w14:paraId="32AC4A01" w14:textId="77777777" w:rsidR="00504F80" w:rsidRDefault="00504F80" w:rsidP="00237C22">
            <w:pPr>
              <w:pStyle w:val="BulletText1"/>
            </w:pPr>
            <w:r>
              <w:t>The term regional office (RO) also includes pension management center (PMC)</w:t>
            </w:r>
            <w:r w:rsidR="00C24D50">
              <w:t>, where appropriate</w:t>
            </w:r>
            <w:r>
              <w:t>.</w:t>
            </w:r>
          </w:p>
          <w:p w14:paraId="169FD7B7" w14:textId="77777777" w:rsidR="00504F80" w:rsidRDefault="00504F80" w:rsidP="00237C22">
            <w:pPr>
              <w:pStyle w:val="BulletText1"/>
            </w:pPr>
            <w:r>
              <w:t>The term Veterans Service Center Manager (VSCM) also includes Pension Management Center Manager (PMCM)</w:t>
            </w:r>
            <w:r w:rsidR="00C24D50">
              <w:t>, where appropriate</w:t>
            </w:r>
            <w:r>
              <w:t>.</w:t>
            </w:r>
          </w:p>
          <w:p w14:paraId="0D2348AC" w14:textId="77777777" w:rsidR="00504F80" w:rsidRDefault="00504F80" w:rsidP="00C24D50">
            <w:pPr>
              <w:pStyle w:val="BulletText1"/>
            </w:pPr>
            <w:r>
              <w:t xml:space="preserve">Minor editorial changes have also been made to </w:t>
            </w:r>
          </w:p>
          <w:p w14:paraId="1DA7A303" w14:textId="77777777" w:rsidR="00504F80" w:rsidRDefault="00504F80" w:rsidP="00237C22">
            <w:pPr>
              <w:pStyle w:val="BulletText2"/>
              <w:tabs>
                <w:tab w:val="num" w:pos="547"/>
              </w:tabs>
            </w:pPr>
            <w:r>
              <w:t>update the term “veteran” to “Veteran”</w:t>
            </w:r>
          </w:p>
          <w:p w14:paraId="43256A3B" w14:textId="77777777" w:rsidR="00EB6694" w:rsidRDefault="00504F80" w:rsidP="00237C22">
            <w:pPr>
              <w:pStyle w:val="BulletText2"/>
              <w:tabs>
                <w:tab w:val="num" w:pos="547"/>
              </w:tabs>
            </w:pPr>
            <w:r>
              <w:t xml:space="preserve">clarify </w:t>
            </w:r>
            <w:r w:rsidR="002041BE">
              <w:t>b</w:t>
            </w:r>
            <w:r w:rsidR="00D61497">
              <w:t xml:space="preserve">lock labels and/or </w:t>
            </w:r>
            <w:r w:rsidR="002041BE">
              <w:t>b</w:t>
            </w:r>
            <w:r>
              <w:t>lock text</w:t>
            </w:r>
          </w:p>
          <w:p w14:paraId="0D691F7F" w14:textId="77777777" w:rsidR="00504F80" w:rsidRDefault="00EB6694" w:rsidP="00237C22">
            <w:pPr>
              <w:pStyle w:val="BulletText2"/>
              <w:tabs>
                <w:tab w:val="num" w:pos="547"/>
              </w:tabs>
            </w:pPr>
            <w:r>
              <w:t>rearrange blocks</w:t>
            </w:r>
            <w:r w:rsidR="00504F80">
              <w:t xml:space="preserve">, and </w:t>
            </w:r>
          </w:p>
          <w:p w14:paraId="14E9F83F" w14:textId="77777777" w:rsidR="00504F80" w:rsidRPr="00EA3A57" w:rsidRDefault="00504F80" w:rsidP="00237C22">
            <w:pPr>
              <w:pStyle w:val="BulletText2"/>
            </w:pPr>
            <w:r>
              <w:t>bring the documents into conformance with M21-1MR standards.</w:t>
            </w:r>
          </w:p>
        </w:tc>
      </w:tr>
    </w:tbl>
    <w:p w14:paraId="6D49366F" w14:textId="77777777" w:rsidR="00C24D50" w:rsidRDefault="00C24D50" w:rsidP="00C24D50"/>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33"/>
        <w:gridCol w:w="1891"/>
      </w:tblGrid>
      <w:tr w:rsidR="000C1630" w14:paraId="49801257" w14:textId="77777777" w:rsidTr="00477C22">
        <w:trPr>
          <w:trHeight w:val="180"/>
        </w:trPr>
        <w:tc>
          <w:tcPr>
            <w:tcW w:w="3986" w:type="pct"/>
            <w:shd w:val="clear" w:color="auto" w:fill="auto"/>
          </w:tcPr>
          <w:p w14:paraId="2CBA3B6F" w14:textId="77777777" w:rsidR="000C1630" w:rsidRPr="00C24D50" w:rsidRDefault="000C1630" w:rsidP="002F7397">
            <w:pPr>
              <w:pStyle w:val="TableHeaderText"/>
            </w:pPr>
            <w:r w:rsidRPr="00C24D50">
              <w:t>Reason(s) for the Change</w:t>
            </w:r>
          </w:p>
        </w:tc>
        <w:tc>
          <w:tcPr>
            <w:tcW w:w="1014" w:type="pct"/>
            <w:shd w:val="clear" w:color="auto" w:fill="auto"/>
          </w:tcPr>
          <w:p w14:paraId="7F86D595" w14:textId="77777777" w:rsidR="000C1630" w:rsidRPr="00C24D50" w:rsidRDefault="000C1630" w:rsidP="002F7397">
            <w:pPr>
              <w:pStyle w:val="TableHeaderText"/>
            </w:pPr>
            <w:r w:rsidRPr="00C24D50">
              <w:t>Citation</w:t>
            </w:r>
          </w:p>
        </w:tc>
      </w:tr>
      <w:tr w:rsidR="000C1630" w14:paraId="6FD84323" w14:textId="77777777" w:rsidTr="00477C22">
        <w:trPr>
          <w:trHeight w:val="180"/>
        </w:trPr>
        <w:tc>
          <w:tcPr>
            <w:tcW w:w="3986" w:type="pct"/>
            <w:shd w:val="clear" w:color="auto" w:fill="auto"/>
          </w:tcPr>
          <w:p w14:paraId="514C6919" w14:textId="3A6894A2" w:rsidR="000C1630" w:rsidRPr="00C24D50" w:rsidRDefault="000C1630" w:rsidP="002D04F5">
            <w:pPr>
              <w:pStyle w:val="TableText"/>
            </w:pPr>
            <w:r>
              <w:t xml:space="preserve">To add a block to define </w:t>
            </w:r>
            <w:r w:rsidRPr="00DC147C">
              <w:rPr>
                <w:b/>
                <w:i/>
              </w:rPr>
              <w:t>hearing</w:t>
            </w:r>
            <w:r>
              <w:t>.</w:t>
            </w:r>
          </w:p>
        </w:tc>
        <w:tc>
          <w:tcPr>
            <w:tcW w:w="1014" w:type="pct"/>
            <w:shd w:val="clear" w:color="auto" w:fill="auto"/>
          </w:tcPr>
          <w:p w14:paraId="7B68C795" w14:textId="73661EF9" w:rsidR="000C1630" w:rsidRPr="00C24D50" w:rsidRDefault="000C1630" w:rsidP="00DC147C">
            <w:pPr>
              <w:pStyle w:val="TableText"/>
            </w:pPr>
            <w:r>
              <w:t>Part I, Chapter 4, Topic 1, Block a (I.4.1.a)</w:t>
            </w:r>
          </w:p>
        </w:tc>
      </w:tr>
      <w:tr w:rsidR="000C1630" w14:paraId="0CA1B9AF" w14:textId="77777777" w:rsidTr="00477C22">
        <w:trPr>
          <w:trHeight w:val="180"/>
        </w:trPr>
        <w:tc>
          <w:tcPr>
            <w:tcW w:w="3986" w:type="pct"/>
            <w:shd w:val="clear" w:color="auto" w:fill="auto"/>
          </w:tcPr>
          <w:p w14:paraId="56949B50" w14:textId="77777777" w:rsidR="000C1630" w:rsidRPr="00C24D50" w:rsidRDefault="000C1630" w:rsidP="00405E44">
            <w:pPr>
              <w:pStyle w:val="BulletText1"/>
              <w:numPr>
                <w:ilvl w:val="0"/>
                <w:numId w:val="0"/>
              </w:numPr>
            </w:pPr>
            <w:r>
              <w:t>To revise the block to add content on the purposes of a hearing.</w:t>
            </w:r>
          </w:p>
        </w:tc>
        <w:tc>
          <w:tcPr>
            <w:tcW w:w="1014" w:type="pct"/>
            <w:shd w:val="clear" w:color="auto" w:fill="auto"/>
          </w:tcPr>
          <w:p w14:paraId="1E1720CF" w14:textId="77777777" w:rsidR="000C1630" w:rsidRPr="00C24D50" w:rsidRDefault="000C1630" w:rsidP="00DC147C">
            <w:pPr>
              <w:pStyle w:val="TableText"/>
            </w:pPr>
            <w:r>
              <w:t>I.4.1.b</w:t>
            </w:r>
          </w:p>
        </w:tc>
      </w:tr>
      <w:tr w:rsidR="000C1630" w14:paraId="01ADB182" w14:textId="77777777" w:rsidTr="00477C22">
        <w:trPr>
          <w:trHeight w:val="180"/>
        </w:trPr>
        <w:tc>
          <w:tcPr>
            <w:tcW w:w="3986" w:type="pct"/>
            <w:shd w:val="clear" w:color="auto" w:fill="auto"/>
          </w:tcPr>
          <w:p w14:paraId="335D2366" w14:textId="69C6523D" w:rsidR="000C1630" w:rsidRDefault="000C1630" w:rsidP="002D04F5">
            <w:pPr>
              <w:pStyle w:val="BulletText1"/>
              <w:numPr>
                <w:ilvl w:val="0"/>
                <w:numId w:val="0"/>
              </w:numPr>
              <w:ind w:left="173" w:hanging="173"/>
            </w:pPr>
            <w:r>
              <w:t xml:space="preserve">To add a block to define </w:t>
            </w:r>
            <w:r w:rsidRPr="00DC147C">
              <w:rPr>
                <w:b/>
                <w:i/>
              </w:rPr>
              <w:t>testimony</w:t>
            </w:r>
            <w:r>
              <w:t>.</w:t>
            </w:r>
          </w:p>
        </w:tc>
        <w:tc>
          <w:tcPr>
            <w:tcW w:w="1014" w:type="pct"/>
            <w:shd w:val="clear" w:color="auto" w:fill="auto"/>
          </w:tcPr>
          <w:p w14:paraId="1723DC12" w14:textId="77777777" w:rsidR="000C1630" w:rsidRDefault="000C1630" w:rsidP="002F7397">
            <w:pPr>
              <w:pStyle w:val="TableText"/>
            </w:pPr>
            <w:r>
              <w:t>I.4.1.c</w:t>
            </w:r>
          </w:p>
        </w:tc>
      </w:tr>
      <w:tr w:rsidR="000C1630" w14:paraId="341FBC84" w14:textId="77777777" w:rsidTr="00477C22">
        <w:trPr>
          <w:trHeight w:val="180"/>
        </w:trPr>
        <w:tc>
          <w:tcPr>
            <w:tcW w:w="3986" w:type="pct"/>
            <w:shd w:val="clear" w:color="auto" w:fill="auto"/>
          </w:tcPr>
          <w:p w14:paraId="7F7F7AF3" w14:textId="322AB0C2" w:rsidR="000C1630" w:rsidRDefault="000C1630" w:rsidP="002D04F5">
            <w:pPr>
              <w:pStyle w:val="BulletText1"/>
              <w:numPr>
                <w:ilvl w:val="0"/>
                <w:numId w:val="0"/>
              </w:numPr>
            </w:pPr>
            <w:r>
              <w:t xml:space="preserve">To add a block to define </w:t>
            </w:r>
            <w:r w:rsidRPr="00DC147C">
              <w:rPr>
                <w:b/>
                <w:i/>
              </w:rPr>
              <w:t>argument</w:t>
            </w:r>
            <w:r>
              <w:t xml:space="preserve">. </w:t>
            </w:r>
          </w:p>
        </w:tc>
        <w:tc>
          <w:tcPr>
            <w:tcW w:w="1014" w:type="pct"/>
            <w:shd w:val="clear" w:color="auto" w:fill="auto"/>
          </w:tcPr>
          <w:p w14:paraId="589CBB5B" w14:textId="77777777" w:rsidR="000C1630" w:rsidRDefault="000C1630" w:rsidP="002F7397">
            <w:pPr>
              <w:pStyle w:val="TableText"/>
            </w:pPr>
            <w:r>
              <w:t>I.4.1.d</w:t>
            </w:r>
          </w:p>
        </w:tc>
      </w:tr>
      <w:tr w:rsidR="000C1630" w14:paraId="70311762" w14:textId="77777777" w:rsidTr="00477C22">
        <w:trPr>
          <w:trHeight w:val="180"/>
        </w:trPr>
        <w:tc>
          <w:tcPr>
            <w:tcW w:w="3986" w:type="pct"/>
            <w:shd w:val="clear" w:color="auto" w:fill="auto"/>
          </w:tcPr>
          <w:p w14:paraId="408FE181" w14:textId="77777777" w:rsidR="000C1630" w:rsidRDefault="000C1630" w:rsidP="00DC147C">
            <w:pPr>
              <w:pStyle w:val="BulletText1"/>
              <w:numPr>
                <w:ilvl w:val="0"/>
                <w:numId w:val="0"/>
              </w:numPr>
            </w:pPr>
            <w:r>
              <w:t xml:space="preserve">To add a block to consolidate material from two current blocks on who conducts hearings and to add guidance on the relevant regulatory restrictions on participation in hearings (original determinative authority) and (participation in the proposed action or action appealed).  </w:t>
            </w:r>
          </w:p>
        </w:tc>
        <w:tc>
          <w:tcPr>
            <w:tcW w:w="1014" w:type="pct"/>
            <w:shd w:val="clear" w:color="auto" w:fill="auto"/>
          </w:tcPr>
          <w:p w14:paraId="6ACAEBA0" w14:textId="77777777" w:rsidR="000C1630" w:rsidRDefault="000C1630" w:rsidP="002F7397">
            <w:pPr>
              <w:pStyle w:val="TableText"/>
            </w:pPr>
            <w:r>
              <w:t>I.4.1.e</w:t>
            </w:r>
          </w:p>
        </w:tc>
      </w:tr>
      <w:tr w:rsidR="000C1630" w14:paraId="69366409" w14:textId="77777777" w:rsidTr="00477C22">
        <w:trPr>
          <w:trHeight w:val="180"/>
        </w:trPr>
        <w:tc>
          <w:tcPr>
            <w:tcW w:w="3986" w:type="pct"/>
            <w:shd w:val="clear" w:color="auto" w:fill="auto"/>
          </w:tcPr>
          <w:p w14:paraId="265B05C9" w14:textId="55BE33CA" w:rsidR="000C1630" w:rsidRDefault="000C1630" w:rsidP="002D04F5">
            <w:pPr>
              <w:pStyle w:val="TableText"/>
            </w:pPr>
            <w:r>
              <w:t xml:space="preserve">To add a block to define </w:t>
            </w:r>
            <w:r w:rsidRPr="002D04F5">
              <w:rPr>
                <w:b/>
                <w:i/>
              </w:rPr>
              <w:t>original determinative authority</w:t>
            </w:r>
            <w:r>
              <w:t xml:space="preserve">. </w:t>
            </w:r>
          </w:p>
        </w:tc>
        <w:tc>
          <w:tcPr>
            <w:tcW w:w="1014" w:type="pct"/>
            <w:shd w:val="clear" w:color="auto" w:fill="auto"/>
          </w:tcPr>
          <w:p w14:paraId="0CF9BB2D" w14:textId="584E8EA8" w:rsidR="000C1630" w:rsidRDefault="000C1630" w:rsidP="002F7397">
            <w:pPr>
              <w:pStyle w:val="TableText"/>
            </w:pPr>
            <w:r>
              <w:t>I.4.1.f</w:t>
            </w:r>
          </w:p>
        </w:tc>
      </w:tr>
      <w:tr w:rsidR="000C1630" w14:paraId="7BE55ADB" w14:textId="77777777" w:rsidTr="00477C22">
        <w:trPr>
          <w:trHeight w:val="180"/>
        </w:trPr>
        <w:tc>
          <w:tcPr>
            <w:tcW w:w="3986" w:type="pct"/>
            <w:shd w:val="clear" w:color="auto" w:fill="auto"/>
          </w:tcPr>
          <w:p w14:paraId="1773372A" w14:textId="4AF68518" w:rsidR="000C1630" w:rsidRDefault="000C1630" w:rsidP="00405E44">
            <w:pPr>
              <w:pStyle w:val="TableText"/>
            </w:pPr>
            <w:r>
              <w:t xml:space="preserve">To add a block consolidating material from several current blocks involving policy applications of the original determinative authority concept and to add guidance. </w:t>
            </w:r>
          </w:p>
        </w:tc>
        <w:tc>
          <w:tcPr>
            <w:tcW w:w="1014" w:type="pct"/>
            <w:shd w:val="clear" w:color="auto" w:fill="auto"/>
          </w:tcPr>
          <w:p w14:paraId="3A17FB88" w14:textId="6623EDC6" w:rsidR="000C1630" w:rsidRDefault="000C1630" w:rsidP="002F7397">
            <w:pPr>
              <w:pStyle w:val="TableText"/>
            </w:pPr>
            <w:r>
              <w:t>I.4.1.g</w:t>
            </w:r>
          </w:p>
        </w:tc>
      </w:tr>
      <w:tr w:rsidR="000C1630" w14:paraId="08CA10E3" w14:textId="77777777" w:rsidTr="00477C22">
        <w:trPr>
          <w:trHeight w:val="180"/>
        </w:trPr>
        <w:tc>
          <w:tcPr>
            <w:tcW w:w="3986" w:type="pct"/>
            <w:shd w:val="clear" w:color="auto" w:fill="auto"/>
          </w:tcPr>
          <w:p w14:paraId="6BB12F4F" w14:textId="256B63EC" w:rsidR="000C1630" w:rsidRDefault="000C1630" w:rsidP="002D04F5">
            <w:pPr>
              <w:pStyle w:val="TableText"/>
            </w:pPr>
            <w:r>
              <w:t xml:space="preserve">To add a block to define the phrase </w:t>
            </w:r>
            <w:r w:rsidRPr="002D04F5">
              <w:rPr>
                <w:b/>
                <w:i/>
              </w:rPr>
              <w:t>did not participate in the proposed action or the decision being appealed</w:t>
            </w:r>
            <w:r>
              <w:t xml:space="preserve">. </w:t>
            </w:r>
          </w:p>
        </w:tc>
        <w:tc>
          <w:tcPr>
            <w:tcW w:w="1014" w:type="pct"/>
            <w:shd w:val="clear" w:color="auto" w:fill="auto"/>
          </w:tcPr>
          <w:p w14:paraId="0770E3FC" w14:textId="23E52609" w:rsidR="000C1630" w:rsidRDefault="000C1630" w:rsidP="002F7397">
            <w:pPr>
              <w:pStyle w:val="TableText"/>
            </w:pPr>
            <w:r>
              <w:t>I.4.1.h</w:t>
            </w:r>
          </w:p>
        </w:tc>
      </w:tr>
      <w:tr w:rsidR="000C1630" w14:paraId="0535C1ED" w14:textId="77777777" w:rsidTr="00477C22">
        <w:trPr>
          <w:trHeight w:val="180"/>
        </w:trPr>
        <w:tc>
          <w:tcPr>
            <w:tcW w:w="3986" w:type="pct"/>
            <w:shd w:val="clear" w:color="auto" w:fill="auto"/>
          </w:tcPr>
          <w:p w14:paraId="241C3BC3" w14:textId="62D87562" w:rsidR="000C1630" w:rsidRDefault="000C1630" w:rsidP="002D04F5">
            <w:pPr>
              <w:pStyle w:val="TableText"/>
            </w:pPr>
            <w:r>
              <w:t xml:space="preserve">To add a block on who must make a decision on a hearing. </w:t>
            </w:r>
          </w:p>
        </w:tc>
        <w:tc>
          <w:tcPr>
            <w:tcW w:w="1014" w:type="pct"/>
            <w:shd w:val="clear" w:color="auto" w:fill="auto"/>
          </w:tcPr>
          <w:p w14:paraId="6A2D72FE" w14:textId="7A5D4C54" w:rsidR="000C1630" w:rsidRDefault="000C1630" w:rsidP="002F7397">
            <w:pPr>
              <w:pStyle w:val="TableText"/>
            </w:pPr>
            <w:r>
              <w:t>I.4.1.i</w:t>
            </w:r>
          </w:p>
        </w:tc>
      </w:tr>
      <w:tr w:rsidR="00477C22" w14:paraId="2B03FB8C" w14:textId="77777777" w:rsidTr="00477C22">
        <w:trPr>
          <w:trHeight w:val="180"/>
        </w:trPr>
        <w:tc>
          <w:tcPr>
            <w:tcW w:w="3986" w:type="pct"/>
            <w:shd w:val="clear" w:color="auto" w:fill="auto"/>
          </w:tcPr>
          <w:p w14:paraId="3CE82955" w14:textId="5AD2BFB9" w:rsidR="00477C22" w:rsidRDefault="00477C22" w:rsidP="00483B06">
            <w:pPr>
              <w:pStyle w:val="BulletText2"/>
              <w:numPr>
                <w:ilvl w:val="0"/>
                <w:numId w:val="0"/>
              </w:numPr>
            </w:pPr>
            <w:r>
              <w:t xml:space="preserve">To add a block to establish a procedure where a hearing official is not available to make the subsequent decision. </w:t>
            </w:r>
          </w:p>
        </w:tc>
        <w:tc>
          <w:tcPr>
            <w:tcW w:w="1014" w:type="pct"/>
            <w:shd w:val="clear" w:color="auto" w:fill="auto"/>
          </w:tcPr>
          <w:p w14:paraId="31867AE5" w14:textId="28C530E4" w:rsidR="00477C22" w:rsidRDefault="00477C22" w:rsidP="002F7397">
            <w:pPr>
              <w:pStyle w:val="TableText"/>
            </w:pPr>
            <w:r>
              <w:t>I.4.1.j</w:t>
            </w:r>
          </w:p>
        </w:tc>
      </w:tr>
      <w:tr w:rsidR="00477C22" w14:paraId="632E5B97" w14:textId="77777777" w:rsidTr="00477C22">
        <w:trPr>
          <w:trHeight w:val="180"/>
        </w:trPr>
        <w:tc>
          <w:tcPr>
            <w:tcW w:w="3986" w:type="pct"/>
            <w:shd w:val="clear" w:color="auto" w:fill="auto"/>
          </w:tcPr>
          <w:p w14:paraId="52D5F3F6" w14:textId="7B79C641" w:rsidR="00477C22" w:rsidRDefault="00477C22" w:rsidP="00405E44">
            <w:pPr>
              <w:pStyle w:val="BulletText2"/>
              <w:numPr>
                <w:ilvl w:val="0"/>
                <w:numId w:val="0"/>
              </w:numPr>
            </w:pPr>
            <w:r>
              <w:t xml:space="preserve">To remove unnecessary and redundant material and add references. </w:t>
            </w:r>
          </w:p>
        </w:tc>
        <w:tc>
          <w:tcPr>
            <w:tcW w:w="1014" w:type="pct"/>
            <w:shd w:val="clear" w:color="auto" w:fill="auto"/>
          </w:tcPr>
          <w:p w14:paraId="74FD16DB" w14:textId="208C71EE" w:rsidR="00477C22" w:rsidRDefault="00477C22" w:rsidP="002F7397">
            <w:pPr>
              <w:pStyle w:val="TableText"/>
            </w:pPr>
            <w:r>
              <w:t>I.4.1.l</w:t>
            </w:r>
          </w:p>
        </w:tc>
      </w:tr>
      <w:tr w:rsidR="00477C22" w14:paraId="28E7B59C" w14:textId="77777777" w:rsidTr="00477C22">
        <w:trPr>
          <w:trHeight w:val="180"/>
        </w:trPr>
        <w:tc>
          <w:tcPr>
            <w:tcW w:w="3986" w:type="pct"/>
            <w:shd w:val="clear" w:color="auto" w:fill="auto"/>
          </w:tcPr>
          <w:p w14:paraId="047C8D38" w14:textId="5A20E6E4" w:rsidR="00477C22" w:rsidRDefault="00477C22" w:rsidP="00405E44">
            <w:pPr>
              <w:pStyle w:val="BulletText2"/>
              <w:numPr>
                <w:ilvl w:val="0"/>
                <w:numId w:val="0"/>
              </w:numPr>
            </w:pPr>
            <w:r>
              <w:t xml:space="preserve">To revise the existing block and provide a table to use in determining who conducts hearings for employee-claimants, and veteran service officer-claimants. </w:t>
            </w:r>
          </w:p>
        </w:tc>
        <w:tc>
          <w:tcPr>
            <w:tcW w:w="1014" w:type="pct"/>
            <w:shd w:val="clear" w:color="auto" w:fill="auto"/>
          </w:tcPr>
          <w:p w14:paraId="39425D42" w14:textId="3B46ABC5" w:rsidR="00477C22" w:rsidRDefault="00477C22" w:rsidP="002F7397">
            <w:pPr>
              <w:pStyle w:val="TableText"/>
            </w:pPr>
            <w:r>
              <w:t>I.4.1.m</w:t>
            </w:r>
          </w:p>
        </w:tc>
      </w:tr>
      <w:tr w:rsidR="00477C22" w14:paraId="49862665" w14:textId="77777777" w:rsidTr="00477C22">
        <w:trPr>
          <w:trHeight w:val="180"/>
        </w:trPr>
        <w:tc>
          <w:tcPr>
            <w:tcW w:w="3986" w:type="pct"/>
            <w:shd w:val="clear" w:color="auto" w:fill="auto"/>
          </w:tcPr>
          <w:p w14:paraId="5C2EE15C" w14:textId="700043AC" w:rsidR="00477C22" w:rsidRDefault="00477C22" w:rsidP="00405E44">
            <w:pPr>
              <w:pStyle w:val="BulletText2"/>
              <w:numPr>
                <w:ilvl w:val="0"/>
                <w:numId w:val="0"/>
              </w:numPr>
            </w:pPr>
            <w:r>
              <w:t xml:space="preserve">To revise the block material on where to hold a hearing to add guidance on holding hearings at a RO closer to the claimant’s residence and to remove </w:t>
            </w:r>
            <w:r>
              <w:lastRenderedPageBreak/>
              <w:t xml:space="preserve">out of place and redundant material. </w:t>
            </w:r>
          </w:p>
        </w:tc>
        <w:tc>
          <w:tcPr>
            <w:tcW w:w="1014" w:type="pct"/>
            <w:shd w:val="clear" w:color="auto" w:fill="auto"/>
          </w:tcPr>
          <w:p w14:paraId="0D886F66" w14:textId="0D3F8583" w:rsidR="00477C22" w:rsidRDefault="00477C22" w:rsidP="002F7397">
            <w:pPr>
              <w:pStyle w:val="TableText"/>
            </w:pPr>
            <w:r>
              <w:lastRenderedPageBreak/>
              <w:t>I.4.1.n</w:t>
            </w:r>
          </w:p>
        </w:tc>
      </w:tr>
      <w:tr w:rsidR="00477C22" w14:paraId="51897DFD" w14:textId="77777777" w:rsidTr="00477C22">
        <w:trPr>
          <w:trHeight w:val="180"/>
        </w:trPr>
        <w:tc>
          <w:tcPr>
            <w:tcW w:w="3986" w:type="pct"/>
            <w:shd w:val="clear" w:color="auto" w:fill="auto"/>
          </w:tcPr>
          <w:p w14:paraId="3A7BBDDE" w14:textId="5531003D" w:rsidR="00477C22" w:rsidRDefault="00477C22" w:rsidP="00405E44">
            <w:pPr>
              <w:pStyle w:val="BulletText2"/>
              <w:numPr>
                <w:ilvl w:val="0"/>
                <w:numId w:val="0"/>
              </w:numPr>
            </w:pPr>
            <w:r>
              <w:lastRenderedPageBreak/>
              <w:t>To add a block on hearing facility requirements</w:t>
            </w:r>
          </w:p>
        </w:tc>
        <w:tc>
          <w:tcPr>
            <w:tcW w:w="1014" w:type="pct"/>
            <w:shd w:val="clear" w:color="auto" w:fill="auto"/>
          </w:tcPr>
          <w:p w14:paraId="382FCAEF" w14:textId="53E30D6F" w:rsidR="00477C22" w:rsidRDefault="00477C22" w:rsidP="002F7397">
            <w:pPr>
              <w:pStyle w:val="TableText"/>
            </w:pPr>
            <w:r>
              <w:t>I.4.1.o</w:t>
            </w:r>
          </w:p>
        </w:tc>
      </w:tr>
      <w:tr w:rsidR="00477C22" w14:paraId="583E9A8E" w14:textId="77777777" w:rsidTr="00477C22">
        <w:trPr>
          <w:trHeight w:val="180"/>
        </w:trPr>
        <w:tc>
          <w:tcPr>
            <w:tcW w:w="3986" w:type="pct"/>
            <w:shd w:val="clear" w:color="auto" w:fill="auto"/>
          </w:tcPr>
          <w:p w14:paraId="22B3325F" w14:textId="1729181B" w:rsidR="00477C22" w:rsidRDefault="00477C22" w:rsidP="00405E44">
            <w:pPr>
              <w:pStyle w:val="BulletText2"/>
              <w:numPr>
                <w:ilvl w:val="0"/>
                <w:numId w:val="0"/>
              </w:numPr>
            </w:pPr>
            <w:r>
              <w:t xml:space="preserve">To revise the guidance on attendance at hearings.  </w:t>
            </w:r>
          </w:p>
        </w:tc>
        <w:tc>
          <w:tcPr>
            <w:tcW w:w="1014" w:type="pct"/>
            <w:shd w:val="clear" w:color="auto" w:fill="auto"/>
          </w:tcPr>
          <w:p w14:paraId="4FA029B9" w14:textId="2E8E2991" w:rsidR="00477C22" w:rsidRDefault="00477C22" w:rsidP="002F7397">
            <w:pPr>
              <w:pStyle w:val="TableText"/>
            </w:pPr>
            <w:r>
              <w:t>I.4.1.q</w:t>
            </w:r>
          </w:p>
        </w:tc>
      </w:tr>
      <w:tr w:rsidR="00477C22" w14:paraId="1B0CA256" w14:textId="77777777" w:rsidTr="00477C22">
        <w:trPr>
          <w:trHeight w:val="180"/>
        </w:trPr>
        <w:tc>
          <w:tcPr>
            <w:tcW w:w="3986" w:type="pct"/>
            <w:shd w:val="clear" w:color="auto" w:fill="auto"/>
          </w:tcPr>
          <w:p w14:paraId="74BC301F" w14:textId="788F6F7D" w:rsidR="00477C22" w:rsidRDefault="00477C22" w:rsidP="00524C0F">
            <w:pPr>
              <w:pStyle w:val="BulletText2"/>
              <w:numPr>
                <w:ilvl w:val="0"/>
                <w:numId w:val="0"/>
              </w:numPr>
            </w:pPr>
            <w:r>
              <w:t xml:space="preserve">To revise the guidance on non-adversarial nature of hearings to provide material on appropriate questioning and avoiding cross examination.  </w:t>
            </w:r>
          </w:p>
        </w:tc>
        <w:tc>
          <w:tcPr>
            <w:tcW w:w="1014" w:type="pct"/>
            <w:shd w:val="clear" w:color="auto" w:fill="auto"/>
          </w:tcPr>
          <w:p w14:paraId="728EFCBC" w14:textId="31B5185B" w:rsidR="00477C22" w:rsidRDefault="00477C22" w:rsidP="002F7397">
            <w:pPr>
              <w:pStyle w:val="TableText"/>
            </w:pPr>
            <w:r>
              <w:t>I.4.2.a</w:t>
            </w:r>
          </w:p>
        </w:tc>
      </w:tr>
      <w:tr w:rsidR="00477C22" w14:paraId="41A38860" w14:textId="77777777" w:rsidTr="00477C22">
        <w:trPr>
          <w:trHeight w:val="180"/>
        </w:trPr>
        <w:tc>
          <w:tcPr>
            <w:tcW w:w="3986" w:type="pct"/>
            <w:shd w:val="clear" w:color="auto" w:fill="auto"/>
          </w:tcPr>
          <w:p w14:paraId="4EBC85D9" w14:textId="063088DB" w:rsidR="00477C22" w:rsidRDefault="00477C22" w:rsidP="00405E44">
            <w:pPr>
              <w:pStyle w:val="BulletText2"/>
              <w:numPr>
                <w:ilvl w:val="0"/>
                <w:numId w:val="0"/>
              </w:numPr>
            </w:pPr>
            <w:r>
              <w:t>To revise and consolidate the guidance on decorum and appearance of hearing personnel.</w:t>
            </w:r>
          </w:p>
        </w:tc>
        <w:tc>
          <w:tcPr>
            <w:tcW w:w="1014" w:type="pct"/>
            <w:shd w:val="clear" w:color="auto" w:fill="auto"/>
          </w:tcPr>
          <w:p w14:paraId="3167B00C" w14:textId="6DE9B936" w:rsidR="00477C22" w:rsidRDefault="00477C22" w:rsidP="002F7397">
            <w:pPr>
              <w:pStyle w:val="TableText"/>
            </w:pPr>
            <w:r>
              <w:t>I.4.2.b</w:t>
            </w:r>
          </w:p>
        </w:tc>
      </w:tr>
      <w:tr w:rsidR="00477C22" w14:paraId="7972B0D0" w14:textId="77777777" w:rsidTr="00477C22">
        <w:trPr>
          <w:trHeight w:val="180"/>
        </w:trPr>
        <w:tc>
          <w:tcPr>
            <w:tcW w:w="3986" w:type="pct"/>
            <w:shd w:val="clear" w:color="auto" w:fill="auto"/>
          </w:tcPr>
          <w:p w14:paraId="39B39AF9" w14:textId="5DA63458" w:rsidR="00477C22" w:rsidRDefault="00477C22" w:rsidP="00405E44">
            <w:pPr>
              <w:pStyle w:val="BulletText2"/>
              <w:numPr>
                <w:ilvl w:val="0"/>
                <w:numId w:val="0"/>
              </w:numPr>
            </w:pPr>
            <w:r>
              <w:t>To add material from another block</w:t>
            </w:r>
          </w:p>
        </w:tc>
        <w:tc>
          <w:tcPr>
            <w:tcW w:w="1014" w:type="pct"/>
            <w:shd w:val="clear" w:color="auto" w:fill="auto"/>
          </w:tcPr>
          <w:p w14:paraId="3A4D22F7" w14:textId="70EFED25" w:rsidR="00477C22" w:rsidRDefault="00477C22" w:rsidP="00524C0F">
            <w:pPr>
              <w:pStyle w:val="TableText"/>
            </w:pPr>
            <w:r>
              <w:t>I.4.2.c</w:t>
            </w:r>
          </w:p>
        </w:tc>
      </w:tr>
      <w:tr w:rsidR="00477C22" w14:paraId="0051C34F" w14:textId="77777777" w:rsidTr="00477C22">
        <w:trPr>
          <w:trHeight w:val="180"/>
        </w:trPr>
        <w:tc>
          <w:tcPr>
            <w:tcW w:w="3986" w:type="pct"/>
            <w:shd w:val="clear" w:color="auto" w:fill="auto"/>
          </w:tcPr>
          <w:p w14:paraId="3FF60B22" w14:textId="48D12DA8" w:rsidR="00477C22" w:rsidRDefault="00477C22" w:rsidP="00524C0F">
            <w:pPr>
              <w:pStyle w:val="BulletText2"/>
              <w:numPr>
                <w:ilvl w:val="0"/>
                <w:numId w:val="0"/>
              </w:numPr>
            </w:pPr>
            <w:r>
              <w:t xml:space="preserve">The enhance the block content on the prohibition against conveying and expected decision during a hearing to clarify that the prohibition includes implying that a decision has been reached and to provide guidance on how the hearing official should respond in response to a question about what the decision will be. </w:t>
            </w:r>
          </w:p>
        </w:tc>
        <w:tc>
          <w:tcPr>
            <w:tcW w:w="1014" w:type="pct"/>
            <w:shd w:val="clear" w:color="auto" w:fill="auto"/>
          </w:tcPr>
          <w:p w14:paraId="5D15DCA9" w14:textId="5034DE43" w:rsidR="00477C22" w:rsidRDefault="00477C22" w:rsidP="00524C0F">
            <w:pPr>
              <w:pStyle w:val="TableText"/>
            </w:pPr>
            <w:r>
              <w:t>I.4.2.d</w:t>
            </w:r>
          </w:p>
        </w:tc>
      </w:tr>
      <w:tr w:rsidR="00477C22" w14:paraId="3756A2E1" w14:textId="77777777" w:rsidTr="00477C22">
        <w:trPr>
          <w:trHeight w:val="180"/>
        </w:trPr>
        <w:tc>
          <w:tcPr>
            <w:tcW w:w="3986" w:type="pct"/>
            <w:shd w:val="clear" w:color="auto" w:fill="auto"/>
          </w:tcPr>
          <w:p w14:paraId="5BBE61FF" w14:textId="33167654" w:rsidR="00477C22" w:rsidRDefault="00477C22" w:rsidP="00405E44">
            <w:pPr>
              <w:pStyle w:val="BulletText2"/>
              <w:numPr>
                <w:ilvl w:val="0"/>
                <w:numId w:val="0"/>
              </w:numPr>
            </w:pPr>
            <w:r>
              <w:t>To add a new block on how the hearing official should respond to inappropriate behavior by hearing attendees</w:t>
            </w:r>
          </w:p>
        </w:tc>
        <w:tc>
          <w:tcPr>
            <w:tcW w:w="1014" w:type="pct"/>
            <w:shd w:val="clear" w:color="auto" w:fill="auto"/>
          </w:tcPr>
          <w:p w14:paraId="31C26B99" w14:textId="6D8C9CEE" w:rsidR="00477C22" w:rsidRDefault="00477C22" w:rsidP="00524C0F">
            <w:pPr>
              <w:pStyle w:val="TableText"/>
            </w:pPr>
            <w:r>
              <w:t>I.4.2.e</w:t>
            </w:r>
          </w:p>
        </w:tc>
      </w:tr>
      <w:tr w:rsidR="00477C22" w14:paraId="7269A549" w14:textId="77777777" w:rsidTr="00477C22">
        <w:trPr>
          <w:trHeight w:val="180"/>
        </w:trPr>
        <w:tc>
          <w:tcPr>
            <w:tcW w:w="3986" w:type="pct"/>
            <w:shd w:val="clear" w:color="auto" w:fill="auto"/>
          </w:tcPr>
          <w:p w14:paraId="11B36B81" w14:textId="467EB9E2" w:rsidR="00477C22" w:rsidRDefault="00477C22" w:rsidP="00405E44">
            <w:pPr>
              <w:pStyle w:val="BulletText2"/>
              <w:numPr>
                <w:ilvl w:val="0"/>
                <w:numId w:val="0"/>
              </w:numPr>
            </w:pPr>
            <w:r>
              <w:t xml:space="preserve">To add block content on timely scheduling of hearings to provide flexibility in assessing timeliness of hearings requested in appeal dockets and to provide a sublabel emphasizing the importance of expediting hearings in cases entitled to priority handling.. </w:t>
            </w:r>
          </w:p>
        </w:tc>
        <w:tc>
          <w:tcPr>
            <w:tcW w:w="1014" w:type="pct"/>
            <w:shd w:val="clear" w:color="auto" w:fill="auto"/>
          </w:tcPr>
          <w:p w14:paraId="2B2FFE92" w14:textId="1CC2CA1C" w:rsidR="00477C22" w:rsidRDefault="00477C22" w:rsidP="002F7397">
            <w:pPr>
              <w:pStyle w:val="TableText"/>
            </w:pPr>
            <w:r>
              <w:t>I.4.3.a</w:t>
            </w:r>
          </w:p>
        </w:tc>
      </w:tr>
      <w:tr w:rsidR="00477C22" w14:paraId="505DB9B7" w14:textId="77777777" w:rsidTr="00477C22">
        <w:trPr>
          <w:trHeight w:val="180"/>
        </w:trPr>
        <w:tc>
          <w:tcPr>
            <w:tcW w:w="3986" w:type="pct"/>
            <w:shd w:val="clear" w:color="auto" w:fill="auto"/>
          </w:tcPr>
          <w:p w14:paraId="2F9D3082" w14:textId="77777777" w:rsidR="00477C22" w:rsidRDefault="00477C22" w:rsidP="00573793">
            <w:pPr>
              <w:pStyle w:val="BulletText1"/>
            </w:pPr>
            <w:r>
              <w:t xml:space="preserve">To include information on forms that must be completed when witnesses will be present at a hearing. </w:t>
            </w:r>
          </w:p>
          <w:p w14:paraId="59F6D73B" w14:textId="7A55DB4F" w:rsidR="00477C22" w:rsidRDefault="00477C22" w:rsidP="00573793">
            <w:pPr>
              <w:pStyle w:val="BulletText1"/>
            </w:pPr>
            <w:r>
              <w:t>To indicate that if explaining proceedings before going on the record recap the matters discussed before hand when the transcription begins.</w:t>
            </w:r>
          </w:p>
        </w:tc>
        <w:tc>
          <w:tcPr>
            <w:tcW w:w="1014" w:type="pct"/>
            <w:shd w:val="clear" w:color="auto" w:fill="auto"/>
          </w:tcPr>
          <w:p w14:paraId="6DABDA0F" w14:textId="06ADE77A" w:rsidR="00477C22" w:rsidRDefault="00477C22" w:rsidP="002F7397">
            <w:pPr>
              <w:pStyle w:val="TableText"/>
            </w:pPr>
            <w:r>
              <w:t>I.4.4.a</w:t>
            </w:r>
          </w:p>
        </w:tc>
      </w:tr>
      <w:tr w:rsidR="00477C22" w14:paraId="5A2747B4" w14:textId="77777777" w:rsidTr="00477C22">
        <w:trPr>
          <w:trHeight w:val="180"/>
        </w:trPr>
        <w:tc>
          <w:tcPr>
            <w:tcW w:w="3986" w:type="pct"/>
            <w:shd w:val="clear" w:color="auto" w:fill="auto"/>
          </w:tcPr>
          <w:p w14:paraId="36AA8E5A" w14:textId="187C9316" w:rsidR="00477C22" w:rsidRDefault="00477C22" w:rsidP="00405E44">
            <w:pPr>
              <w:pStyle w:val="BulletText2"/>
              <w:numPr>
                <w:ilvl w:val="0"/>
                <w:numId w:val="0"/>
              </w:numPr>
            </w:pPr>
            <w:r>
              <w:t>To provide additional block content on holdings hearings where the representative is an attorney</w:t>
            </w:r>
          </w:p>
        </w:tc>
        <w:tc>
          <w:tcPr>
            <w:tcW w:w="1014" w:type="pct"/>
            <w:shd w:val="clear" w:color="auto" w:fill="auto"/>
          </w:tcPr>
          <w:p w14:paraId="4823E99D" w14:textId="7E237899" w:rsidR="00477C22" w:rsidRDefault="00477C22" w:rsidP="002F7397">
            <w:pPr>
              <w:pStyle w:val="TableText"/>
            </w:pPr>
            <w:r>
              <w:t>I.4.4.b</w:t>
            </w:r>
          </w:p>
        </w:tc>
      </w:tr>
      <w:tr w:rsidR="00477C22" w14:paraId="36882B9A" w14:textId="77777777" w:rsidTr="00477C22">
        <w:trPr>
          <w:trHeight w:val="180"/>
        </w:trPr>
        <w:tc>
          <w:tcPr>
            <w:tcW w:w="3986" w:type="pct"/>
            <w:shd w:val="clear" w:color="auto" w:fill="auto"/>
          </w:tcPr>
          <w:p w14:paraId="2FF6AA5F" w14:textId="7DAF6978" w:rsidR="00477C22" w:rsidRDefault="00477C22" w:rsidP="00405E44">
            <w:pPr>
              <w:pStyle w:val="BulletText2"/>
              <w:numPr>
                <w:ilvl w:val="0"/>
                <w:numId w:val="0"/>
              </w:numPr>
            </w:pPr>
            <w:r>
              <w:t>To provide additional block content on matters to discuss when starting the hearing.</w:t>
            </w:r>
          </w:p>
        </w:tc>
        <w:tc>
          <w:tcPr>
            <w:tcW w:w="1014" w:type="pct"/>
            <w:shd w:val="clear" w:color="auto" w:fill="auto"/>
          </w:tcPr>
          <w:p w14:paraId="24F2BA28" w14:textId="31D67BF8" w:rsidR="00477C22" w:rsidRDefault="00477C22" w:rsidP="002F7397">
            <w:pPr>
              <w:pStyle w:val="TableText"/>
            </w:pPr>
            <w:r>
              <w:t>I.4.4.f</w:t>
            </w:r>
          </w:p>
        </w:tc>
      </w:tr>
      <w:tr w:rsidR="00477C22" w14:paraId="497AA9B6" w14:textId="77777777" w:rsidTr="00477C22">
        <w:trPr>
          <w:trHeight w:val="180"/>
        </w:trPr>
        <w:tc>
          <w:tcPr>
            <w:tcW w:w="3986" w:type="pct"/>
            <w:shd w:val="clear" w:color="auto" w:fill="auto"/>
          </w:tcPr>
          <w:p w14:paraId="17BD37AD" w14:textId="60C09671" w:rsidR="00477C22" w:rsidRDefault="00477C22" w:rsidP="00573793">
            <w:pPr>
              <w:pStyle w:val="BulletText2"/>
              <w:numPr>
                <w:ilvl w:val="0"/>
                <w:numId w:val="0"/>
              </w:numPr>
            </w:pPr>
            <w:r>
              <w:t>To add a reference.</w:t>
            </w:r>
          </w:p>
        </w:tc>
        <w:tc>
          <w:tcPr>
            <w:tcW w:w="1014" w:type="pct"/>
            <w:shd w:val="clear" w:color="auto" w:fill="auto"/>
          </w:tcPr>
          <w:p w14:paraId="510DB2DA" w14:textId="127B1A13" w:rsidR="00477C22" w:rsidRDefault="00477C22" w:rsidP="00D96C9E">
            <w:pPr>
              <w:pStyle w:val="TableText"/>
            </w:pPr>
            <w:r>
              <w:t>I.4.4.i</w:t>
            </w:r>
          </w:p>
        </w:tc>
      </w:tr>
      <w:tr w:rsidR="00477C22" w14:paraId="7DBE4D18" w14:textId="77777777" w:rsidTr="00477C22">
        <w:trPr>
          <w:trHeight w:val="180"/>
        </w:trPr>
        <w:tc>
          <w:tcPr>
            <w:tcW w:w="3986" w:type="pct"/>
            <w:shd w:val="clear" w:color="auto" w:fill="auto"/>
          </w:tcPr>
          <w:p w14:paraId="382CF8BE" w14:textId="4AB14F49" w:rsidR="00477C22" w:rsidRDefault="00477C22" w:rsidP="00573793">
            <w:pPr>
              <w:pStyle w:val="BulletText2"/>
              <w:numPr>
                <w:ilvl w:val="0"/>
                <w:numId w:val="0"/>
              </w:numPr>
            </w:pPr>
            <w:r>
              <w:t>To add an exception to the steps for ending a hearing.</w:t>
            </w:r>
          </w:p>
        </w:tc>
        <w:tc>
          <w:tcPr>
            <w:tcW w:w="1014" w:type="pct"/>
            <w:shd w:val="clear" w:color="auto" w:fill="auto"/>
          </w:tcPr>
          <w:p w14:paraId="304F6C70" w14:textId="38E1E89C" w:rsidR="00477C22" w:rsidRDefault="00477C22" w:rsidP="00D96C9E">
            <w:pPr>
              <w:pStyle w:val="TableText"/>
            </w:pPr>
            <w:r>
              <w:t>I.4.4.j</w:t>
            </w:r>
          </w:p>
        </w:tc>
      </w:tr>
      <w:tr w:rsidR="00477C22" w14:paraId="1805C37B" w14:textId="77777777" w:rsidTr="00477C22">
        <w:trPr>
          <w:trHeight w:val="180"/>
        </w:trPr>
        <w:tc>
          <w:tcPr>
            <w:tcW w:w="3986" w:type="pct"/>
            <w:shd w:val="clear" w:color="auto" w:fill="auto"/>
          </w:tcPr>
          <w:p w14:paraId="0F1FC4E5" w14:textId="50D13538" w:rsidR="00477C22" w:rsidRDefault="00477C22" w:rsidP="003C08C1">
            <w:pPr>
              <w:pStyle w:val="BulletText1"/>
            </w:pPr>
            <w:r>
              <w:t xml:space="preserve">To update the procedure to reflect that when a claimant wishes to file a NOD during a hearing, the hearing official will provide the new VA Form 21-0958. </w:t>
            </w:r>
          </w:p>
          <w:p w14:paraId="123334F7" w14:textId="04F38FBF" w:rsidR="00477C22" w:rsidRDefault="00477C22" w:rsidP="003C08C1">
            <w:pPr>
              <w:pStyle w:val="BulletText1"/>
            </w:pPr>
            <w:r>
              <w:t xml:space="preserve">To add notes. </w:t>
            </w:r>
          </w:p>
        </w:tc>
        <w:tc>
          <w:tcPr>
            <w:tcW w:w="1014" w:type="pct"/>
            <w:shd w:val="clear" w:color="auto" w:fill="auto"/>
          </w:tcPr>
          <w:p w14:paraId="5183A41F" w14:textId="5D0A96ED" w:rsidR="00477C22" w:rsidRDefault="00477C22" w:rsidP="00D96C9E">
            <w:pPr>
              <w:pStyle w:val="TableText"/>
            </w:pPr>
            <w:r>
              <w:t>I.4.5.b</w:t>
            </w:r>
          </w:p>
        </w:tc>
      </w:tr>
      <w:tr w:rsidR="00477C22" w14:paraId="2ABBA221" w14:textId="77777777" w:rsidTr="00477C22">
        <w:trPr>
          <w:trHeight w:val="180"/>
        </w:trPr>
        <w:tc>
          <w:tcPr>
            <w:tcW w:w="3986" w:type="pct"/>
            <w:shd w:val="clear" w:color="auto" w:fill="auto"/>
          </w:tcPr>
          <w:p w14:paraId="24F692CE" w14:textId="649ADA53" w:rsidR="00477C22" w:rsidRDefault="00477C22" w:rsidP="00573793">
            <w:pPr>
              <w:pStyle w:val="BulletText2"/>
              <w:numPr>
                <w:ilvl w:val="0"/>
                <w:numId w:val="0"/>
              </w:numPr>
            </w:pPr>
            <w:r>
              <w:t xml:space="preserve">To remove the existing Block c content which is incorrect, incomplete and which overlaps other blocks in the topic. </w:t>
            </w:r>
          </w:p>
        </w:tc>
        <w:tc>
          <w:tcPr>
            <w:tcW w:w="1014" w:type="pct"/>
            <w:shd w:val="clear" w:color="auto" w:fill="auto"/>
          </w:tcPr>
          <w:p w14:paraId="226AA59B" w14:textId="0D3E8042" w:rsidR="00477C22" w:rsidRDefault="00477C22" w:rsidP="00D96C9E">
            <w:pPr>
              <w:pStyle w:val="TableText"/>
            </w:pPr>
            <w:r>
              <w:t>I.4.5</w:t>
            </w:r>
          </w:p>
        </w:tc>
      </w:tr>
      <w:tr w:rsidR="00477C22" w14:paraId="65F7F2D7" w14:textId="77777777" w:rsidTr="00477C22">
        <w:trPr>
          <w:trHeight w:val="180"/>
        </w:trPr>
        <w:tc>
          <w:tcPr>
            <w:tcW w:w="3986" w:type="pct"/>
            <w:shd w:val="clear" w:color="auto" w:fill="auto"/>
          </w:tcPr>
          <w:p w14:paraId="3E26AF6A" w14:textId="0BB91279" w:rsidR="00477C22" w:rsidRDefault="00477C22" w:rsidP="00573793">
            <w:pPr>
              <w:pStyle w:val="BulletText2"/>
              <w:numPr>
                <w:ilvl w:val="0"/>
                <w:numId w:val="0"/>
              </w:numPr>
            </w:pPr>
            <w:r>
              <w:t xml:space="preserve">To remove existing Block a which duplicates material in an earlier topic in the chapter. </w:t>
            </w:r>
          </w:p>
        </w:tc>
        <w:tc>
          <w:tcPr>
            <w:tcW w:w="1014" w:type="pct"/>
            <w:shd w:val="clear" w:color="auto" w:fill="auto"/>
          </w:tcPr>
          <w:p w14:paraId="6D2449CD" w14:textId="541EE8D7" w:rsidR="00477C22" w:rsidRDefault="00477C22" w:rsidP="00D96C9E">
            <w:pPr>
              <w:pStyle w:val="TableText"/>
            </w:pPr>
            <w:r>
              <w:t>I.4.7</w:t>
            </w:r>
          </w:p>
        </w:tc>
      </w:tr>
      <w:tr w:rsidR="00477C22" w14:paraId="6DA0A752" w14:textId="77777777" w:rsidTr="00477C22">
        <w:trPr>
          <w:trHeight w:val="180"/>
        </w:trPr>
        <w:tc>
          <w:tcPr>
            <w:tcW w:w="3986" w:type="pct"/>
            <w:shd w:val="clear" w:color="auto" w:fill="auto"/>
          </w:tcPr>
          <w:p w14:paraId="66176C60" w14:textId="75A4FAC4" w:rsidR="00477C22" w:rsidRDefault="00477C22" w:rsidP="00F1758B">
            <w:pPr>
              <w:pStyle w:val="BulletText2"/>
              <w:numPr>
                <w:ilvl w:val="0"/>
                <w:numId w:val="0"/>
              </w:numPr>
            </w:pPr>
            <w:r>
              <w:t xml:space="preserve">To remove existing Block b.  The material has been moved to a prior topic in the chapter. </w:t>
            </w:r>
          </w:p>
        </w:tc>
        <w:tc>
          <w:tcPr>
            <w:tcW w:w="1014" w:type="pct"/>
            <w:shd w:val="clear" w:color="auto" w:fill="auto"/>
          </w:tcPr>
          <w:p w14:paraId="2BA5944A" w14:textId="7A463697" w:rsidR="00477C22" w:rsidRDefault="00477C22" w:rsidP="00D96C9E">
            <w:pPr>
              <w:pStyle w:val="TableText"/>
            </w:pPr>
            <w:r>
              <w:t>I.4.7</w:t>
            </w:r>
          </w:p>
        </w:tc>
      </w:tr>
      <w:tr w:rsidR="00477C22" w14:paraId="6D6AAB2A" w14:textId="77777777" w:rsidTr="00477C22">
        <w:trPr>
          <w:trHeight w:val="180"/>
        </w:trPr>
        <w:tc>
          <w:tcPr>
            <w:tcW w:w="3986" w:type="pct"/>
            <w:shd w:val="clear" w:color="auto" w:fill="auto"/>
          </w:tcPr>
          <w:p w14:paraId="1E779205" w14:textId="2B308646" w:rsidR="00477C22" w:rsidRDefault="00477C22" w:rsidP="00F1758B">
            <w:pPr>
              <w:pStyle w:val="BulletText2"/>
              <w:numPr>
                <w:ilvl w:val="0"/>
                <w:numId w:val="0"/>
              </w:numPr>
            </w:pPr>
            <w:r>
              <w:t>To add a reference</w:t>
            </w:r>
          </w:p>
        </w:tc>
        <w:tc>
          <w:tcPr>
            <w:tcW w:w="1014" w:type="pct"/>
            <w:shd w:val="clear" w:color="auto" w:fill="auto"/>
          </w:tcPr>
          <w:p w14:paraId="6C298070" w14:textId="7F9C0364" w:rsidR="00477C22" w:rsidRDefault="00477C22" w:rsidP="00D96C9E">
            <w:pPr>
              <w:pStyle w:val="TableText"/>
            </w:pPr>
            <w:r>
              <w:t>I.4.7.a</w:t>
            </w:r>
          </w:p>
        </w:tc>
      </w:tr>
      <w:tr w:rsidR="00477C22" w14:paraId="104D9645" w14:textId="77777777" w:rsidTr="00477C22">
        <w:trPr>
          <w:trHeight w:val="180"/>
        </w:trPr>
        <w:tc>
          <w:tcPr>
            <w:tcW w:w="3986" w:type="pct"/>
            <w:shd w:val="clear" w:color="auto" w:fill="auto"/>
          </w:tcPr>
          <w:p w14:paraId="7F0BBB0E" w14:textId="2D2E3BB0" w:rsidR="00477C22" w:rsidRDefault="00477C22" w:rsidP="00F1758B">
            <w:pPr>
              <w:pStyle w:val="BulletText2"/>
              <w:numPr>
                <w:ilvl w:val="0"/>
                <w:numId w:val="0"/>
              </w:numPr>
            </w:pPr>
            <w:r>
              <w:t xml:space="preserve">To improve the guidance on analyzing the competency of witnesses. </w:t>
            </w:r>
          </w:p>
        </w:tc>
        <w:tc>
          <w:tcPr>
            <w:tcW w:w="1014" w:type="pct"/>
            <w:shd w:val="clear" w:color="auto" w:fill="auto"/>
          </w:tcPr>
          <w:p w14:paraId="0013F855" w14:textId="61B4997D" w:rsidR="00477C22" w:rsidRDefault="00477C22" w:rsidP="00D96C9E">
            <w:pPr>
              <w:pStyle w:val="TableText"/>
            </w:pPr>
            <w:r>
              <w:t>I.4.7.b</w:t>
            </w:r>
          </w:p>
        </w:tc>
      </w:tr>
      <w:tr w:rsidR="00477C22" w14:paraId="5251E7A5" w14:textId="77777777" w:rsidTr="00477C22">
        <w:trPr>
          <w:trHeight w:val="180"/>
        </w:trPr>
        <w:tc>
          <w:tcPr>
            <w:tcW w:w="3986" w:type="pct"/>
            <w:shd w:val="clear" w:color="auto" w:fill="auto"/>
          </w:tcPr>
          <w:p w14:paraId="4BC62F82" w14:textId="5BE5FF9E" w:rsidR="00477C22" w:rsidRDefault="00477C22" w:rsidP="00C22757">
            <w:pPr>
              <w:pStyle w:val="BulletText2"/>
              <w:numPr>
                <w:ilvl w:val="0"/>
                <w:numId w:val="0"/>
              </w:numPr>
            </w:pPr>
            <w:r>
              <w:t>To make a minor clarification of the block text.</w:t>
            </w:r>
          </w:p>
        </w:tc>
        <w:tc>
          <w:tcPr>
            <w:tcW w:w="1014" w:type="pct"/>
            <w:shd w:val="clear" w:color="auto" w:fill="auto"/>
          </w:tcPr>
          <w:p w14:paraId="0D196BE4" w14:textId="218C37E0" w:rsidR="00477C22" w:rsidRDefault="00477C22" w:rsidP="00D96C9E">
            <w:pPr>
              <w:pStyle w:val="TableText"/>
            </w:pPr>
            <w:r>
              <w:t>I.4.7.d</w:t>
            </w:r>
          </w:p>
        </w:tc>
      </w:tr>
    </w:tbl>
    <w:p w14:paraId="1BCC5737" w14:textId="113372C6" w:rsidR="00504F80" w:rsidRDefault="00504F80" w:rsidP="00573793">
      <w:pPr>
        <w:pStyle w:val="BlockLine"/>
        <w:tabs>
          <w:tab w:val="left" w:pos="2679"/>
        </w:tabs>
      </w:pPr>
    </w:p>
    <w:tbl>
      <w:tblPr>
        <w:tblW w:w="9504" w:type="dxa"/>
        <w:tblInd w:w="144" w:type="dxa"/>
        <w:tblLayout w:type="fixed"/>
        <w:tblLook w:val="0000" w:firstRow="0" w:lastRow="0" w:firstColumn="0" w:lastColumn="0" w:noHBand="0" w:noVBand="0"/>
      </w:tblPr>
      <w:tblGrid>
        <w:gridCol w:w="1735"/>
        <w:gridCol w:w="7769"/>
      </w:tblGrid>
      <w:tr w:rsidR="00504F80" w:rsidRPr="00B4163A" w14:paraId="54DE67C1" w14:textId="77777777" w:rsidTr="00237C22">
        <w:tc>
          <w:tcPr>
            <w:tcW w:w="1728" w:type="dxa"/>
          </w:tcPr>
          <w:p w14:paraId="093A91EE" w14:textId="77777777" w:rsidR="00504F80" w:rsidRPr="00B4163A" w:rsidRDefault="00504F80" w:rsidP="00237C22">
            <w:pPr>
              <w:pStyle w:val="Heading5"/>
              <w:rPr>
                <w:sz w:val="24"/>
              </w:rPr>
            </w:pPr>
            <w:r w:rsidRPr="00B4163A">
              <w:rPr>
                <w:sz w:val="24"/>
              </w:rPr>
              <w:t>Rescissions</w:t>
            </w:r>
          </w:p>
        </w:tc>
        <w:tc>
          <w:tcPr>
            <w:tcW w:w="7740" w:type="dxa"/>
          </w:tcPr>
          <w:p w14:paraId="26FD0CBD" w14:textId="77777777" w:rsidR="00504F80" w:rsidRPr="00B4163A" w:rsidRDefault="00504F80" w:rsidP="00237C22">
            <w:pPr>
              <w:pStyle w:val="BlockText"/>
            </w:pPr>
            <w:r w:rsidRPr="00B4163A">
              <w:t>None</w:t>
            </w:r>
          </w:p>
        </w:tc>
      </w:tr>
    </w:tbl>
    <w:p w14:paraId="733F40AF"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25D9AF2" w14:textId="77777777" w:rsidTr="00237C22">
        <w:tc>
          <w:tcPr>
            <w:tcW w:w="1728" w:type="dxa"/>
          </w:tcPr>
          <w:p w14:paraId="5CA17727" w14:textId="77777777" w:rsidR="00504F80" w:rsidRPr="00B4163A" w:rsidRDefault="00504F80" w:rsidP="00237C22">
            <w:pPr>
              <w:pStyle w:val="Heading5"/>
              <w:rPr>
                <w:sz w:val="24"/>
              </w:rPr>
            </w:pPr>
            <w:r w:rsidRPr="00B4163A">
              <w:rPr>
                <w:sz w:val="24"/>
              </w:rPr>
              <w:t>Authority</w:t>
            </w:r>
          </w:p>
        </w:tc>
        <w:tc>
          <w:tcPr>
            <w:tcW w:w="7740" w:type="dxa"/>
          </w:tcPr>
          <w:p w14:paraId="3964FD7E" w14:textId="77777777" w:rsidR="00504F80" w:rsidRPr="00B4163A" w:rsidRDefault="00504F80" w:rsidP="00237C22">
            <w:pPr>
              <w:pStyle w:val="BlockText"/>
            </w:pPr>
            <w:r w:rsidRPr="00B4163A">
              <w:t>By Direction of the Under Secretary for Benefits</w:t>
            </w:r>
          </w:p>
        </w:tc>
      </w:tr>
    </w:tbl>
    <w:p w14:paraId="0C0E1D65" w14:textId="77777777" w:rsidR="00504F80" w:rsidRPr="00B4163A" w:rsidRDefault="00504F80" w:rsidP="00504F80">
      <w:pPr>
        <w:pStyle w:val="ContinuedOnNextPa"/>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rsidRPr="00B4163A" w14:paraId="0A6B411D" w14:textId="77777777" w:rsidTr="00237C22">
        <w:tc>
          <w:tcPr>
            <w:tcW w:w="1728" w:type="dxa"/>
          </w:tcPr>
          <w:p w14:paraId="148A5953" w14:textId="77777777" w:rsidR="00504F80" w:rsidRPr="00B4163A" w:rsidRDefault="00504F80" w:rsidP="00237C22">
            <w:pPr>
              <w:pStyle w:val="Heading5"/>
              <w:rPr>
                <w:sz w:val="24"/>
              </w:rPr>
            </w:pPr>
            <w:r w:rsidRPr="00B4163A">
              <w:rPr>
                <w:sz w:val="24"/>
              </w:rPr>
              <w:t>Signature</w:t>
            </w:r>
          </w:p>
        </w:tc>
        <w:tc>
          <w:tcPr>
            <w:tcW w:w="7740" w:type="dxa"/>
          </w:tcPr>
          <w:p w14:paraId="1A919062" w14:textId="77777777" w:rsidR="00504F80" w:rsidRPr="00B4163A" w:rsidRDefault="00504F80" w:rsidP="00237C22">
            <w:pPr>
              <w:pStyle w:val="BlockText"/>
            </w:pPr>
          </w:p>
          <w:p w14:paraId="5D5CC12A" w14:textId="77777777" w:rsidR="00504F80" w:rsidRPr="00B4163A" w:rsidRDefault="00504F80" w:rsidP="00237C22">
            <w:pPr>
              <w:pStyle w:val="MemoLine"/>
              <w:ind w:left="-18" w:right="612"/>
            </w:pPr>
          </w:p>
          <w:p w14:paraId="4A6B3FA0" w14:textId="77777777" w:rsidR="00504F80" w:rsidRPr="00B4163A" w:rsidRDefault="00504F80" w:rsidP="00237C22">
            <w:pPr>
              <w:rPr>
                <w:szCs w:val="20"/>
              </w:rPr>
            </w:pPr>
            <w:r w:rsidRPr="00B4163A">
              <w:t>Thomas J. Murphy, Director</w:t>
            </w:r>
          </w:p>
          <w:p w14:paraId="0F74AF06" w14:textId="77777777" w:rsidR="00504F80" w:rsidRPr="00B4163A" w:rsidRDefault="00504F80" w:rsidP="00237C22">
            <w:pPr>
              <w:pStyle w:val="BlockText"/>
            </w:pPr>
            <w:r w:rsidRPr="00B4163A">
              <w:t>Compensation Service</w:t>
            </w:r>
          </w:p>
        </w:tc>
      </w:tr>
    </w:tbl>
    <w:p w14:paraId="4FADB766"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7B510796" w14:textId="77777777" w:rsidTr="00237C22">
        <w:tc>
          <w:tcPr>
            <w:tcW w:w="1728" w:type="dxa"/>
          </w:tcPr>
          <w:p w14:paraId="566190EE" w14:textId="77777777" w:rsidR="00504F80" w:rsidRPr="00B4163A" w:rsidRDefault="00504F80" w:rsidP="00237C22">
            <w:pPr>
              <w:pStyle w:val="Heading5"/>
              <w:rPr>
                <w:sz w:val="24"/>
              </w:rPr>
            </w:pPr>
            <w:r w:rsidRPr="00B4163A">
              <w:rPr>
                <w:sz w:val="24"/>
              </w:rPr>
              <w:t>Distribution</w:t>
            </w:r>
          </w:p>
        </w:tc>
        <w:tc>
          <w:tcPr>
            <w:tcW w:w="7740" w:type="dxa"/>
          </w:tcPr>
          <w:p w14:paraId="7801E23C" w14:textId="77777777" w:rsidR="00504F80" w:rsidRDefault="00504F80" w:rsidP="00237C22">
            <w:pPr>
              <w:pStyle w:val="BlockText"/>
              <w:jc w:val="center"/>
            </w:pPr>
            <w:r w:rsidRPr="00B4163A">
              <w:t>LOCAL REPRODUCTION AUTHORIZED</w:t>
            </w:r>
          </w:p>
        </w:tc>
      </w:tr>
    </w:tbl>
    <w:p w14:paraId="6E9D05FE" w14:textId="0D2D5AA7" w:rsidR="007D5B97" w:rsidRDefault="007D5B97" w:rsidP="00A014AE">
      <w:pPr>
        <w:pStyle w:val="BlockLine"/>
      </w:pPr>
      <w:bookmarkStart w:id="0" w:name="_GoBack"/>
      <w:bookmarkEnd w:id="0"/>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B25FE" w14:textId="77777777" w:rsidR="00154FFF" w:rsidRDefault="00154FFF" w:rsidP="00C765C7">
      <w:r>
        <w:separator/>
      </w:r>
    </w:p>
  </w:endnote>
  <w:endnote w:type="continuationSeparator" w:id="0">
    <w:p w14:paraId="2C4D49C3" w14:textId="77777777" w:rsidR="00154FFF" w:rsidRDefault="00154FFF"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9137"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8AD24"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6A4F"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D07">
      <w:rPr>
        <w:rStyle w:val="PageNumber"/>
        <w:noProof/>
      </w:rPr>
      <w:t>iii</w:t>
    </w:r>
    <w:r>
      <w:rPr>
        <w:rStyle w:val="PageNumber"/>
      </w:rPr>
      <w:fldChar w:fldCharType="end"/>
    </w:r>
  </w:p>
  <w:p w14:paraId="6FA023B3"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BCEE5" w14:textId="77777777" w:rsidR="00154FFF" w:rsidRDefault="00154FFF" w:rsidP="00C765C7">
      <w:r>
        <w:separator/>
      </w:r>
    </w:p>
  </w:footnote>
  <w:footnote w:type="continuationSeparator" w:id="0">
    <w:p w14:paraId="30E1F2A6" w14:textId="77777777" w:rsidR="00154FFF" w:rsidRDefault="00154FFF"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s>
  <w:rsids>
    <w:rsidRoot w:val="00FF26A6"/>
    <w:rsid w:val="00002A1E"/>
    <w:rsid w:val="00014A89"/>
    <w:rsid w:val="000252C6"/>
    <w:rsid w:val="000256FB"/>
    <w:rsid w:val="0004637C"/>
    <w:rsid w:val="00084C83"/>
    <w:rsid w:val="00093228"/>
    <w:rsid w:val="000A7776"/>
    <w:rsid w:val="000C1630"/>
    <w:rsid w:val="00100433"/>
    <w:rsid w:val="0010215F"/>
    <w:rsid w:val="00104A23"/>
    <w:rsid w:val="00106EEF"/>
    <w:rsid w:val="00123973"/>
    <w:rsid w:val="001253ED"/>
    <w:rsid w:val="00154FFF"/>
    <w:rsid w:val="0018211F"/>
    <w:rsid w:val="00186D46"/>
    <w:rsid w:val="001C3AE3"/>
    <w:rsid w:val="001C3EB5"/>
    <w:rsid w:val="001D38D8"/>
    <w:rsid w:val="002041BE"/>
    <w:rsid w:val="00220786"/>
    <w:rsid w:val="00237C22"/>
    <w:rsid w:val="00240624"/>
    <w:rsid w:val="002B7A7E"/>
    <w:rsid w:val="002C6D07"/>
    <w:rsid w:val="002D04F5"/>
    <w:rsid w:val="002F5B21"/>
    <w:rsid w:val="002F7397"/>
    <w:rsid w:val="00314051"/>
    <w:rsid w:val="00321179"/>
    <w:rsid w:val="00332B80"/>
    <w:rsid w:val="00341981"/>
    <w:rsid w:val="00366D36"/>
    <w:rsid w:val="003844D0"/>
    <w:rsid w:val="00386999"/>
    <w:rsid w:val="003B2927"/>
    <w:rsid w:val="003C08C1"/>
    <w:rsid w:val="003C1A53"/>
    <w:rsid w:val="003D0712"/>
    <w:rsid w:val="003D47AF"/>
    <w:rsid w:val="003E2CA2"/>
    <w:rsid w:val="003F3021"/>
    <w:rsid w:val="003F6048"/>
    <w:rsid w:val="003F672A"/>
    <w:rsid w:val="00401EAD"/>
    <w:rsid w:val="0040351B"/>
    <w:rsid w:val="00405E44"/>
    <w:rsid w:val="0041026E"/>
    <w:rsid w:val="004155C0"/>
    <w:rsid w:val="004178BA"/>
    <w:rsid w:val="00421403"/>
    <w:rsid w:val="00422836"/>
    <w:rsid w:val="00435BA5"/>
    <w:rsid w:val="004438F1"/>
    <w:rsid w:val="0044542D"/>
    <w:rsid w:val="00450FD6"/>
    <w:rsid w:val="00455EF7"/>
    <w:rsid w:val="004562CC"/>
    <w:rsid w:val="00471ECA"/>
    <w:rsid w:val="00477C22"/>
    <w:rsid w:val="00481439"/>
    <w:rsid w:val="00482FA3"/>
    <w:rsid w:val="00483B06"/>
    <w:rsid w:val="0048559D"/>
    <w:rsid w:val="00494175"/>
    <w:rsid w:val="004B3AF0"/>
    <w:rsid w:val="004F375E"/>
    <w:rsid w:val="004F6ADC"/>
    <w:rsid w:val="00504F80"/>
    <w:rsid w:val="00506485"/>
    <w:rsid w:val="00513DA7"/>
    <w:rsid w:val="00516C82"/>
    <w:rsid w:val="00522970"/>
    <w:rsid w:val="00524C0F"/>
    <w:rsid w:val="005540E3"/>
    <w:rsid w:val="00573793"/>
    <w:rsid w:val="00594258"/>
    <w:rsid w:val="005E4363"/>
    <w:rsid w:val="00600DC7"/>
    <w:rsid w:val="0062068D"/>
    <w:rsid w:val="00620D0B"/>
    <w:rsid w:val="006317AA"/>
    <w:rsid w:val="00641FBA"/>
    <w:rsid w:val="006473C3"/>
    <w:rsid w:val="006708D7"/>
    <w:rsid w:val="00674FB5"/>
    <w:rsid w:val="006837E0"/>
    <w:rsid w:val="0069086C"/>
    <w:rsid w:val="006B358B"/>
    <w:rsid w:val="006B7262"/>
    <w:rsid w:val="006C3E5F"/>
    <w:rsid w:val="006C48FF"/>
    <w:rsid w:val="006D10E5"/>
    <w:rsid w:val="006D52FE"/>
    <w:rsid w:val="006F6D37"/>
    <w:rsid w:val="00724248"/>
    <w:rsid w:val="00732186"/>
    <w:rsid w:val="00734CDC"/>
    <w:rsid w:val="00737049"/>
    <w:rsid w:val="007A0C5F"/>
    <w:rsid w:val="007D5B97"/>
    <w:rsid w:val="007E0B8A"/>
    <w:rsid w:val="007E5515"/>
    <w:rsid w:val="007E682F"/>
    <w:rsid w:val="0080590C"/>
    <w:rsid w:val="008112DA"/>
    <w:rsid w:val="008144E7"/>
    <w:rsid w:val="00822A16"/>
    <w:rsid w:val="0086475B"/>
    <w:rsid w:val="00875AFA"/>
    <w:rsid w:val="0088609E"/>
    <w:rsid w:val="008A2134"/>
    <w:rsid w:val="008A2EB8"/>
    <w:rsid w:val="008A430B"/>
    <w:rsid w:val="008B4CB5"/>
    <w:rsid w:val="008C723F"/>
    <w:rsid w:val="008D12C3"/>
    <w:rsid w:val="008D3E6C"/>
    <w:rsid w:val="008D458B"/>
    <w:rsid w:val="008E22CF"/>
    <w:rsid w:val="008E5824"/>
    <w:rsid w:val="008E589A"/>
    <w:rsid w:val="008F14EA"/>
    <w:rsid w:val="008F1D5B"/>
    <w:rsid w:val="00916AE6"/>
    <w:rsid w:val="00933BDB"/>
    <w:rsid w:val="00945950"/>
    <w:rsid w:val="009570DC"/>
    <w:rsid w:val="009769CD"/>
    <w:rsid w:val="009923FD"/>
    <w:rsid w:val="0099491C"/>
    <w:rsid w:val="00997D98"/>
    <w:rsid w:val="009C22C8"/>
    <w:rsid w:val="009D3AF1"/>
    <w:rsid w:val="009E6E1A"/>
    <w:rsid w:val="00A014AE"/>
    <w:rsid w:val="00A315CB"/>
    <w:rsid w:val="00A3579D"/>
    <w:rsid w:val="00A40941"/>
    <w:rsid w:val="00A51986"/>
    <w:rsid w:val="00A55356"/>
    <w:rsid w:val="00A557BB"/>
    <w:rsid w:val="00A8520D"/>
    <w:rsid w:val="00AA528C"/>
    <w:rsid w:val="00AA60C1"/>
    <w:rsid w:val="00AC2993"/>
    <w:rsid w:val="00AC3782"/>
    <w:rsid w:val="00AC5701"/>
    <w:rsid w:val="00AD0EDC"/>
    <w:rsid w:val="00AF2CD6"/>
    <w:rsid w:val="00B0548B"/>
    <w:rsid w:val="00B30D2F"/>
    <w:rsid w:val="00B50AD7"/>
    <w:rsid w:val="00B51A96"/>
    <w:rsid w:val="00B64F2F"/>
    <w:rsid w:val="00B70597"/>
    <w:rsid w:val="00B93A3C"/>
    <w:rsid w:val="00B96287"/>
    <w:rsid w:val="00BB3345"/>
    <w:rsid w:val="00BB63E7"/>
    <w:rsid w:val="00BC2D98"/>
    <w:rsid w:val="00BE42A9"/>
    <w:rsid w:val="00BF7FE3"/>
    <w:rsid w:val="00C0404B"/>
    <w:rsid w:val="00C22757"/>
    <w:rsid w:val="00C24D50"/>
    <w:rsid w:val="00C273AD"/>
    <w:rsid w:val="00C4607D"/>
    <w:rsid w:val="00C765C7"/>
    <w:rsid w:val="00CB06AC"/>
    <w:rsid w:val="00CD2D08"/>
    <w:rsid w:val="00CE0325"/>
    <w:rsid w:val="00D33A6E"/>
    <w:rsid w:val="00D36508"/>
    <w:rsid w:val="00D57B91"/>
    <w:rsid w:val="00D61497"/>
    <w:rsid w:val="00D77146"/>
    <w:rsid w:val="00D823AF"/>
    <w:rsid w:val="00D87741"/>
    <w:rsid w:val="00D9207B"/>
    <w:rsid w:val="00DA11C2"/>
    <w:rsid w:val="00DB074F"/>
    <w:rsid w:val="00DB2902"/>
    <w:rsid w:val="00DB743E"/>
    <w:rsid w:val="00DC147C"/>
    <w:rsid w:val="00DE0E35"/>
    <w:rsid w:val="00DF44AC"/>
    <w:rsid w:val="00E148F5"/>
    <w:rsid w:val="00E2529E"/>
    <w:rsid w:val="00E26208"/>
    <w:rsid w:val="00E36906"/>
    <w:rsid w:val="00E648E9"/>
    <w:rsid w:val="00E964FD"/>
    <w:rsid w:val="00EB6694"/>
    <w:rsid w:val="00ED4D5E"/>
    <w:rsid w:val="00ED71C8"/>
    <w:rsid w:val="00F006B2"/>
    <w:rsid w:val="00F1758B"/>
    <w:rsid w:val="00F43DFA"/>
    <w:rsid w:val="00F736AD"/>
    <w:rsid w:val="00F87670"/>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b438dcf7-3998-4283-b7fc-0ec6fa8e430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12684204-3185-4F6C-98F8-A93AE012A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73</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20</cp:revision>
  <dcterms:created xsi:type="dcterms:W3CDTF">2014-09-19T22:55:00Z</dcterms:created>
  <dcterms:modified xsi:type="dcterms:W3CDTF">2015-01-12T14:19:00Z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y fmtid="{D5CDD505-2E9C-101B-9397-08002B2CF9AE}" pid="4" name="Order">
    <vt:lpwstr>1</vt:lpwstr>
  </property>
</Properties>
</file>