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56637" w14:textId="1970E804" w:rsidR="00821C07" w:rsidRPr="00C01DE6" w:rsidRDefault="00821C07" w:rsidP="0072499A">
      <w:pPr>
        <w:pStyle w:val="Heading2"/>
      </w:pPr>
      <w:proofErr w:type="gramStart"/>
      <w:r w:rsidRPr="00C01DE6">
        <w:t>Chapter 4.</w:t>
      </w:r>
      <w:proofErr w:type="gramEnd"/>
      <w:r w:rsidRPr="00C01DE6">
        <w:t xml:space="preserve">  </w:t>
      </w:r>
      <w:r w:rsidR="009B6911" w:rsidRPr="00C01DE6">
        <w:t>Regional Office</w:t>
      </w:r>
      <w:r w:rsidR="005E26A7" w:rsidRPr="00C01DE6">
        <w:t xml:space="preserve"> (RO)</w:t>
      </w:r>
      <w:r w:rsidR="009B6911" w:rsidRPr="00C01DE6">
        <w:t xml:space="preserve"> </w:t>
      </w:r>
      <w:r w:rsidRPr="00C01DE6">
        <w:t>Hearings</w:t>
      </w:r>
    </w:p>
    <w:p w14:paraId="06DF352F" w14:textId="4DBA0412" w:rsidR="00821C07" w:rsidRPr="00C01DE6" w:rsidRDefault="00821C07">
      <w:pPr>
        <w:pStyle w:val="Heading4"/>
      </w:pPr>
      <w:r w:rsidRPr="00C01DE6">
        <w:t>1.  General Information on Hearings</w:t>
      </w:r>
    </w:p>
    <w:p w14:paraId="3C080073" w14:textId="77777777" w:rsidR="00821C07" w:rsidRPr="00C01DE6" w:rsidRDefault="00821C07">
      <w:pPr>
        <w:pStyle w:val="BlockLine"/>
        <w:rPr>
          <w:bCs/>
        </w:rPr>
      </w:pPr>
    </w:p>
    <w:tbl>
      <w:tblPr>
        <w:tblW w:w="0" w:type="auto"/>
        <w:tblLayout w:type="fixed"/>
        <w:tblLook w:val="0000" w:firstRow="0" w:lastRow="0" w:firstColumn="0" w:lastColumn="0" w:noHBand="0" w:noVBand="0"/>
      </w:tblPr>
      <w:tblGrid>
        <w:gridCol w:w="1728"/>
        <w:gridCol w:w="7740"/>
      </w:tblGrid>
      <w:tr w:rsidR="00821C07" w:rsidRPr="00C01DE6" w14:paraId="29E490D1" w14:textId="77777777">
        <w:trPr>
          <w:cantSplit/>
        </w:trPr>
        <w:tc>
          <w:tcPr>
            <w:tcW w:w="1728" w:type="dxa"/>
          </w:tcPr>
          <w:p w14:paraId="1A061458" w14:textId="77777777" w:rsidR="00821C07" w:rsidRPr="00C01DE6" w:rsidRDefault="00821C07">
            <w:pPr>
              <w:pStyle w:val="Heading5"/>
            </w:pPr>
            <w:r w:rsidRPr="00C01DE6">
              <w:t>Introduction</w:t>
            </w:r>
          </w:p>
        </w:tc>
        <w:tc>
          <w:tcPr>
            <w:tcW w:w="7740" w:type="dxa"/>
          </w:tcPr>
          <w:p w14:paraId="76474244" w14:textId="2F6622B7" w:rsidR="00821C07" w:rsidRPr="00C01DE6" w:rsidRDefault="00821C07">
            <w:pPr>
              <w:pStyle w:val="BlockText"/>
            </w:pPr>
            <w:r w:rsidRPr="00C01DE6">
              <w:t>Th</w:t>
            </w:r>
            <w:r w:rsidR="00C6784B" w:rsidRPr="00C01DE6">
              <w:t>is topic contains general information on hearings</w:t>
            </w:r>
            <w:r w:rsidR="009B6911" w:rsidRPr="00C01DE6">
              <w:t xml:space="preserve"> </w:t>
            </w:r>
            <w:r w:rsidR="00AE05F5" w:rsidRPr="00C01DE6">
              <w:t xml:space="preserve">requested and/or </w:t>
            </w:r>
            <w:r w:rsidR="009B6911" w:rsidRPr="00C01DE6">
              <w:t xml:space="preserve">conducted </w:t>
            </w:r>
            <w:r w:rsidR="00AE05F5" w:rsidRPr="00C01DE6">
              <w:t>in connection with</w:t>
            </w:r>
            <w:r w:rsidR="009B6911" w:rsidRPr="00C01DE6">
              <w:t xml:space="preserve"> R</w:t>
            </w:r>
            <w:r w:rsidR="005E26A7" w:rsidRPr="00C01DE6">
              <w:t>O</w:t>
            </w:r>
            <w:r w:rsidR="00AE05F5" w:rsidRPr="00C01DE6">
              <w:t xml:space="preserve"> adjudication</w:t>
            </w:r>
            <w:r w:rsidR="00C6784B" w:rsidRPr="00C01DE6">
              <w:t>, including</w:t>
            </w:r>
          </w:p>
          <w:p w14:paraId="26C623CA" w14:textId="77777777" w:rsidR="00821C07" w:rsidRPr="00C01DE6" w:rsidRDefault="00821C07">
            <w:pPr>
              <w:pStyle w:val="BlockText"/>
            </w:pPr>
          </w:p>
          <w:p w14:paraId="1A57C43E" w14:textId="77777777" w:rsidR="008F61D3" w:rsidRPr="00C01DE6" w:rsidRDefault="008F61D3">
            <w:pPr>
              <w:pStyle w:val="BulletText1"/>
            </w:pPr>
            <w:r w:rsidRPr="00C01DE6">
              <w:t>definition of a hearing</w:t>
            </w:r>
          </w:p>
          <w:p w14:paraId="3410396B" w14:textId="77777777" w:rsidR="00821C07" w:rsidRPr="00C01DE6" w:rsidRDefault="00821C07">
            <w:pPr>
              <w:pStyle w:val="BulletText1"/>
            </w:pPr>
            <w:r w:rsidRPr="00C01DE6">
              <w:t>purpose of a hearing</w:t>
            </w:r>
          </w:p>
          <w:p w14:paraId="6D778EDE" w14:textId="77777777" w:rsidR="00375DA1" w:rsidRPr="00C01DE6" w:rsidRDefault="00375DA1">
            <w:pPr>
              <w:pStyle w:val="BulletText1"/>
            </w:pPr>
            <w:r w:rsidRPr="00C01DE6">
              <w:t>definition of testimony</w:t>
            </w:r>
          </w:p>
          <w:p w14:paraId="1EB0C20D" w14:textId="77777777" w:rsidR="00375DA1" w:rsidRPr="00C01DE6" w:rsidRDefault="00375DA1">
            <w:pPr>
              <w:pStyle w:val="BulletText1"/>
            </w:pPr>
            <w:r w:rsidRPr="00C01DE6">
              <w:t>definition of argument</w:t>
            </w:r>
          </w:p>
          <w:p w14:paraId="7E1139AC" w14:textId="77777777" w:rsidR="00CB2E36" w:rsidRPr="00C01DE6" w:rsidRDefault="00CB2E36">
            <w:pPr>
              <w:pStyle w:val="BulletText1"/>
            </w:pPr>
            <w:r w:rsidRPr="00C01DE6">
              <w:t>who conducts hearings</w:t>
            </w:r>
          </w:p>
          <w:p w14:paraId="75DE6A3A" w14:textId="77777777" w:rsidR="00CB2E36" w:rsidRPr="00C01DE6" w:rsidRDefault="00CB2E36">
            <w:pPr>
              <w:pStyle w:val="BulletText1"/>
            </w:pPr>
            <w:r w:rsidRPr="00C01DE6">
              <w:t>definition of original determinative authority</w:t>
            </w:r>
          </w:p>
          <w:p w14:paraId="709E1EBD" w14:textId="77777777" w:rsidR="00CB2E36" w:rsidRPr="00C01DE6" w:rsidRDefault="00CB2E36" w:rsidP="00CB2E36">
            <w:pPr>
              <w:pStyle w:val="BulletText1"/>
            </w:pPr>
            <w:r w:rsidRPr="00C01DE6">
              <w:t>policy applications of the original determinative authority concept</w:t>
            </w:r>
          </w:p>
          <w:p w14:paraId="7D0E399C" w14:textId="77777777" w:rsidR="00CB2E36" w:rsidRPr="00C01DE6" w:rsidRDefault="00CB2E36" w:rsidP="00CB2E36">
            <w:pPr>
              <w:pStyle w:val="BulletText1"/>
            </w:pPr>
            <w:r w:rsidRPr="00C01DE6">
              <w:t>hearing by an employee who did not participate in the prior decision</w:t>
            </w:r>
          </w:p>
          <w:p w14:paraId="25C506BE" w14:textId="77777777" w:rsidR="00CB2E36" w:rsidRPr="00C01DE6" w:rsidRDefault="00CB2E36" w:rsidP="00CB2E36">
            <w:pPr>
              <w:pStyle w:val="BulletText1"/>
            </w:pPr>
            <w:r w:rsidRPr="00C01DE6">
              <w:t>who must make a decision on a hearing</w:t>
            </w:r>
          </w:p>
          <w:p w14:paraId="12A05E40" w14:textId="77777777" w:rsidR="00874D4F" w:rsidRPr="00C01DE6" w:rsidRDefault="00874D4F" w:rsidP="00CB2E36">
            <w:pPr>
              <w:pStyle w:val="BulletText1"/>
            </w:pPr>
            <w:r w:rsidRPr="00C01DE6">
              <w:t>procedure if the hearing official cannot make the subsequent decision</w:t>
            </w:r>
          </w:p>
          <w:p w14:paraId="2D4C6BB5" w14:textId="762BFA2E" w:rsidR="00821C07" w:rsidRPr="00C01DE6" w:rsidRDefault="00821C07">
            <w:pPr>
              <w:pStyle w:val="BulletText1"/>
            </w:pPr>
            <w:r w:rsidRPr="00C01DE6">
              <w:t>RO responsibility for hearing</w:t>
            </w:r>
            <w:r w:rsidR="00CB2E36" w:rsidRPr="00C01DE6">
              <w:t xml:space="preserve"> administration</w:t>
            </w:r>
          </w:p>
          <w:p w14:paraId="67CCC9E8" w14:textId="77777777" w:rsidR="00821C07" w:rsidRPr="00C01DE6" w:rsidRDefault="00821C07">
            <w:pPr>
              <w:pStyle w:val="BulletText1"/>
            </w:pPr>
            <w:r w:rsidRPr="00C01DE6">
              <w:t>requesting, canceling</w:t>
            </w:r>
            <w:r w:rsidR="0057631A" w:rsidRPr="00C01DE6">
              <w:t>,</w:t>
            </w:r>
            <w:r w:rsidRPr="00C01DE6">
              <w:t xml:space="preserve"> or rescheduling hearings</w:t>
            </w:r>
          </w:p>
          <w:p w14:paraId="366AAA3D" w14:textId="1355FBD5" w:rsidR="00821C07" w:rsidRPr="00C01DE6" w:rsidRDefault="00821C07" w:rsidP="00531A52">
            <w:pPr>
              <w:pStyle w:val="BulletText1"/>
            </w:pPr>
            <w:r w:rsidRPr="00C01DE6">
              <w:t>who conducts</w:t>
            </w:r>
            <w:r w:rsidR="00531A52" w:rsidRPr="00C01DE6">
              <w:t xml:space="preserve"> </w:t>
            </w:r>
            <w:r w:rsidRPr="00C01DE6">
              <w:t>hearings for employee-claimants</w:t>
            </w:r>
            <w:r w:rsidR="00531A52" w:rsidRPr="00C01DE6">
              <w:t xml:space="preserve"> and </w:t>
            </w:r>
            <w:r w:rsidR="0057631A" w:rsidRPr="00C01DE6">
              <w:t>V</w:t>
            </w:r>
            <w:r w:rsidR="00531A52" w:rsidRPr="00C01DE6">
              <w:t>eteran</w:t>
            </w:r>
            <w:r w:rsidR="00BB10F0" w:rsidRPr="00C01DE6">
              <w:t>s</w:t>
            </w:r>
            <w:r w:rsidR="00531A52" w:rsidRPr="00C01DE6">
              <w:t xml:space="preserve"> </w:t>
            </w:r>
            <w:r w:rsidR="0057631A" w:rsidRPr="00C01DE6">
              <w:t>S</w:t>
            </w:r>
            <w:r w:rsidR="00531A52" w:rsidRPr="00C01DE6">
              <w:t xml:space="preserve">ervice </w:t>
            </w:r>
            <w:r w:rsidR="0057631A" w:rsidRPr="00C01DE6">
              <w:t>O</w:t>
            </w:r>
            <w:r w:rsidR="00531A52" w:rsidRPr="00C01DE6">
              <w:t>fficer (VSO)</w:t>
            </w:r>
            <w:r w:rsidR="00936396" w:rsidRPr="00C01DE6">
              <w:t>-</w:t>
            </w:r>
            <w:r w:rsidR="00531A52" w:rsidRPr="00C01DE6">
              <w:t>claimants</w:t>
            </w:r>
          </w:p>
          <w:p w14:paraId="3511C1A6" w14:textId="77777777" w:rsidR="00821C07" w:rsidRPr="00C01DE6" w:rsidRDefault="00821C07">
            <w:pPr>
              <w:pStyle w:val="BulletText1"/>
            </w:pPr>
            <w:r w:rsidRPr="00C01DE6">
              <w:t>where to hold a hearing</w:t>
            </w:r>
          </w:p>
          <w:p w14:paraId="053ECED5" w14:textId="77777777" w:rsidR="00542808" w:rsidRPr="00C01DE6" w:rsidRDefault="00375DA1">
            <w:pPr>
              <w:pStyle w:val="BulletText1"/>
            </w:pPr>
            <w:r w:rsidRPr="00C01DE6">
              <w:t>hearing facility requirements</w:t>
            </w:r>
          </w:p>
          <w:p w14:paraId="55916678" w14:textId="77777777" w:rsidR="00821C07" w:rsidRPr="00C01DE6" w:rsidRDefault="00874D4F" w:rsidP="00C36237">
            <w:pPr>
              <w:pStyle w:val="BulletText1"/>
            </w:pPr>
            <w:r w:rsidRPr="00C01DE6">
              <w:t>end product (EP) code for formal hearings</w:t>
            </w:r>
            <w:r w:rsidR="00D22836" w:rsidRPr="00C01DE6">
              <w:t>,</w:t>
            </w:r>
            <w:r w:rsidRPr="00C01DE6">
              <w:t xml:space="preserve"> and</w:t>
            </w:r>
          </w:p>
          <w:p w14:paraId="4614E010" w14:textId="77777777" w:rsidR="00874D4F" w:rsidRPr="00C01DE6" w:rsidRDefault="00874D4F" w:rsidP="00C36237">
            <w:pPr>
              <w:pStyle w:val="BulletText1"/>
            </w:pPr>
            <w:proofErr w:type="gramStart"/>
            <w:r w:rsidRPr="00C01DE6">
              <w:t>attendance</w:t>
            </w:r>
            <w:proofErr w:type="gramEnd"/>
            <w:r w:rsidRPr="00C01DE6">
              <w:t xml:space="preserve"> at hearings.</w:t>
            </w:r>
          </w:p>
        </w:tc>
      </w:tr>
    </w:tbl>
    <w:p w14:paraId="409474F2"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203043FB" w14:textId="77777777">
        <w:trPr>
          <w:cantSplit/>
        </w:trPr>
        <w:tc>
          <w:tcPr>
            <w:tcW w:w="1728" w:type="dxa"/>
          </w:tcPr>
          <w:p w14:paraId="1A574BA5" w14:textId="77777777" w:rsidR="00821C07" w:rsidRPr="00C01DE6" w:rsidRDefault="00821C07">
            <w:pPr>
              <w:pStyle w:val="Heading5"/>
            </w:pPr>
            <w:r w:rsidRPr="00C01DE6">
              <w:t>Change Date</w:t>
            </w:r>
          </w:p>
        </w:tc>
        <w:tc>
          <w:tcPr>
            <w:tcW w:w="7740" w:type="dxa"/>
          </w:tcPr>
          <w:p w14:paraId="21FDC9B7" w14:textId="032710FD" w:rsidR="00821C07" w:rsidRPr="00C01DE6" w:rsidRDefault="00A1415A" w:rsidP="009D63F6">
            <w:pPr>
              <w:pStyle w:val="BlockText"/>
            </w:pPr>
            <w:r w:rsidRPr="00C01DE6">
              <w:t>November 4, 2015</w:t>
            </w:r>
          </w:p>
        </w:tc>
      </w:tr>
    </w:tbl>
    <w:p w14:paraId="76ACA722" w14:textId="77777777" w:rsidR="00821C07" w:rsidRPr="00C01DE6" w:rsidRDefault="00821C07" w:rsidP="00FE5AD6">
      <w:pPr>
        <w:pStyle w:val="BlockLine"/>
      </w:pPr>
    </w:p>
    <w:tbl>
      <w:tblPr>
        <w:tblW w:w="0" w:type="auto"/>
        <w:tblLayout w:type="fixed"/>
        <w:tblLook w:val="0000" w:firstRow="0" w:lastRow="0" w:firstColumn="0" w:lastColumn="0" w:noHBand="0" w:noVBand="0"/>
      </w:tblPr>
      <w:tblGrid>
        <w:gridCol w:w="1728"/>
        <w:gridCol w:w="7740"/>
      </w:tblGrid>
      <w:tr w:rsidR="00821C07" w:rsidRPr="00C01DE6" w14:paraId="6CB1C451" w14:textId="77777777" w:rsidTr="009A6C2D">
        <w:tc>
          <w:tcPr>
            <w:tcW w:w="1728" w:type="dxa"/>
          </w:tcPr>
          <w:p w14:paraId="5894B0F8" w14:textId="77777777" w:rsidR="00821C07" w:rsidRPr="00C01DE6" w:rsidRDefault="00821C07" w:rsidP="0052593D">
            <w:pPr>
              <w:pStyle w:val="Heading5"/>
            </w:pPr>
            <w:proofErr w:type="gramStart"/>
            <w:r w:rsidRPr="00C01DE6">
              <w:t xml:space="preserve">a.  </w:t>
            </w:r>
            <w:r w:rsidR="0052593D" w:rsidRPr="00C01DE6">
              <w:t>Definition</w:t>
            </w:r>
            <w:proofErr w:type="gramEnd"/>
            <w:r w:rsidR="0052593D" w:rsidRPr="00C01DE6">
              <w:t>:</w:t>
            </w:r>
            <w:r w:rsidRPr="00C01DE6">
              <w:t xml:space="preserve"> Hearing</w:t>
            </w:r>
          </w:p>
        </w:tc>
        <w:tc>
          <w:tcPr>
            <w:tcW w:w="7740" w:type="dxa"/>
          </w:tcPr>
          <w:p w14:paraId="5B561067" w14:textId="5918BFAE" w:rsidR="00821C07" w:rsidRPr="00C01DE6" w:rsidRDefault="001C1446">
            <w:pPr>
              <w:pStyle w:val="BlockText"/>
            </w:pPr>
            <w:r w:rsidRPr="00C01DE6">
              <w:t xml:space="preserve">A </w:t>
            </w:r>
            <w:r w:rsidRPr="00C01DE6">
              <w:rPr>
                <w:b/>
                <w:i/>
              </w:rPr>
              <w:t>hearing</w:t>
            </w:r>
            <w:r w:rsidRPr="00C01DE6">
              <w:t xml:space="preserve"> is a formal</w:t>
            </w:r>
            <w:r w:rsidR="00A21825" w:rsidRPr="00C01DE6">
              <w:t>,</w:t>
            </w:r>
            <w:r w:rsidRPr="00C01DE6">
              <w:t xml:space="preserve"> </w:t>
            </w:r>
            <w:r w:rsidR="000F7DB0" w:rsidRPr="00C01DE6">
              <w:t xml:space="preserve">recorded </w:t>
            </w:r>
            <w:r w:rsidRPr="00C01DE6">
              <w:t>proce</w:t>
            </w:r>
            <w:r w:rsidR="000F7DB0" w:rsidRPr="00C01DE6">
              <w:t>eding</w:t>
            </w:r>
            <w:r w:rsidRPr="00C01DE6">
              <w:t xml:space="preserve"> wherein a party presents </w:t>
            </w:r>
            <w:r w:rsidR="004B4924" w:rsidRPr="00C01DE6">
              <w:t xml:space="preserve">sworn or affirmed </w:t>
            </w:r>
            <w:r w:rsidRPr="00C01DE6">
              <w:t>testimony</w:t>
            </w:r>
            <w:r w:rsidR="004B4924" w:rsidRPr="00C01DE6">
              <w:t>, other evidence</w:t>
            </w:r>
            <w:r w:rsidR="0057631A" w:rsidRPr="00C01DE6">
              <w:t>,</w:t>
            </w:r>
            <w:r w:rsidRPr="00C01DE6">
              <w:t xml:space="preserve"> and/or argument </w:t>
            </w:r>
            <w:r w:rsidR="00EF73E6" w:rsidRPr="00C01DE6">
              <w:t>relevant</w:t>
            </w:r>
            <w:r w:rsidR="004B4924" w:rsidRPr="00C01DE6">
              <w:t xml:space="preserve"> to </w:t>
            </w:r>
            <w:r w:rsidR="006532CC" w:rsidRPr="00C01DE6">
              <w:t xml:space="preserve">an issue </w:t>
            </w:r>
            <w:r w:rsidR="004B4924" w:rsidRPr="00C01DE6">
              <w:t xml:space="preserve">pending adjudication </w:t>
            </w:r>
            <w:r w:rsidRPr="00C01DE6">
              <w:t xml:space="preserve">before </w:t>
            </w:r>
            <w:r w:rsidR="004B4924" w:rsidRPr="00C01DE6">
              <w:t xml:space="preserve">the </w:t>
            </w:r>
            <w:r w:rsidR="00515285" w:rsidRPr="00C01DE6">
              <w:t>decision</w:t>
            </w:r>
            <w:r w:rsidR="00EE61FF" w:rsidRPr="00C01DE6">
              <w:t xml:space="preserve"> </w:t>
            </w:r>
            <w:r w:rsidR="00515285" w:rsidRPr="00C01DE6">
              <w:t>maker</w:t>
            </w:r>
            <w:r w:rsidR="00BE3751" w:rsidRPr="00C01DE6">
              <w:t>.</w:t>
            </w:r>
          </w:p>
          <w:p w14:paraId="0FC0385B" w14:textId="77777777" w:rsidR="00F075DD" w:rsidRPr="00C01DE6" w:rsidRDefault="00F075DD">
            <w:pPr>
              <w:pStyle w:val="BlockText"/>
            </w:pPr>
          </w:p>
          <w:p w14:paraId="6C10DCC7" w14:textId="34FAC87F" w:rsidR="00A21825" w:rsidRPr="00C01DE6" w:rsidRDefault="00E424DA" w:rsidP="00A21825">
            <w:pPr>
              <w:pStyle w:val="BlockText"/>
            </w:pPr>
            <w:r w:rsidRPr="00C01DE6">
              <w:t xml:space="preserve">Department of Veterans Affairs (VA) </w:t>
            </w:r>
            <w:r w:rsidR="00A1415A" w:rsidRPr="00C01DE6">
              <w:t>r</w:t>
            </w:r>
            <w:r w:rsidRPr="00C01DE6">
              <w:t xml:space="preserve">egional </w:t>
            </w:r>
            <w:r w:rsidR="00A1415A" w:rsidRPr="00C01DE6">
              <w:t>o</w:t>
            </w:r>
            <w:r w:rsidRPr="00C01DE6">
              <w:t xml:space="preserve">ffice (RO) hearings </w:t>
            </w:r>
            <w:r w:rsidR="00A21825" w:rsidRPr="00C01DE6">
              <w:t>can be pre-determination or post-determination.</w:t>
            </w:r>
          </w:p>
          <w:p w14:paraId="2CE4A7B4" w14:textId="77777777" w:rsidR="00A21825" w:rsidRPr="00C01DE6" w:rsidRDefault="00A21825" w:rsidP="00A21825">
            <w:pPr>
              <w:pStyle w:val="BlockText"/>
            </w:pPr>
          </w:p>
          <w:p w14:paraId="5DF2B953" w14:textId="079328F1" w:rsidR="00A21825" w:rsidRPr="00C01DE6" w:rsidRDefault="00A21825" w:rsidP="00A21825">
            <w:pPr>
              <w:pStyle w:val="BulletText1"/>
            </w:pPr>
            <w:r w:rsidRPr="00C01DE6">
              <w:t>Pre</w:t>
            </w:r>
            <w:r w:rsidR="009A6C2D" w:rsidRPr="00C01DE6">
              <w:t>-</w:t>
            </w:r>
            <w:r w:rsidRPr="00C01DE6">
              <w:t xml:space="preserve">determination RO hearings are </w:t>
            </w:r>
            <w:r w:rsidR="001012E7" w:rsidRPr="00C01DE6">
              <w:t xml:space="preserve">on matters related to an </w:t>
            </w:r>
            <w:r w:rsidRPr="00C01DE6">
              <w:t>adjudicative issue</w:t>
            </w:r>
            <w:r w:rsidR="001012E7" w:rsidRPr="00C01DE6">
              <w:t xml:space="preserve"> that is pending an initial decision</w:t>
            </w:r>
            <w:r w:rsidRPr="00C01DE6">
              <w:t>.</w:t>
            </w:r>
          </w:p>
          <w:p w14:paraId="43BC88BB" w14:textId="13234AFB" w:rsidR="00A21825" w:rsidRPr="00C01DE6" w:rsidRDefault="00A21825" w:rsidP="00A21825">
            <w:pPr>
              <w:pStyle w:val="BulletText1"/>
            </w:pPr>
            <w:r w:rsidRPr="00C01DE6">
              <w:t xml:space="preserve">Post-determination </w:t>
            </w:r>
            <w:r w:rsidR="00F57EB1" w:rsidRPr="00C01DE6">
              <w:t xml:space="preserve">or post-decisional </w:t>
            </w:r>
            <w:r w:rsidRPr="00C01DE6">
              <w:t>RO hearings are on matters related to an adjudicated issue</w:t>
            </w:r>
            <w:r w:rsidR="001012E7" w:rsidRPr="00C01DE6">
              <w:t xml:space="preserve"> (on which an initial decision has been made)</w:t>
            </w:r>
            <w:r w:rsidRPr="00C01DE6">
              <w:t xml:space="preserve">. </w:t>
            </w:r>
            <w:r w:rsidR="00A1415A" w:rsidRPr="00C01DE6">
              <w:t xml:space="preserve"> </w:t>
            </w:r>
            <w:r w:rsidRPr="00C01DE6">
              <w:t>They can be conducted in connection with</w:t>
            </w:r>
          </w:p>
          <w:p w14:paraId="32D65722" w14:textId="77777777" w:rsidR="00A21825" w:rsidRPr="00C01DE6" w:rsidRDefault="00A21825" w:rsidP="00A21825">
            <w:pPr>
              <w:pStyle w:val="BulletText2"/>
            </w:pPr>
            <w:r w:rsidRPr="00C01DE6">
              <w:t>cases on appeal, and</w:t>
            </w:r>
          </w:p>
          <w:p w14:paraId="63D98E16" w14:textId="287F84B3" w:rsidR="00A21825" w:rsidRPr="00C01DE6" w:rsidRDefault="00A21825" w:rsidP="00A21825">
            <w:pPr>
              <w:pStyle w:val="BulletText2"/>
            </w:pPr>
            <w:r w:rsidRPr="00C01DE6">
              <w:t xml:space="preserve">non-appeal cases </w:t>
            </w:r>
            <w:r w:rsidR="00451457" w:rsidRPr="00C01DE6">
              <w:t xml:space="preserve">for which </w:t>
            </w:r>
          </w:p>
          <w:p w14:paraId="2C2CE0EC" w14:textId="77777777" w:rsidR="00A21825" w:rsidRPr="00C01DE6" w:rsidRDefault="00A21825" w:rsidP="00A21825">
            <w:pPr>
              <w:pStyle w:val="BulletText3"/>
            </w:pPr>
            <w:r w:rsidRPr="00C01DE6">
              <w:t xml:space="preserve">the claimant seeks reconsideration of some portion of a decision but does not want to initiate an appeal, or </w:t>
            </w:r>
          </w:p>
          <w:p w14:paraId="50BD8C09" w14:textId="52ADBCD6" w:rsidR="00A21825" w:rsidRPr="00C01DE6" w:rsidRDefault="00A21825" w:rsidP="00A21825">
            <w:pPr>
              <w:pStyle w:val="BulletText3"/>
            </w:pPr>
            <w:proofErr w:type="gramStart"/>
            <w:r w:rsidRPr="00C01DE6">
              <w:lastRenderedPageBreak/>
              <w:t>in</w:t>
            </w:r>
            <w:proofErr w:type="gramEnd"/>
            <w:r w:rsidRPr="00C01DE6">
              <w:t xml:space="preserve"> connection with a proposed reduction or termination, the claimant or beneficiary requested a pre-decisional hearing but the hearing request was not timely.</w:t>
            </w:r>
          </w:p>
          <w:p w14:paraId="432D2A60" w14:textId="77777777" w:rsidR="00A21825" w:rsidRPr="00C01DE6" w:rsidRDefault="00A21825">
            <w:pPr>
              <w:pStyle w:val="BlockText"/>
            </w:pPr>
          </w:p>
          <w:p w14:paraId="5C3EB4FA" w14:textId="77777777" w:rsidR="00821C07" w:rsidRPr="00C01DE6" w:rsidRDefault="00821C07" w:rsidP="004B4924">
            <w:pPr>
              <w:pStyle w:val="BlockText"/>
            </w:pPr>
            <w:r w:rsidRPr="00C01DE6">
              <w:rPr>
                <w:b/>
                <w:i/>
              </w:rPr>
              <w:t>Reference</w:t>
            </w:r>
            <w:r w:rsidRPr="00C01DE6">
              <w:t xml:space="preserve">:  For </w:t>
            </w:r>
            <w:r w:rsidR="004B4924" w:rsidRPr="00C01DE6">
              <w:t xml:space="preserve">more information on the regulatory requirements for a </w:t>
            </w:r>
            <w:r w:rsidRPr="00C01DE6">
              <w:t xml:space="preserve">hearing, see </w:t>
            </w:r>
            <w:hyperlink r:id="rId13" w:history="1">
              <w:r w:rsidR="00402FC8" w:rsidRPr="00C01DE6">
                <w:rPr>
                  <w:rStyle w:val="Hyperlink"/>
                </w:rPr>
                <w:t>38 CFR 3.103(c)</w:t>
              </w:r>
            </w:hyperlink>
            <w:r w:rsidRPr="00C01DE6">
              <w:t>.</w:t>
            </w:r>
          </w:p>
        </w:tc>
      </w:tr>
    </w:tbl>
    <w:p w14:paraId="7AC54E09" w14:textId="77777777" w:rsidR="0052593D" w:rsidRPr="00C01DE6" w:rsidRDefault="0052593D" w:rsidP="00FE5AD6">
      <w:pPr>
        <w:pStyle w:val="BlockLine"/>
      </w:pPr>
    </w:p>
    <w:tbl>
      <w:tblPr>
        <w:tblW w:w="0" w:type="auto"/>
        <w:tblLayout w:type="fixed"/>
        <w:tblLook w:val="0000" w:firstRow="0" w:lastRow="0" w:firstColumn="0" w:lastColumn="0" w:noHBand="0" w:noVBand="0"/>
      </w:tblPr>
      <w:tblGrid>
        <w:gridCol w:w="1728"/>
        <w:gridCol w:w="7740"/>
      </w:tblGrid>
      <w:tr w:rsidR="0052593D" w:rsidRPr="00C01DE6" w14:paraId="266C52DE" w14:textId="77777777" w:rsidTr="009A0986">
        <w:tc>
          <w:tcPr>
            <w:tcW w:w="1728" w:type="dxa"/>
            <w:shd w:val="clear" w:color="auto" w:fill="auto"/>
          </w:tcPr>
          <w:p w14:paraId="7E4F9DC9" w14:textId="0D0DC6FB" w:rsidR="0052593D" w:rsidRPr="00C01DE6" w:rsidRDefault="00CB2E36" w:rsidP="0052593D">
            <w:pPr>
              <w:pStyle w:val="Heading5"/>
            </w:pPr>
            <w:proofErr w:type="gramStart"/>
            <w:r w:rsidRPr="00C01DE6">
              <w:t xml:space="preserve">b.  </w:t>
            </w:r>
            <w:r w:rsidR="0052593D" w:rsidRPr="00C01DE6">
              <w:t>Purpose</w:t>
            </w:r>
            <w:proofErr w:type="gramEnd"/>
            <w:r w:rsidR="0052593D" w:rsidRPr="00C01DE6">
              <w:t xml:space="preserve"> of a</w:t>
            </w:r>
            <w:r w:rsidR="00EE7ADD" w:rsidRPr="00C01DE6">
              <w:t>n</w:t>
            </w:r>
            <w:r w:rsidR="009812B0" w:rsidRPr="00C01DE6">
              <w:t xml:space="preserve"> RO</w:t>
            </w:r>
            <w:r w:rsidR="0052593D" w:rsidRPr="00C01DE6">
              <w:t xml:space="preserve"> Hearing</w:t>
            </w:r>
          </w:p>
        </w:tc>
        <w:tc>
          <w:tcPr>
            <w:tcW w:w="7740" w:type="dxa"/>
            <w:shd w:val="clear" w:color="auto" w:fill="auto"/>
          </w:tcPr>
          <w:p w14:paraId="4F652539" w14:textId="5B384D00" w:rsidR="0052593D" w:rsidRPr="00C01DE6" w:rsidRDefault="001C1446" w:rsidP="0052593D">
            <w:pPr>
              <w:pStyle w:val="BlockText"/>
            </w:pPr>
            <w:r w:rsidRPr="00C01DE6">
              <w:t>The purpose</w:t>
            </w:r>
            <w:r w:rsidR="002F7837" w:rsidRPr="00C01DE6">
              <w:t>s</w:t>
            </w:r>
            <w:r w:rsidRPr="00C01DE6">
              <w:t xml:space="preserve"> of a</w:t>
            </w:r>
            <w:r w:rsidR="00451457" w:rsidRPr="00C01DE6">
              <w:t>n</w:t>
            </w:r>
            <w:r w:rsidRPr="00C01DE6">
              <w:t xml:space="preserve"> </w:t>
            </w:r>
            <w:r w:rsidR="002F7837" w:rsidRPr="00C01DE6">
              <w:t xml:space="preserve">RO </w:t>
            </w:r>
            <w:r w:rsidRPr="00C01DE6">
              <w:t xml:space="preserve">hearing </w:t>
            </w:r>
            <w:r w:rsidR="00706648" w:rsidRPr="00C01DE6">
              <w:t>include</w:t>
            </w:r>
          </w:p>
          <w:p w14:paraId="7651E9A0" w14:textId="77777777" w:rsidR="0057631A" w:rsidRPr="00C01DE6" w:rsidRDefault="0057631A" w:rsidP="0052593D">
            <w:pPr>
              <w:pStyle w:val="BlockText"/>
            </w:pPr>
          </w:p>
          <w:p w14:paraId="3F7C8ADF" w14:textId="77777777" w:rsidR="0052593D" w:rsidRPr="00C01DE6" w:rsidRDefault="008F61D3" w:rsidP="008F61D3">
            <w:pPr>
              <w:pStyle w:val="BulletText1"/>
            </w:pPr>
            <w:r w:rsidRPr="00C01DE6">
              <w:t xml:space="preserve">to satisfy the claimant or beneficiary’s due process right </w:t>
            </w:r>
            <w:r w:rsidR="00DE3823" w:rsidRPr="00C01DE6">
              <w:t>to a requested hearing</w:t>
            </w:r>
          </w:p>
          <w:p w14:paraId="27E86E7F" w14:textId="77777777" w:rsidR="001C1446" w:rsidRPr="00C01DE6" w:rsidRDefault="008F61D3" w:rsidP="001C1446">
            <w:pPr>
              <w:pStyle w:val="BulletText1"/>
            </w:pPr>
            <w:r w:rsidRPr="00C01DE6">
              <w:t>t</w:t>
            </w:r>
            <w:r w:rsidR="001C1446" w:rsidRPr="00C01DE6">
              <w:t xml:space="preserve">o provide a </w:t>
            </w:r>
            <w:r w:rsidR="0052593D" w:rsidRPr="00C01DE6">
              <w:t xml:space="preserve">claimant or beneficiary </w:t>
            </w:r>
            <w:r w:rsidR="004B4924" w:rsidRPr="00C01DE6">
              <w:t xml:space="preserve">with the </w:t>
            </w:r>
            <w:r w:rsidRPr="00C01DE6">
              <w:t xml:space="preserve">opportunity </w:t>
            </w:r>
            <w:r w:rsidR="0052593D" w:rsidRPr="00C01DE6">
              <w:t>to present</w:t>
            </w:r>
            <w:r w:rsidR="000A24E9" w:rsidRPr="00C01DE6">
              <w:t>,</w:t>
            </w:r>
            <w:r w:rsidR="0052593D" w:rsidRPr="00C01DE6">
              <w:t xml:space="preserve"> </w:t>
            </w:r>
            <w:r w:rsidR="000F7DB0" w:rsidRPr="00C01DE6">
              <w:t>in person</w:t>
            </w:r>
            <w:r w:rsidR="000A24E9" w:rsidRPr="00C01DE6">
              <w:t>,</w:t>
            </w:r>
            <w:r w:rsidR="000F7DB0" w:rsidRPr="00C01DE6">
              <w:t xml:space="preserve"> </w:t>
            </w:r>
            <w:r w:rsidR="001C1446" w:rsidRPr="00C01DE6">
              <w:t>evidence</w:t>
            </w:r>
            <w:r w:rsidR="004B4924" w:rsidRPr="00C01DE6">
              <w:t xml:space="preserve"> </w:t>
            </w:r>
            <w:r w:rsidR="000F7DB0" w:rsidRPr="00C01DE6">
              <w:t xml:space="preserve">material </w:t>
            </w:r>
            <w:r w:rsidR="006532CC" w:rsidRPr="00C01DE6">
              <w:t xml:space="preserve">to the issue(s) </w:t>
            </w:r>
            <w:r w:rsidR="004B4924" w:rsidRPr="00C01DE6">
              <w:t>including</w:t>
            </w:r>
          </w:p>
          <w:p w14:paraId="1AE3BDAE" w14:textId="77777777" w:rsidR="001C1446" w:rsidRPr="00C01DE6" w:rsidRDefault="0052593D" w:rsidP="001C1446">
            <w:pPr>
              <w:pStyle w:val="BulletText2"/>
            </w:pPr>
            <w:r w:rsidRPr="00C01DE6">
              <w:t>his/her own</w:t>
            </w:r>
            <w:r w:rsidR="000F7DB0" w:rsidRPr="00C01DE6">
              <w:t xml:space="preserve"> </w:t>
            </w:r>
            <w:r w:rsidRPr="00C01DE6">
              <w:t>testimony</w:t>
            </w:r>
          </w:p>
          <w:p w14:paraId="2DF070E3" w14:textId="77777777" w:rsidR="001C1446" w:rsidRPr="00C01DE6" w:rsidRDefault="001C1446" w:rsidP="001C1446">
            <w:pPr>
              <w:pStyle w:val="BulletText2"/>
            </w:pPr>
            <w:r w:rsidRPr="00C01DE6">
              <w:t>testimony of witnesses</w:t>
            </w:r>
            <w:r w:rsidR="008F61D3" w:rsidRPr="00C01DE6">
              <w:t>, and/or</w:t>
            </w:r>
          </w:p>
          <w:p w14:paraId="7C278289" w14:textId="77777777" w:rsidR="001C1446" w:rsidRPr="00C01DE6" w:rsidRDefault="001C1446" w:rsidP="001C1446">
            <w:pPr>
              <w:pStyle w:val="BulletText2"/>
            </w:pPr>
            <w:r w:rsidRPr="00C01DE6">
              <w:t>other evidence (exhibits)</w:t>
            </w:r>
          </w:p>
          <w:p w14:paraId="12C7CC51" w14:textId="48F47391" w:rsidR="001C1446" w:rsidRPr="00C01DE6" w:rsidRDefault="008F61D3" w:rsidP="001C1446">
            <w:pPr>
              <w:pStyle w:val="BulletText1"/>
            </w:pPr>
            <w:r w:rsidRPr="00C01DE6">
              <w:t>t</w:t>
            </w:r>
            <w:r w:rsidR="001C1446" w:rsidRPr="00C01DE6">
              <w:t>o provide a claimant or beneficiary</w:t>
            </w:r>
            <w:r w:rsidR="00C36237" w:rsidRPr="00C01DE6">
              <w:t xml:space="preserve"> (</w:t>
            </w:r>
            <w:r w:rsidR="002A5B6D" w:rsidRPr="00C01DE6">
              <w:t>and/or his or her</w:t>
            </w:r>
            <w:r w:rsidR="00C36237" w:rsidRPr="00C01DE6">
              <w:t xml:space="preserve"> representative)</w:t>
            </w:r>
            <w:r w:rsidR="001C1446" w:rsidRPr="00C01DE6">
              <w:t xml:space="preserve"> </w:t>
            </w:r>
            <w:r w:rsidRPr="00C01DE6">
              <w:t xml:space="preserve">an opportunity </w:t>
            </w:r>
            <w:r w:rsidR="001C1446" w:rsidRPr="00C01DE6">
              <w:t>to present argument</w:t>
            </w:r>
            <w:r w:rsidR="000F7DB0" w:rsidRPr="00C01DE6">
              <w:t xml:space="preserve"> </w:t>
            </w:r>
            <w:r w:rsidR="006532CC" w:rsidRPr="00C01DE6">
              <w:t xml:space="preserve">on the </w:t>
            </w:r>
            <w:r w:rsidR="00145EE9" w:rsidRPr="00C01DE6">
              <w:t xml:space="preserve">hearing </w:t>
            </w:r>
            <w:r w:rsidR="006532CC" w:rsidRPr="00C01DE6">
              <w:t>issue(s)</w:t>
            </w:r>
            <w:r w:rsidR="002C4040" w:rsidRPr="00C01DE6">
              <w:t>,</w:t>
            </w:r>
            <w:r w:rsidR="008249F8" w:rsidRPr="00C01DE6">
              <w:t xml:space="preserve"> </w:t>
            </w:r>
            <w:r w:rsidR="00706648" w:rsidRPr="00C01DE6">
              <w:t>or</w:t>
            </w:r>
            <w:r w:rsidR="000F7DB0" w:rsidRPr="00C01DE6">
              <w:t xml:space="preserve"> </w:t>
            </w:r>
          </w:p>
          <w:p w14:paraId="15F5ED5C" w14:textId="77777777" w:rsidR="000F7DB0" w:rsidRPr="00C01DE6" w:rsidRDefault="00580D26" w:rsidP="006532CC">
            <w:pPr>
              <w:pStyle w:val="BulletText1"/>
            </w:pPr>
            <w:proofErr w:type="gramStart"/>
            <w:r w:rsidRPr="00C01DE6">
              <w:t>t</w:t>
            </w:r>
            <w:r w:rsidR="008F61D3" w:rsidRPr="00C01DE6">
              <w:t>o</w:t>
            </w:r>
            <w:proofErr w:type="gramEnd"/>
            <w:r w:rsidR="008F61D3" w:rsidRPr="00C01DE6">
              <w:t xml:space="preserve"> emphasize </w:t>
            </w:r>
            <w:r w:rsidR="006532CC" w:rsidRPr="00C01DE6">
              <w:t xml:space="preserve">the </w:t>
            </w:r>
            <w:r w:rsidR="008F61D3" w:rsidRPr="00C01DE6">
              <w:t>credibility of testimonial evidence through the personal presentation of testimo</w:t>
            </w:r>
            <w:r w:rsidR="006532CC" w:rsidRPr="00C01DE6">
              <w:t>n</w:t>
            </w:r>
            <w:r w:rsidR="008F61D3" w:rsidRPr="00C01DE6">
              <w:t xml:space="preserve">y </w:t>
            </w:r>
            <w:r w:rsidR="006532CC" w:rsidRPr="00C01DE6">
              <w:t>before</w:t>
            </w:r>
            <w:r w:rsidR="008F61D3" w:rsidRPr="00C01DE6">
              <w:t xml:space="preserve"> the decision maker.</w:t>
            </w:r>
            <w:r w:rsidR="007A44F9" w:rsidRPr="00C01DE6">
              <w:t xml:space="preserve"> </w:t>
            </w:r>
          </w:p>
          <w:p w14:paraId="169FA32A" w14:textId="77777777" w:rsidR="00BC100F" w:rsidRPr="00C01DE6" w:rsidRDefault="00BC100F" w:rsidP="00BC100F">
            <w:pPr>
              <w:pStyle w:val="BulletText1"/>
              <w:numPr>
                <w:ilvl w:val="0"/>
                <w:numId w:val="0"/>
              </w:numPr>
              <w:ind w:left="173" w:hanging="173"/>
            </w:pPr>
          </w:p>
          <w:p w14:paraId="05433357" w14:textId="4C380C7C" w:rsidR="00BC100F" w:rsidRPr="00C01DE6" w:rsidRDefault="00BC100F" w:rsidP="00BC100F">
            <w:pPr>
              <w:pStyle w:val="BulletText1"/>
              <w:numPr>
                <w:ilvl w:val="0"/>
                <w:numId w:val="0"/>
              </w:numPr>
            </w:pPr>
            <w:r w:rsidRPr="00C01DE6">
              <w:rPr>
                <w:b/>
                <w:i/>
              </w:rPr>
              <w:t>Note</w:t>
            </w:r>
            <w:r w:rsidRPr="00C01DE6">
              <w:t xml:space="preserve">: </w:t>
            </w:r>
            <w:r w:rsidR="001E3BCC" w:rsidRPr="00C01DE6">
              <w:t xml:space="preserve"> </w:t>
            </w:r>
            <w:r w:rsidRPr="00C01DE6">
              <w:t>Do not schedule a hearing solely for a representative to offer argument</w:t>
            </w:r>
            <w:r w:rsidR="0002195B" w:rsidRPr="00C01DE6">
              <w:t>s, absent a witness to offer testimony</w:t>
            </w:r>
            <w:r w:rsidRPr="00C01DE6">
              <w:t>.  Argument</w:t>
            </w:r>
            <w:r w:rsidR="00F76F0C" w:rsidRPr="00C01DE6">
              <w:t>s</w:t>
            </w:r>
            <w:r w:rsidRPr="00C01DE6">
              <w:t xml:space="preserve"> can be presented in writing or in an informal conference. </w:t>
            </w:r>
          </w:p>
          <w:p w14:paraId="0451FC95" w14:textId="77777777" w:rsidR="005E0249" w:rsidRPr="00C01DE6" w:rsidRDefault="005E0249" w:rsidP="002F7837">
            <w:pPr>
              <w:pStyle w:val="BulletText1"/>
              <w:numPr>
                <w:ilvl w:val="0"/>
                <w:numId w:val="0"/>
              </w:numPr>
            </w:pPr>
          </w:p>
          <w:p w14:paraId="10BC4CFC" w14:textId="40CF161B" w:rsidR="00706648" w:rsidRPr="00C01DE6" w:rsidRDefault="00706648" w:rsidP="002F7837">
            <w:pPr>
              <w:pStyle w:val="BulletText1"/>
              <w:numPr>
                <w:ilvl w:val="0"/>
                <w:numId w:val="0"/>
              </w:numPr>
            </w:pPr>
            <w:r w:rsidRPr="00C01DE6">
              <w:rPr>
                <w:b/>
                <w:i/>
              </w:rPr>
              <w:t>Reference</w:t>
            </w:r>
            <w:r w:rsidR="007B0B16" w:rsidRPr="00C01DE6">
              <w:rPr>
                <w:b/>
                <w:i/>
              </w:rPr>
              <w:t>s</w:t>
            </w:r>
            <w:r w:rsidRPr="00C01DE6">
              <w:t xml:space="preserve">:  For </w:t>
            </w:r>
            <w:r w:rsidR="00A1415A" w:rsidRPr="00C01DE6">
              <w:t xml:space="preserve">more </w:t>
            </w:r>
            <w:r w:rsidRPr="00C01DE6">
              <w:t>information on</w:t>
            </w:r>
          </w:p>
          <w:p w14:paraId="22E221DC" w14:textId="00EABE1C" w:rsidR="002F7837" w:rsidRPr="00C01DE6" w:rsidRDefault="002F7837" w:rsidP="002F7837">
            <w:pPr>
              <w:pStyle w:val="BulletText1"/>
            </w:pPr>
            <w:r w:rsidRPr="00C01DE6">
              <w:t xml:space="preserve">Board of Veteran Appeals (BVA) Travel Board </w:t>
            </w:r>
            <w:r w:rsidR="000666FA" w:rsidRPr="00C01DE6">
              <w:t xml:space="preserve">and video </w:t>
            </w:r>
            <w:r w:rsidRPr="00C01DE6">
              <w:t>hearings, see M21-1, Part I, 5.H, and</w:t>
            </w:r>
          </w:p>
          <w:p w14:paraId="3B50D0F0" w14:textId="1EA3BBFD" w:rsidR="002F7837" w:rsidRPr="00C01DE6" w:rsidRDefault="002F7837" w:rsidP="002F7837">
            <w:pPr>
              <w:pStyle w:val="BulletText1"/>
            </w:pPr>
            <w:proofErr w:type="gramStart"/>
            <w:r w:rsidRPr="00C01DE6">
              <w:t>informal</w:t>
            </w:r>
            <w:proofErr w:type="gramEnd"/>
            <w:r w:rsidRPr="00C01DE6">
              <w:t xml:space="preserve"> conferences, see M21-1, Part I, 5.C.5.</w:t>
            </w:r>
          </w:p>
        </w:tc>
      </w:tr>
    </w:tbl>
    <w:p w14:paraId="24B3D3A9" w14:textId="77777777" w:rsidR="00A8590E" w:rsidRPr="00C01DE6" w:rsidRDefault="00A8590E" w:rsidP="00A8590E">
      <w:pPr>
        <w:pStyle w:val="BlockLine"/>
      </w:pPr>
    </w:p>
    <w:tbl>
      <w:tblPr>
        <w:tblW w:w="0" w:type="auto"/>
        <w:tblLayout w:type="fixed"/>
        <w:tblLook w:val="0000" w:firstRow="0" w:lastRow="0" w:firstColumn="0" w:lastColumn="0" w:noHBand="0" w:noVBand="0"/>
      </w:tblPr>
      <w:tblGrid>
        <w:gridCol w:w="1728"/>
        <w:gridCol w:w="7740"/>
      </w:tblGrid>
      <w:tr w:rsidR="00A8590E" w:rsidRPr="00C01DE6" w14:paraId="23A2D641" w14:textId="77777777" w:rsidTr="00A8590E">
        <w:tc>
          <w:tcPr>
            <w:tcW w:w="1728" w:type="dxa"/>
            <w:shd w:val="clear" w:color="auto" w:fill="auto"/>
          </w:tcPr>
          <w:p w14:paraId="21CBB909" w14:textId="77777777" w:rsidR="00A8590E" w:rsidRPr="00C01DE6" w:rsidRDefault="00375DA1" w:rsidP="00A8590E">
            <w:pPr>
              <w:pStyle w:val="Heading5"/>
            </w:pPr>
            <w:proofErr w:type="gramStart"/>
            <w:r w:rsidRPr="00C01DE6">
              <w:t>c</w:t>
            </w:r>
            <w:r w:rsidR="00A8590E" w:rsidRPr="00C01DE6">
              <w:t>.  Definition</w:t>
            </w:r>
            <w:proofErr w:type="gramEnd"/>
            <w:r w:rsidR="00A8590E" w:rsidRPr="00C01DE6">
              <w:t>: Testimony</w:t>
            </w:r>
          </w:p>
        </w:tc>
        <w:tc>
          <w:tcPr>
            <w:tcW w:w="7740" w:type="dxa"/>
            <w:shd w:val="clear" w:color="auto" w:fill="auto"/>
          </w:tcPr>
          <w:p w14:paraId="1F86626B" w14:textId="73A68DCF" w:rsidR="00A8590E" w:rsidRPr="00C01DE6" w:rsidRDefault="00A8590E" w:rsidP="00A8590E">
            <w:pPr>
              <w:pStyle w:val="BlockText"/>
            </w:pPr>
            <w:r w:rsidRPr="00C01DE6">
              <w:rPr>
                <w:b/>
                <w:i/>
              </w:rPr>
              <w:t>Testimony</w:t>
            </w:r>
            <w:r w:rsidR="00C8516E" w:rsidRPr="00C01DE6">
              <w:t xml:space="preserve"> refers to a person recounting</w:t>
            </w:r>
            <w:r w:rsidRPr="00C01DE6">
              <w:t xml:space="preserve"> </w:t>
            </w:r>
            <w:r w:rsidR="00C8516E" w:rsidRPr="00C01DE6">
              <w:t xml:space="preserve">factual </w:t>
            </w:r>
            <w:r w:rsidR="00246430" w:rsidRPr="00C01DE6">
              <w:t xml:space="preserve">matters </w:t>
            </w:r>
            <w:r w:rsidR="00C8516E" w:rsidRPr="00C01DE6">
              <w:t xml:space="preserve">he or she </w:t>
            </w:r>
            <w:r w:rsidR="00246430" w:rsidRPr="00C01DE6">
              <w:t xml:space="preserve">experienced </w:t>
            </w:r>
            <w:r w:rsidR="00C8516E" w:rsidRPr="00C01DE6">
              <w:t>and/</w:t>
            </w:r>
            <w:r w:rsidR="00246430" w:rsidRPr="00C01DE6">
              <w:t xml:space="preserve">or </w:t>
            </w:r>
            <w:r w:rsidR="00C8516E" w:rsidRPr="00C01DE6">
              <w:t xml:space="preserve">offering </w:t>
            </w:r>
            <w:r w:rsidRPr="00C01DE6">
              <w:t xml:space="preserve">opinions </w:t>
            </w:r>
            <w:r w:rsidR="00246430" w:rsidRPr="00C01DE6">
              <w:t>premised upon other facts</w:t>
            </w:r>
            <w:r w:rsidRPr="00C01DE6">
              <w:t xml:space="preserve">.  It usually </w:t>
            </w:r>
            <w:r w:rsidR="00C8516E" w:rsidRPr="00C01DE6">
              <w:t xml:space="preserve">denotes </w:t>
            </w:r>
            <w:r w:rsidR="00246430" w:rsidRPr="00C01DE6">
              <w:t>a sworn or affirmed evidentiary use in a</w:t>
            </w:r>
            <w:r w:rsidR="00C8516E" w:rsidRPr="00C01DE6">
              <w:t>n adjudication</w:t>
            </w:r>
            <w:r w:rsidR="00BE3751" w:rsidRPr="00C01DE6">
              <w:t xml:space="preserve"> context.</w:t>
            </w:r>
          </w:p>
          <w:p w14:paraId="017A55AD" w14:textId="77777777" w:rsidR="003A0D39" w:rsidRPr="00C01DE6" w:rsidRDefault="003A0D39" w:rsidP="003A0D39">
            <w:pPr>
              <w:pStyle w:val="BlockText"/>
            </w:pPr>
          </w:p>
          <w:p w14:paraId="4D35872B" w14:textId="6DDC7346" w:rsidR="00C8516E" w:rsidRPr="00C01DE6" w:rsidRDefault="00C8516E" w:rsidP="00C8516E">
            <w:pPr>
              <w:pStyle w:val="BlockText"/>
            </w:pPr>
            <w:r w:rsidRPr="00C01DE6">
              <w:t>Typical subjects of testimony for purposes</w:t>
            </w:r>
            <w:r w:rsidR="00152E34" w:rsidRPr="00C01DE6">
              <w:t xml:space="preserve"> of the VA</w:t>
            </w:r>
            <w:r w:rsidRPr="00C01DE6">
              <w:t xml:space="preserve"> include history/onset of an injury or disease, treatment in service and/or thereafter, current symptoms, and physica</w:t>
            </w:r>
            <w:r w:rsidR="007F0912" w:rsidRPr="00C01DE6">
              <w:t>l capabilities and employment.</w:t>
            </w:r>
          </w:p>
          <w:p w14:paraId="198F54BE" w14:textId="77777777" w:rsidR="00C8516E" w:rsidRPr="00C01DE6" w:rsidRDefault="00C8516E" w:rsidP="00C8516E">
            <w:pPr>
              <w:pStyle w:val="BlockText"/>
            </w:pPr>
          </w:p>
          <w:p w14:paraId="2AB2ACFB" w14:textId="77777777" w:rsidR="00A8590E" w:rsidRPr="00C01DE6" w:rsidRDefault="00C8516E" w:rsidP="007F0912">
            <w:pPr>
              <w:pStyle w:val="BlockText"/>
            </w:pPr>
            <w:r w:rsidRPr="00C01DE6">
              <w:t>Hearing t</w:t>
            </w:r>
            <w:r w:rsidR="003A0D39" w:rsidRPr="00C01DE6">
              <w:t xml:space="preserve">estimony </w:t>
            </w:r>
            <w:r w:rsidRPr="00C01DE6">
              <w:t xml:space="preserve">is predominately oral.  Written testimonial evidence includes </w:t>
            </w:r>
            <w:r w:rsidR="003A0D39" w:rsidRPr="00C01DE6">
              <w:t>affidavits</w:t>
            </w:r>
            <w:r w:rsidRPr="00C01DE6">
              <w:t xml:space="preserve"> or other</w:t>
            </w:r>
            <w:r w:rsidR="003A0D39" w:rsidRPr="00C01DE6">
              <w:t xml:space="preserve"> certified statements</w:t>
            </w:r>
            <w:r w:rsidRPr="00C01DE6">
              <w:t>, or transcripts from another proceeding.</w:t>
            </w:r>
          </w:p>
        </w:tc>
      </w:tr>
    </w:tbl>
    <w:p w14:paraId="39023083" w14:textId="77777777" w:rsidR="00A8590E" w:rsidRPr="00C01DE6" w:rsidRDefault="00A8590E" w:rsidP="003A0D39">
      <w:pPr>
        <w:pStyle w:val="BlockLine"/>
      </w:pPr>
    </w:p>
    <w:tbl>
      <w:tblPr>
        <w:tblW w:w="0" w:type="auto"/>
        <w:tblLayout w:type="fixed"/>
        <w:tblLook w:val="0000" w:firstRow="0" w:lastRow="0" w:firstColumn="0" w:lastColumn="0" w:noHBand="0" w:noVBand="0"/>
      </w:tblPr>
      <w:tblGrid>
        <w:gridCol w:w="1728"/>
        <w:gridCol w:w="7740"/>
      </w:tblGrid>
      <w:tr w:rsidR="003A0D39" w:rsidRPr="00C01DE6" w14:paraId="617933FE" w14:textId="77777777" w:rsidTr="003A0D39">
        <w:tc>
          <w:tcPr>
            <w:tcW w:w="1728" w:type="dxa"/>
            <w:shd w:val="clear" w:color="auto" w:fill="auto"/>
          </w:tcPr>
          <w:p w14:paraId="240BF492" w14:textId="77777777" w:rsidR="003A0D39" w:rsidRPr="00C01DE6" w:rsidRDefault="00375DA1" w:rsidP="003A0D39">
            <w:pPr>
              <w:pStyle w:val="Heading5"/>
            </w:pPr>
            <w:proofErr w:type="gramStart"/>
            <w:r w:rsidRPr="00C01DE6">
              <w:t xml:space="preserve">d.  </w:t>
            </w:r>
            <w:r w:rsidR="003A0D39" w:rsidRPr="00C01DE6">
              <w:t>Definition</w:t>
            </w:r>
            <w:proofErr w:type="gramEnd"/>
            <w:r w:rsidR="003A0D39" w:rsidRPr="00C01DE6">
              <w:t>: Argument</w:t>
            </w:r>
          </w:p>
        </w:tc>
        <w:tc>
          <w:tcPr>
            <w:tcW w:w="7740" w:type="dxa"/>
            <w:shd w:val="clear" w:color="auto" w:fill="auto"/>
          </w:tcPr>
          <w:p w14:paraId="79B25CDA" w14:textId="77777777" w:rsidR="00AC76EB" w:rsidRPr="00C01DE6" w:rsidRDefault="003A0D39" w:rsidP="003A0D39">
            <w:pPr>
              <w:pStyle w:val="BlockText"/>
            </w:pPr>
            <w:r w:rsidRPr="00C01DE6">
              <w:rPr>
                <w:b/>
                <w:i/>
              </w:rPr>
              <w:t>Argument</w:t>
            </w:r>
            <w:r w:rsidRPr="00C01DE6">
              <w:t xml:space="preserve"> is an effort to establish a point by a course of reasoning. </w:t>
            </w:r>
            <w:r w:rsidR="006D5D02" w:rsidRPr="00C01DE6">
              <w:t xml:space="preserve"> </w:t>
            </w:r>
            <w:r w:rsidRPr="00C01DE6">
              <w:t>There is legal argument, factual argument</w:t>
            </w:r>
            <w:r w:rsidR="002C4040" w:rsidRPr="00C01DE6">
              <w:t>,</w:t>
            </w:r>
            <w:r w:rsidRPr="00C01DE6">
              <w:t xml:space="preserve"> and</w:t>
            </w:r>
            <w:r w:rsidR="00C31047" w:rsidRPr="00C01DE6">
              <w:t xml:space="preserve"> argument on</w:t>
            </w:r>
            <w:r w:rsidRPr="00C01DE6">
              <w:t xml:space="preserve"> </w:t>
            </w:r>
            <w:r w:rsidR="006A4D35" w:rsidRPr="00C01DE6">
              <w:t>h</w:t>
            </w:r>
            <w:r w:rsidR="00C31047" w:rsidRPr="00C01DE6">
              <w:t xml:space="preserve">ow the </w:t>
            </w:r>
            <w:r w:rsidRPr="00C01DE6">
              <w:t>law applie</w:t>
            </w:r>
            <w:r w:rsidR="00C31047" w:rsidRPr="00C01DE6">
              <w:t>s</w:t>
            </w:r>
            <w:r w:rsidRPr="00C01DE6">
              <w:t xml:space="preserve"> to fact.</w:t>
            </w:r>
            <w:r w:rsidR="00C31047" w:rsidRPr="00C01DE6">
              <w:t xml:space="preserve"> </w:t>
            </w:r>
            <w:r w:rsidR="006A4D35" w:rsidRPr="00C01DE6">
              <w:t xml:space="preserve"> </w:t>
            </w:r>
            <w:r w:rsidR="00C31047" w:rsidRPr="00C01DE6">
              <w:t>For example</w:t>
            </w:r>
            <w:r w:rsidR="002C4040" w:rsidRPr="00C01DE6">
              <w:t>,</w:t>
            </w:r>
            <w:r w:rsidR="00C31047" w:rsidRPr="00C01DE6">
              <w:t xml:space="preserve"> a claimant and his representative might</w:t>
            </w:r>
            <w:r w:rsidRPr="00C01DE6">
              <w:t xml:space="preserve"> </w:t>
            </w:r>
            <w:r w:rsidR="00AC76EB" w:rsidRPr="00C01DE6">
              <w:t>make arguments that</w:t>
            </w:r>
          </w:p>
          <w:p w14:paraId="4AA112E7" w14:textId="77777777" w:rsidR="002C4040" w:rsidRPr="00C01DE6" w:rsidRDefault="002C4040" w:rsidP="003A0D39">
            <w:pPr>
              <w:pStyle w:val="BlockText"/>
            </w:pPr>
          </w:p>
          <w:p w14:paraId="205EFD90" w14:textId="579B4033" w:rsidR="00AC76EB" w:rsidRPr="00C01DE6" w:rsidRDefault="00C31047" w:rsidP="00AC76EB">
            <w:pPr>
              <w:pStyle w:val="BulletText1"/>
            </w:pPr>
            <w:r w:rsidRPr="00C01DE6">
              <w:t>certain items of evidence</w:t>
            </w:r>
            <w:r w:rsidR="00AC76EB" w:rsidRPr="00C01DE6">
              <w:t xml:space="preserve"> are competent, credible and probative</w:t>
            </w:r>
            <w:r w:rsidR="002C4040" w:rsidRPr="00C01DE6">
              <w:t>,</w:t>
            </w:r>
            <w:r w:rsidR="00AC76EB" w:rsidRPr="00C01DE6">
              <w:t xml:space="preserve"> and </w:t>
            </w:r>
            <w:r w:rsidRPr="00C01DE6">
              <w:t>establish facts</w:t>
            </w:r>
          </w:p>
          <w:p w14:paraId="77324863" w14:textId="77777777" w:rsidR="00C31047" w:rsidRPr="00C01DE6" w:rsidRDefault="00AC76EB" w:rsidP="00AC76EB">
            <w:pPr>
              <w:pStyle w:val="BulletText1"/>
            </w:pPr>
            <w:r w:rsidRPr="00C01DE6">
              <w:t xml:space="preserve">established </w:t>
            </w:r>
            <w:r w:rsidR="00C31047" w:rsidRPr="00C01DE6">
              <w:t>facts meet the legal requirement</w:t>
            </w:r>
            <w:r w:rsidR="006A4D35" w:rsidRPr="00C01DE6">
              <w:t>s for a benefit</w:t>
            </w:r>
          </w:p>
          <w:p w14:paraId="5F0FFE51" w14:textId="77777777" w:rsidR="00AC76EB" w:rsidRPr="00C01DE6" w:rsidRDefault="00AC76EB" w:rsidP="00AC76EB">
            <w:pPr>
              <w:pStyle w:val="BulletText1"/>
            </w:pPr>
            <w:r w:rsidRPr="00C01DE6">
              <w:t>the evidence is in relative balance regarding a point such that the bene</w:t>
            </w:r>
            <w:r w:rsidR="006A4D35" w:rsidRPr="00C01DE6">
              <w:t>fit of the doubt may be applied</w:t>
            </w:r>
            <w:r w:rsidRPr="00C01DE6">
              <w:t xml:space="preserve"> </w:t>
            </w:r>
          </w:p>
          <w:p w14:paraId="039C491D" w14:textId="77777777" w:rsidR="006A4D35" w:rsidRPr="00C01DE6" w:rsidRDefault="006A4D35" w:rsidP="006A4D35">
            <w:pPr>
              <w:pStyle w:val="BulletText1"/>
            </w:pPr>
            <w:r w:rsidRPr="00C01DE6">
              <w:t>a regulatory term has a particular meaning, or</w:t>
            </w:r>
          </w:p>
          <w:p w14:paraId="1DAD8F4A" w14:textId="77777777" w:rsidR="006A4D35" w:rsidRPr="00C01DE6" w:rsidRDefault="006A4D35" w:rsidP="006A4D35">
            <w:pPr>
              <w:pStyle w:val="BulletText1"/>
            </w:pPr>
            <w:proofErr w:type="gramStart"/>
            <w:r w:rsidRPr="00C01DE6">
              <w:t>a</w:t>
            </w:r>
            <w:proofErr w:type="gramEnd"/>
            <w:r w:rsidRPr="00C01DE6">
              <w:t xml:space="preserve"> particular case is precedential</w:t>
            </w:r>
            <w:r w:rsidR="002C4040" w:rsidRPr="00C01DE6">
              <w:t>.</w:t>
            </w:r>
          </w:p>
          <w:p w14:paraId="265ED4BD" w14:textId="77777777" w:rsidR="00C31047" w:rsidRPr="00C01DE6" w:rsidRDefault="00C31047" w:rsidP="003A0D39">
            <w:pPr>
              <w:pStyle w:val="BlockText"/>
            </w:pPr>
          </w:p>
          <w:p w14:paraId="1F141BBF" w14:textId="77777777" w:rsidR="003A0D39" w:rsidRPr="00C01DE6" w:rsidRDefault="006A4D35" w:rsidP="00152E34">
            <w:pPr>
              <w:pStyle w:val="BlockText"/>
            </w:pPr>
            <w:r w:rsidRPr="00C01DE6">
              <w:t>F</w:t>
            </w:r>
            <w:r w:rsidR="00AC76EB" w:rsidRPr="00C01DE6">
              <w:t xml:space="preserve">orms of argument at a hearing include verbal statements made by the claimant/beneficiary or </w:t>
            </w:r>
            <w:r w:rsidR="00C31047" w:rsidRPr="00C01DE6">
              <w:t xml:space="preserve">representative </w:t>
            </w:r>
            <w:r w:rsidR="00AC76EB" w:rsidRPr="00C01DE6">
              <w:t xml:space="preserve">in an introductory or closing statement, </w:t>
            </w:r>
            <w:r w:rsidR="00152E34" w:rsidRPr="00C01DE6">
              <w:t xml:space="preserve">a </w:t>
            </w:r>
            <w:r w:rsidR="00AC76EB" w:rsidRPr="00C01DE6">
              <w:t>written contention</w:t>
            </w:r>
            <w:r w:rsidR="00EB661D" w:rsidRPr="00C01DE6">
              <w:t>,</w:t>
            </w:r>
            <w:r w:rsidR="00AC76EB" w:rsidRPr="00C01DE6">
              <w:t xml:space="preserve"> or a brief filed at the hearing.  </w:t>
            </w:r>
          </w:p>
        </w:tc>
      </w:tr>
    </w:tbl>
    <w:p w14:paraId="01CC8DAA" w14:textId="77777777" w:rsidR="003A0D39" w:rsidRPr="00C01DE6" w:rsidRDefault="003A0D39" w:rsidP="003A0D39">
      <w:pPr>
        <w:pStyle w:val="BlockLine"/>
      </w:pPr>
    </w:p>
    <w:tbl>
      <w:tblPr>
        <w:tblW w:w="0" w:type="auto"/>
        <w:tblLayout w:type="fixed"/>
        <w:tblLook w:val="0000" w:firstRow="0" w:lastRow="0" w:firstColumn="0" w:lastColumn="0" w:noHBand="0" w:noVBand="0"/>
      </w:tblPr>
      <w:tblGrid>
        <w:gridCol w:w="1728"/>
        <w:gridCol w:w="7740"/>
      </w:tblGrid>
      <w:tr w:rsidR="000F7DB0" w:rsidRPr="00C01DE6" w14:paraId="111B8877" w14:textId="77777777" w:rsidTr="000F7DB0">
        <w:tc>
          <w:tcPr>
            <w:tcW w:w="1728" w:type="dxa"/>
            <w:shd w:val="clear" w:color="auto" w:fill="auto"/>
          </w:tcPr>
          <w:p w14:paraId="1F6365F0" w14:textId="77777777" w:rsidR="000F7DB0" w:rsidRPr="00C01DE6" w:rsidRDefault="00375DA1" w:rsidP="000F7DB0">
            <w:pPr>
              <w:pStyle w:val="Heading5"/>
            </w:pPr>
            <w:proofErr w:type="gramStart"/>
            <w:r w:rsidRPr="00C01DE6">
              <w:t>e</w:t>
            </w:r>
            <w:r w:rsidR="00CB2E36" w:rsidRPr="00C01DE6">
              <w:t xml:space="preserve">.  </w:t>
            </w:r>
            <w:r w:rsidR="000F7DB0" w:rsidRPr="00C01DE6">
              <w:t>Who</w:t>
            </w:r>
            <w:proofErr w:type="gramEnd"/>
            <w:r w:rsidR="000F7DB0" w:rsidRPr="00C01DE6">
              <w:t xml:space="preserve"> </w:t>
            </w:r>
            <w:r w:rsidR="00EB661D" w:rsidRPr="00C01DE6">
              <w:t>C</w:t>
            </w:r>
            <w:r w:rsidR="000F7DB0" w:rsidRPr="00C01DE6">
              <w:t xml:space="preserve">onducts </w:t>
            </w:r>
            <w:r w:rsidR="00EB661D" w:rsidRPr="00C01DE6">
              <w:t>H</w:t>
            </w:r>
            <w:r w:rsidR="000F7DB0" w:rsidRPr="00C01DE6">
              <w:t>earings</w:t>
            </w:r>
          </w:p>
        </w:tc>
        <w:tc>
          <w:tcPr>
            <w:tcW w:w="7740" w:type="dxa"/>
            <w:shd w:val="clear" w:color="auto" w:fill="auto"/>
          </w:tcPr>
          <w:p w14:paraId="434A5DFD" w14:textId="76088CD1" w:rsidR="007B14D1" w:rsidRPr="00C01DE6" w:rsidRDefault="00FA1A12" w:rsidP="00795B8A">
            <w:pPr>
              <w:pStyle w:val="BlockText"/>
            </w:pPr>
            <w:r w:rsidRPr="00C01DE6">
              <w:t xml:space="preserve">RO </w:t>
            </w:r>
            <w:r w:rsidR="007B14D1" w:rsidRPr="00C01DE6">
              <w:t xml:space="preserve">management </w:t>
            </w:r>
            <w:r w:rsidR="007758B7" w:rsidRPr="00C01DE6">
              <w:t>assigns hearing duties</w:t>
            </w:r>
            <w:r w:rsidR="00977EC4" w:rsidRPr="00C01DE6">
              <w:t xml:space="preserve"> for RO hearings</w:t>
            </w:r>
            <w:r w:rsidR="007758B7" w:rsidRPr="00C01DE6">
              <w:t xml:space="preserve">.  Decision Review Officers </w:t>
            </w:r>
            <w:r w:rsidR="00977EC4" w:rsidRPr="00C01DE6">
              <w:t xml:space="preserve">(DROs) </w:t>
            </w:r>
            <w:r w:rsidR="007758B7" w:rsidRPr="00C01DE6">
              <w:t>will typically conduct all hearings requested in connection with the appeals assigned to them sub</w:t>
            </w:r>
            <w:r w:rsidR="00BE3751" w:rsidRPr="00C01DE6">
              <w:t>ject to regulatory provisions.</w:t>
            </w:r>
          </w:p>
          <w:p w14:paraId="17048D6D" w14:textId="77777777" w:rsidR="007B14D1" w:rsidRPr="00C01DE6" w:rsidRDefault="007B14D1" w:rsidP="00795B8A">
            <w:pPr>
              <w:pStyle w:val="BlockText"/>
            </w:pPr>
          </w:p>
          <w:p w14:paraId="24B25243" w14:textId="77777777" w:rsidR="00795B8A" w:rsidRPr="00C01DE6" w:rsidRDefault="007758B7" w:rsidP="00795B8A">
            <w:pPr>
              <w:pStyle w:val="BlockText"/>
            </w:pPr>
            <w:r w:rsidRPr="00C01DE6">
              <w:t xml:space="preserve">VA’s due process </w:t>
            </w:r>
            <w:r w:rsidR="00DE3823" w:rsidRPr="00C01DE6">
              <w:t xml:space="preserve">regulation, </w:t>
            </w:r>
            <w:hyperlink r:id="rId14" w:history="1">
              <w:r w:rsidR="00F90C63" w:rsidRPr="00C01DE6">
                <w:rPr>
                  <w:rStyle w:val="Hyperlink"/>
                </w:rPr>
                <w:t>38 CFR 3.103</w:t>
              </w:r>
            </w:hyperlink>
            <w:r w:rsidR="00DE3823" w:rsidRPr="00C01DE6">
              <w:t xml:space="preserve">, provides </w:t>
            </w:r>
            <w:r w:rsidRPr="00C01DE6">
              <w:t xml:space="preserve">only </w:t>
            </w:r>
            <w:r w:rsidR="00DE3823" w:rsidRPr="00C01DE6">
              <w:t>that a</w:t>
            </w:r>
            <w:r w:rsidR="006532CC" w:rsidRPr="00C01DE6">
              <w:t>ll h</w:t>
            </w:r>
            <w:r w:rsidR="00A04897" w:rsidRPr="00C01DE6">
              <w:t xml:space="preserve">earings must be </w:t>
            </w:r>
            <w:r w:rsidR="007A44F9" w:rsidRPr="00C01DE6">
              <w:t>conducted by an employee with</w:t>
            </w:r>
            <w:r w:rsidR="000F7DB0" w:rsidRPr="00C01DE6">
              <w:t xml:space="preserve"> original determinative authority over the issue</w:t>
            </w:r>
            <w:r w:rsidR="007A44F9" w:rsidRPr="00C01DE6">
              <w:t>(s)</w:t>
            </w:r>
            <w:r w:rsidR="00A04897" w:rsidRPr="00C01DE6">
              <w:t>.</w:t>
            </w:r>
          </w:p>
          <w:p w14:paraId="680A88A3" w14:textId="77777777" w:rsidR="00795B8A" w:rsidRPr="00C01DE6" w:rsidRDefault="00795B8A" w:rsidP="00795B8A">
            <w:pPr>
              <w:pStyle w:val="BlockText"/>
            </w:pPr>
          </w:p>
          <w:p w14:paraId="7728CD2C" w14:textId="77777777" w:rsidR="006D5D02" w:rsidRPr="00C01DE6" w:rsidRDefault="00DE3823" w:rsidP="007758B7">
            <w:pPr>
              <w:pStyle w:val="BlockText"/>
            </w:pPr>
            <w:r w:rsidRPr="00C01DE6">
              <w:t xml:space="preserve">Moreover, </w:t>
            </w:r>
            <w:hyperlink r:id="rId15" w:history="1">
              <w:r w:rsidR="00F90C63" w:rsidRPr="00C01DE6">
                <w:rPr>
                  <w:rStyle w:val="Hyperlink"/>
                </w:rPr>
                <w:t>38 CFR 3.103</w:t>
              </w:r>
            </w:hyperlink>
            <w:r w:rsidR="007758B7" w:rsidRPr="00C01DE6">
              <w:t xml:space="preserve">, provides that </w:t>
            </w:r>
            <w:r w:rsidRPr="00C01DE6">
              <w:t>h</w:t>
            </w:r>
            <w:r w:rsidR="00795B8A" w:rsidRPr="00C01DE6">
              <w:t xml:space="preserve">earings </w:t>
            </w:r>
            <w:r w:rsidR="006532CC" w:rsidRPr="00C01DE6">
              <w:t>held in</w:t>
            </w:r>
            <w:r w:rsidR="00795B8A" w:rsidRPr="00C01DE6">
              <w:t xml:space="preserve"> connection with proposed adverse actions and appeals can only be conducted by employees w</w:t>
            </w:r>
            <w:r w:rsidR="007A44F9" w:rsidRPr="00C01DE6">
              <w:t>ho did not participate in the propose</w:t>
            </w:r>
            <w:r w:rsidR="006532CC" w:rsidRPr="00C01DE6">
              <w:t>d action or decision appealed</w:t>
            </w:r>
            <w:r w:rsidR="007A44F9" w:rsidRPr="00C01DE6">
              <w:t xml:space="preserve">. </w:t>
            </w:r>
          </w:p>
          <w:p w14:paraId="735409C4" w14:textId="77777777" w:rsidR="006D5D02" w:rsidRPr="00C01DE6" w:rsidRDefault="006D5D02" w:rsidP="007758B7">
            <w:pPr>
              <w:pStyle w:val="BlockText"/>
            </w:pPr>
          </w:p>
          <w:p w14:paraId="12B9FCC2" w14:textId="2EF390B9" w:rsidR="00C84C91" w:rsidRPr="00C01DE6" w:rsidRDefault="00DE3823" w:rsidP="007758B7">
            <w:pPr>
              <w:pStyle w:val="BlockText"/>
            </w:pPr>
            <w:r w:rsidRPr="00C01DE6">
              <w:rPr>
                <w:b/>
                <w:i/>
              </w:rPr>
              <w:t>Important</w:t>
            </w:r>
            <w:r w:rsidRPr="00C01DE6">
              <w:t>:  In the appeal hearing context, this principle</w:t>
            </w:r>
            <w:r w:rsidR="00C84C91" w:rsidRPr="00C01DE6">
              <w:t xml:space="preserve"> </w:t>
            </w:r>
            <w:r w:rsidRPr="00C01DE6">
              <w:t xml:space="preserve">only means that the hearing official cannot have participated in the decision </w:t>
            </w:r>
            <w:r w:rsidR="00A200A8" w:rsidRPr="00C01DE6">
              <w:t xml:space="preserve">with which the </w:t>
            </w:r>
            <w:r w:rsidR="00994EE7" w:rsidRPr="00C01DE6">
              <w:t>n</w:t>
            </w:r>
            <w:r w:rsidR="00A200A8" w:rsidRPr="00C01DE6">
              <w:t xml:space="preserve">otice of </w:t>
            </w:r>
            <w:r w:rsidR="00994EE7" w:rsidRPr="00C01DE6">
              <w:t>d</w:t>
            </w:r>
            <w:r w:rsidR="00A200A8" w:rsidRPr="00C01DE6">
              <w:t>isagreement (NOD) was filed</w:t>
            </w:r>
            <w:r w:rsidR="00977EC4" w:rsidRPr="00C01DE6">
              <w:t xml:space="preserve"> (the “decision appealed”)</w:t>
            </w:r>
            <w:r w:rsidR="00A200A8" w:rsidRPr="00C01DE6">
              <w:t xml:space="preserve">.  It does not </w:t>
            </w:r>
            <w:r w:rsidR="00C84C91" w:rsidRPr="00C01DE6">
              <w:t>require a hearing requested after an appeal decision</w:t>
            </w:r>
            <w:r w:rsidRPr="00C01DE6">
              <w:t xml:space="preserve"> is made (</w:t>
            </w:r>
            <w:r w:rsidR="00A200A8" w:rsidRPr="00C01DE6">
              <w:t>for example a Statement of the Case (</w:t>
            </w:r>
            <w:r w:rsidRPr="00C01DE6">
              <w:t>SOC</w:t>
            </w:r>
            <w:r w:rsidR="00A200A8" w:rsidRPr="00C01DE6">
              <w:t>)</w:t>
            </w:r>
            <w:r w:rsidRPr="00C01DE6">
              <w:t xml:space="preserve"> at the NOD stage or a</w:t>
            </w:r>
            <w:r w:rsidR="00A200A8" w:rsidRPr="00C01DE6">
              <w:t xml:space="preserve"> Supplemental Statement of the Case (</w:t>
            </w:r>
            <w:r w:rsidRPr="00C01DE6">
              <w:t>SSOC</w:t>
            </w:r>
            <w:r w:rsidR="00A200A8" w:rsidRPr="00C01DE6">
              <w:t>)</w:t>
            </w:r>
            <w:r w:rsidRPr="00C01DE6">
              <w:t xml:space="preserve"> at the substantive appeal stage) </w:t>
            </w:r>
            <w:r w:rsidR="00C84C91" w:rsidRPr="00C01DE6">
              <w:t xml:space="preserve">to be conducted by </w:t>
            </w:r>
            <w:r w:rsidR="00BE3751" w:rsidRPr="00C01DE6">
              <w:t>a second appeals staff member.</w:t>
            </w:r>
          </w:p>
          <w:p w14:paraId="042250FB" w14:textId="77777777" w:rsidR="00B73F02" w:rsidRPr="00C01DE6" w:rsidRDefault="00B73F02" w:rsidP="007758B7">
            <w:pPr>
              <w:pStyle w:val="BlockText"/>
            </w:pPr>
          </w:p>
          <w:p w14:paraId="7A079CE9" w14:textId="412DB504" w:rsidR="00953566" w:rsidRPr="00C01DE6" w:rsidRDefault="00B73F02" w:rsidP="007B0B16">
            <w:pPr>
              <w:pStyle w:val="BlockText"/>
            </w:pPr>
            <w:r w:rsidRPr="00C01DE6">
              <w:rPr>
                <w:b/>
                <w:i/>
              </w:rPr>
              <w:t>Note</w:t>
            </w:r>
            <w:r w:rsidRPr="00C01DE6">
              <w:t xml:space="preserve">: </w:t>
            </w:r>
            <w:r w:rsidR="006D2BFE" w:rsidRPr="00C01DE6">
              <w:t xml:space="preserve"> </w:t>
            </w:r>
            <w:r w:rsidRPr="00C01DE6">
              <w:t>BVA hearings conducted by Veterans Law Judges are covered under M21-1, Part I, 5.H.</w:t>
            </w:r>
          </w:p>
        </w:tc>
      </w:tr>
    </w:tbl>
    <w:p w14:paraId="684EED68" w14:textId="1C763D4E" w:rsidR="00A8590E" w:rsidRPr="00C01DE6" w:rsidRDefault="00A8590E" w:rsidP="00A8590E">
      <w:pPr>
        <w:pStyle w:val="BlockLine"/>
      </w:pPr>
    </w:p>
    <w:tbl>
      <w:tblPr>
        <w:tblW w:w="0" w:type="auto"/>
        <w:tblLayout w:type="fixed"/>
        <w:tblLook w:val="0000" w:firstRow="0" w:lastRow="0" w:firstColumn="0" w:lastColumn="0" w:noHBand="0" w:noVBand="0"/>
      </w:tblPr>
      <w:tblGrid>
        <w:gridCol w:w="1728"/>
        <w:gridCol w:w="7740"/>
      </w:tblGrid>
      <w:tr w:rsidR="00A8590E" w:rsidRPr="00C01DE6" w14:paraId="5BD68E36" w14:textId="77777777" w:rsidTr="00A8590E">
        <w:tc>
          <w:tcPr>
            <w:tcW w:w="1728" w:type="dxa"/>
            <w:shd w:val="clear" w:color="auto" w:fill="auto"/>
          </w:tcPr>
          <w:p w14:paraId="36F6A71E" w14:textId="77777777" w:rsidR="00A8590E" w:rsidRPr="00C01DE6" w:rsidRDefault="00375DA1" w:rsidP="00A8590E">
            <w:pPr>
              <w:pStyle w:val="Heading5"/>
            </w:pPr>
            <w:proofErr w:type="gramStart"/>
            <w:r w:rsidRPr="00C01DE6">
              <w:t>f</w:t>
            </w:r>
            <w:r w:rsidR="00A8590E" w:rsidRPr="00C01DE6">
              <w:t>.  Definition</w:t>
            </w:r>
            <w:proofErr w:type="gramEnd"/>
            <w:r w:rsidR="00A8590E" w:rsidRPr="00C01DE6">
              <w:t>: Original Determinative Authority</w:t>
            </w:r>
          </w:p>
        </w:tc>
        <w:tc>
          <w:tcPr>
            <w:tcW w:w="7740" w:type="dxa"/>
            <w:shd w:val="clear" w:color="auto" w:fill="auto"/>
          </w:tcPr>
          <w:p w14:paraId="2F75F8CD" w14:textId="410F3087" w:rsidR="00A8590E" w:rsidRPr="00C01DE6" w:rsidRDefault="00A8590E" w:rsidP="00FA1A12">
            <w:pPr>
              <w:pStyle w:val="BlockText"/>
            </w:pPr>
            <w:r w:rsidRPr="00C01DE6">
              <w:rPr>
                <w:b/>
                <w:i/>
              </w:rPr>
              <w:t>Original determinative authority</w:t>
            </w:r>
            <w:r w:rsidRPr="00C01DE6">
              <w:t xml:space="preserve"> means</w:t>
            </w:r>
            <w:r w:rsidR="00977EC4" w:rsidRPr="00C01DE6">
              <w:t>, with respect to RO hearings,</w:t>
            </w:r>
            <w:r w:rsidRPr="00C01DE6">
              <w:t xml:space="preserve"> that in assigning hearing duties, </w:t>
            </w:r>
            <w:r w:rsidR="00FA1A12" w:rsidRPr="00C01DE6">
              <w:t xml:space="preserve">RO </w:t>
            </w:r>
            <w:r w:rsidRPr="00C01DE6">
              <w:t>management will assign a hearing to a person with the appropriate job title and decision making authority to render a decision on the issue that is the subject of the hearing.</w:t>
            </w:r>
          </w:p>
        </w:tc>
      </w:tr>
    </w:tbl>
    <w:p w14:paraId="511AA13B" w14:textId="77777777" w:rsidR="00BC100F" w:rsidRPr="00C01DE6" w:rsidRDefault="00BC100F" w:rsidP="00BC100F">
      <w:pPr>
        <w:pStyle w:val="BlockLine"/>
      </w:pPr>
    </w:p>
    <w:tbl>
      <w:tblPr>
        <w:tblW w:w="0" w:type="auto"/>
        <w:tblLayout w:type="fixed"/>
        <w:tblLook w:val="0000" w:firstRow="0" w:lastRow="0" w:firstColumn="0" w:lastColumn="0" w:noHBand="0" w:noVBand="0"/>
      </w:tblPr>
      <w:tblGrid>
        <w:gridCol w:w="1728"/>
        <w:gridCol w:w="7740"/>
      </w:tblGrid>
      <w:tr w:rsidR="00967EBA" w:rsidRPr="00C01DE6" w14:paraId="7868697D" w14:textId="77777777" w:rsidTr="00967EBA">
        <w:tc>
          <w:tcPr>
            <w:tcW w:w="1728" w:type="dxa"/>
            <w:shd w:val="clear" w:color="auto" w:fill="auto"/>
          </w:tcPr>
          <w:p w14:paraId="05A838B1" w14:textId="77777777" w:rsidR="00967EBA" w:rsidRPr="00C01DE6" w:rsidRDefault="00375DA1" w:rsidP="00967EBA">
            <w:pPr>
              <w:pStyle w:val="Heading5"/>
            </w:pPr>
            <w:proofErr w:type="gramStart"/>
            <w:r w:rsidRPr="00C01DE6">
              <w:t>g</w:t>
            </w:r>
            <w:r w:rsidR="00CB2E36" w:rsidRPr="00C01DE6">
              <w:t xml:space="preserve">.  </w:t>
            </w:r>
            <w:r w:rsidR="00967EBA" w:rsidRPr="00C01DE6">
              <w:t>Policy</w:t>
            </w:r>
            <w:proofErr w:type="gramEnd"/>
            <w:r w:rsidR="00967EBA" w:rsidRPr="00C01DE6">
              <w:t xml:space="preserve"> Applications of the Original Determinative Authority </w:t>
            </w:r>
            <w:r w:rsidR="00967EBA" w:rsidRPr="00C01DE6">
              <w:lastRenderedPageBreak/>
              <w:t>Concept</w:t>
            </w:r>
          </w:p>
        </w:tc>
        <w:tc>
          <w:tcPr>
            <w:tcW w:w="7740" w:type="dxa"/>
            <w:shd w:val="clear" w:color="auto" w:fill="auto"/>
          </w:tcPr>
          <w:p w14:paraId="21939321" w14:textId="77777777" w:rsidR="00967EBA" w:rsidRPr="00C01DE6" w:rsidRDefault="003D67B6" w:rsidP="00967EBA">
            <w:pPr>
              <w:pStyle w:val="BlockText"/>
            </w:pPr>
            <w:r w:rsidRPr="00C01DE6">
              <w:lastRenderedPageBreak/>
              <w:t>The following are</w:t>
            </w:r>
            <w:r w:rsidR="00967EBA" w:rsidRPr="00C01DE6">
              <w:t xml:space="preserve"> policy applications of the </w:t>
            </w:r>
            <w:r w:rsidR="00967EBA" w:rsidRPr="00C01DE6">
              <w:rPr>
                <w:i/>
              </w:rPr>
              <w:t>original determinative authority</w:t>
            </w:r>
            <w:r w:rsidR="00967EBA" w:rsidRPr="00C01DE6">
              <w:t xml:space="preserve"> concept in </w:t>
            </w:r>
            <w:hyperlink r:id="rId16" w:history="1">
              <w:r w:rsidR="00F90C63" w:rsidRPr="00C01DE6">
                <w:rPr>
                  <w:rStyle w:val="Hyperlink"/>
                </w:rPr>
                <w:t>38 CFR 3.103(c)</w:t>
              </w:r>
            </w:hyperlink>
            <w:r w:rsidR="00967EBA" w:rsidRPr="00C01DE6">
              <w:t xml:space="preserve">. </w:t>
            </w:r>
          </w:p>
          <w:p w14:paraId="35800EA3" w14:textId="77777777" w:rsidR="00EB661D" w:rsidRPr="00C01DE6" w:rsidRDefault="00EB661D" w:rsidP="00967EBA">
            <w:pPr>
              <w:pStyle w:val="BlockText"/>
            </w:pPr>
          </w:p>
          <w:p w14:paraId="0CBE5F28" w14:textId="77777777" w:rsidR="009D7C46" w:rsidRPr="00C01DE6" w:rsidRDefault="009D7C46" w:rsidP="00967EBA">
            <w:pPr>
              <w:pStyle w:val="BulletText1"/>
            </w:pPr>
            <w:r w:rsidRPr="00C01DE6">
              <w:t xml:space="preserve">At the NOD stage of an appeal where </w:t>
            </w:r>
            <w:r w:rsidRPr="00C01DE6">
              <w:rPr>
                <w:i/>
              </w:rPr>
              <w:t>de novo</w:t>
            </w:r>
            <w:r w:rsidRPr="00C01DE6">
              <w:t xml:space="preserve"> review is required </w:t>
            </w:r>
          </w:p>
          <w:p w14:paraId="7E553022" w14:textId="2C2BDCA8" w:rsidR="00977EC4" w:rsidRPr="00C01DE6" w:rsidRDefault="003D67B6" w:rsidP="009D7C46">
            <w:pPr>
              <w:pStyle w:val="BulletText2"/>
            </w:pPr>
            <w:r w:rsidRPr="00C01DE6">
              <w:t>A Rating Veterans Service Representative (</w:t>
            </w:r>
            <w:r w:rsidR="00967EBA" w:rsidRPr="00C01DE6">
              <w:t>RVSR</w:t>
            </w:r>
            <w:r w:rsidRPr="00C01DE6">
              <w:t>)</w:t>
            </w:r>
            <w:r w:rsidR="00967EBA" w:rsidRPr="00C01DE6">
              <w:t xml:space="preserve"> </w:t>
            </w:r>
            <w:r w:rsidR="001B3F2E" w:rsidRPr="00C01DE6">
              <w:t xml:space="preserve">assigned appeals </w:t>
            </w:r>
            <w:r w:rsidR="001B3F2E" w:rsidRPr="00C01DE6">
              <w:lastRenderedPageBreak/>
              <w:t xml:space="preserve">duties </w:t>
            </w:r>
            <w:r w:rsidR="004A571A" w:rsidRPr="00C01DE6">
              <w:t xml:space="preserve">may not conduct </w:t>
            </w:r>
            <w:r w:rsidR="009D7C46" w:rsidRPr="00C01DE6">
              <w:t>the</w:t>
            </w:r>
            <w:r w:rsidR="004A571A" w:rsidRPr="00C01DE6">
              <w:t xml:space="preserve"> hearing</w:t>
            </w:r>
            <w:r w:rsidR="009D7C46" w:rsidRPr="00C01DE6">
              <w:t xml:space="preserve"> because an</w:t>
            </w:r>
            <w:r w:rsidR="00977EC4" w:rsidRPr="00C01DE6">
              <w:t xml:space="preserve"> RVSR is not authorized to perform a </w:t>
            </w:r>
            <w:r w:rsidR="00977EC4" w:rsidRPr="00C01DE6">
              <w:rPr>
                <w:i/>
              </w:rPr>
              <w:t>de novo</w:t>
            </w:r>
            <w:r w:rsidR="00BE3751" w:rsidRPr="00C01DE6">
              <w:t xml:space="preserve"> review.</w:t>
            </w:r>
          </w:p>
          <w:p w14:paraId="252487CE" w14:textId="68958C57" w:rsidR="009D7C46" w:rsidRPr="00C01DE6" w:rsidRDefault="00EB661D" w:rsidP="009D7C46">
            <w:pPr>
              <w:pStyle w:val="BulletText2"/>
            </w:pPr>
            <w:r w:rsidRPr="00C01DE6">
              <w:t xml:space="preserve">A </w:t>
            </w:r>
            <w:r w:rsidR="009D7C46" w:rsidRPr="00C01DE6">
              <w:t>DRO must typically serve as the hearing official because</w:t>
            </w:r>
            <w:r w:rsidR="00573317" w:rsidRPr="00C01DE6">
              <w:t>,</w:t>
            </w:r>
            <w:r w:rsidR="009D7C46" w:rsidRPr="00C01DE6">
              <w:t xml:space="preserve"> apart </w:t>
            </w:r>
            <w:r w:rsidR="00AB26D5" w:rsidRPr="00C01DE6">
              <w:t>from the</w:t>
            </w:r>
            <w:r w:rsidR="00724453" w:rsidRPr="00C01DE6">
              <w:t xml:space="preserve"> </w:t>
            </w:r>
            <w:r w:rsidR="00ED4700" w:rsidRPr="00C01DE6">
              <w:t>Veterans Service Center Manager (</w:t>
            </w:r>
            <w:r w:rsidR="00724453" w:rsidRPr="00C01DE6">
              <w:t>VSCM</w:t>
            </w:r>
            <w:r w:rsidR="00ED4700" w:rsidRPr="00C01DE6">
              <w:t>)</w:t>
            </w:r>
            <w:r w:rsidR="00FA1A12" w:rsidRPr="00C01DE6">
              <w:t xml:space="preserve"> or Pension Management Center Manager (PMCM)</w:t>
            </w:r>
            <w:r w:rsidR="009D7C46" w:rsidRPr="00C01DE6">
              <w:t xml:space="preserve">, only a DRO may perform a </w:t>
            </w:r>
            <w:r w:rsidR="009D7C46" w:rsidRPr="00C01DE6">
              <w:rPr>
                <w:i/>
              </w:rPr>
              <w:t>de novo</w:t>
            </w:r>
            <w:r w:rsidR="009D7C46" w:rsidRPr="00C01DE6">
              <w:t xml:space="preserve"> review.</w:t>
            </w:r>
          </w:p>
          <w:p w14:paraId="057AC2A1" w14:textId="77777777" w:rsidR="00967EBA" w:rsidRPr="00C01DE6" w:rsidRDefault="00967EBA" w:rsidP="00967EBA">
            <w:pPr>
              <w:pStyle w:val="BulletText1"/>
            </w:pPr>
            <w:r w:rsidRPr="00C01DE6">
              <w:t xml:space="preserve">At the </w:t>
            </w:r>
            <w:r w:rsidR="003D67B6" w:rsidRPr="00C01DE6">
              <w:t>s</w:t>
            </w:r>
            <w:r w:rsidRPr="00C01DE6">
              <w:t xml:space="preserve">ubstantive </w:t>
            </w:r>
            <w:r w:rsidR="003D67B6" w:rsidRPr="00C01DE6">
              <w:t>a</w:t>
            </w:r>
            <w:r w:rsidRPr="00C01DE6">
              <w:t>ppeal stage of an appeal</w:t>
            </w:r>
            <w:r w:rsidR="00EB661D" w:rsidRPr="00C01DE6">
              <w:t>,</w:t>
            </w:r>
            <w:r w:rsidRPr="00C01DE6">
              <w:t xml:space="preserve"> either a DRO or a</w:t>
            </w:r>
            <w:r w:rsidR="004A571A" w:rsidRPr="00C01DE6">
              <w:t>n</w:t>
            </w:r>
            <w:r w:rsidRPr="00C01DE6">
              <w:t xml:space="preserve"> RVSR</w:t>
            </w:r>
            <w:r w:rsidR="001B3F2E" w:rsidRPr="00C01DE6">
              <w:t xml:space="preserve"> assigned appeals duties</w:t>
            </w:r>
            <w:r w:rsidR="004A571A" w:rsidRPr="00C01DE6">
              <w:t xml:space="preserve"> </w:t>
            </w:r>
            <w:r w:rsidR="00A200A8" w:rsidRPr="00C01DE6">
              <w:t xml:space="preserve">may potentially conduct </w:t>
            </w:r>
            <w:r w:rsidR="001B3F2E" w:rsidRPr="00C01DE6">
              <w:t>a hearing</w:t>
            </w:r>
            <w:r w:rsidR="008B37FF" w:rsidRPr="00C01DE6">
              <w:t xml:space="preserve"> because o</w:t>
            </w:r>
            <w:r w:rsidR="00A200A8" w:rsidRPr="00C01DE6">
              <w:t xml:space="preserve">n </w:t>
            </w:r>
            <w:r w:rsidR="008B37FF" w:rsidRPr="00C01DE6">
              <w:t xml:space="preserve">most </w:t>
            </w:r>
            <w:r w:rsidR="00A200A8" w:rsidRPr="00C01DE6">
              <w:t xml:space="preserve">issues </w:t>
            </w:r>
            <w:r w:rsidR="008B37FF" w:rsidRPr="00C01DE6">
              <w:t xml:space="preserve">either an RVSR or a DRO will be qualified to issue the decision.  </w:t>
            </w:r>
          </w:p>
          <w:p w14:paraId="51895754" w14:textId="38330B35" w:rsidR="00967EBA" w:rsidRPr="00C01DE6" w:rsidRDefault="00A200A8" w:rsidP="00967EBA">
            <w:pPr>
              <w:pStyle w:val="BulletText1"/>
            </w:pPr>
            <w:r w:rsidRPr="00C01DE6">
              <w:t>Pre</w:t>
            </w:r>
            <w:r w:rsidR="00451457" w:rsidRPr="00C01DE6">
              <w:t>-</w:t>
            </w:r>
            <w:r w:rsidRPr="00C01DE6">
              <w:t xml:space="preserve">determination hearings on a </w:t>
            </w:r>
            <w:r w:rsidR="00967EBA" w:rsidRPr="00C01DE6">
              <w:t xml:space="preserve">rating issue </w:t>
            </w:r>
            <w:r w:rsidR="003D67B6" w:rsidRPr="00C01DE6">
              <w:t>may</w:t>
            </w:r>
            <w:r w:rsidR="00967EBA" w:rsidRPr="00C01DE6">
              <w:t xml:space="preserve"> be</w:t>
            </w:r>
            <w:r w:rsidR="004A571A" w:rsidRPr="00C01DE6">
              <w:t xml:space="preserve"> conducted by an RVSR or a DRO. </w:t>
            </w:r>
          </w:p>
          <w:p w14:paraId="1CE81E3D" w14:textId="7997FF8A" w:rsidR="006D5538" w:rsidRPr="00C01DE6" w:rsidRDefault="00967EBA" w:rsidP="006D5538">
            <w:pPr>
              <w:pStyle w:val="BulletText1"/>
            </w:pPr>
            <w:r w:rsidRPr="00C01DE6">
              <w:t>Post</w:t>
            </w:r>
            <w:r w:rsidR="00573317" w:rsidRPr="00C01DE6">
              <w:t>-</w:t>
            </w:r>
            <w:r w:rsidRPr="00C01DE6">
              <w:t>decis</w:t>
            </w:r>
            <w:r w:rsidR="004A571A" w:rsidRPr="00C01DE6">
              <w:t>ional non-appeal hearings</w:t>
            </w:r>
            <w:r w:rsidRPr="00C01DE6">
              <w:t xml:space="preserve"> </w:t>
            </w:r>
            <w:r w:rsidR="003D67B6" w:rsidRPr="00C01DE6">
              <w:t>may</w:t>
            </w:r>
            <w:r w:rsidRPr="00C01DE6">
              <w:t xml:space="preserve"> be </w:t>
            </w:r>
            <w:r w:rsidR="001D5562" w:rsidRPr="00C01DE6">
              <w:t xml:space="preserve">conducted </w:t>
            </w:r>
            <w:r w:rsidRPr="00C01DE6">
              <w:t>by an RVSR or DRO</w:t>
            </w:r>
            <w:r w:rsidR="004A571A" w:rsidRPr="00C01DE6">
              <w:t>.</w:t>
            </w:r>
          </w:p>
          <w:p w14:paraId="259CE2C6" w14:textId="57334CC3" w:rsidR="008B37FF" w:rsidRPr="00C01DE6" w:rsidRDefault="009D7C46" w:rsidP="00A1415A">
            <w:pPr>
              <w:pStyle w:val="BulletText1"/>
            </w:pPr>
            <w:r w:rsidRPr="00C01DE6">
              <w:t>In some categories of cases</w:t>
            </w:r>
            <w:r w:rsidR="00D71D78" w:rsidRPr="00C01DE6">
              <w:t>,</w:t>
            </w:r>
            <w:r w:rsidRPr="00C01DE6">
              <w:t xml:space="preserve"> there </w:t>
            </w:r>
            <w:proofErr w:type="gramStart"/>
            <w:r w:rsidRPr="00C01DE6">
              <w:t>are</w:t>
            </w:r>
            <w:proofErr w:type="gramEnd"/>
            <w:r w:rsidRPr="00C01DE6">
              <w:t xml:space="preserve"> a limited number of staff members authorized to make a decision.  In such cases</w:t>
            </w:r>
            <w:r w:rsidR="00D71D78" w:rsidRPr="00C01DE6">
              <w:t>,</w:t>
            </w:r>
            <w:r w:rsidRPr="00C01DE6">
              <w:t xml:space="preserve"> only the </w:t>
            </w:r>
            <w:r w:rsidR="006D5538" w:rsidRPr="00C01DE6">
              <w:t xml:space="preserve">designated authorized staff members can conduct hearings. </w:t>
            </w:r>
            <w:r w:rsidR="00A1415A" w:rsidRPr="00C01DE6">
              <w:t xml:space="preserve"> </w:t>
            </w:r>
            <w:r w:rsidR="00D71D78" w:rsidRPr="00C01DE6">
              <w:t xml:space="preserve">For example, </w:t>
            </w:r>
            <w:r w:rsidR="006921A2" w:rsidRPr="00C01DE6">
              <w:t>limited staff members access those cases d</w:t>
            </w:r>
            <w:r w:rsidR="00D71D78" w:rsidRPr="00C01DE6">
              <w:t xml:space="preserve">esignated as sensitive or Former Prisoner of War </w:t>
            </w:r>
            <w:r w:rsidR="006921A2" w:rsidRPr="00C01DE6">
              <w:t>(FPOW)</w:t>
            </w:r>
            <w:r w:rsidR="00D71D78" w:rsidRPr="00C01DE6">
              <w:t>.</w:t>
            </w:r>
            <w:r w:rsidRPr="00C01DE6">
              <w:t xml:space="preserve"> </w:t>
            </w:r>
          </w:p>
          <w:p w14:paraId="0EB47F7A" w14:textId="6614C9CD" w:rsidR="00163B63" w:rsidRPr="00C01DE6" w:rsidRDefault="00D80435" w:rsidP="00967EBA">
            <w:pPr>
              <w:pStyle w:val="BulletText1"/>
            </w:pPr>
            <w:r w:rsidRPr="00C01DE6">
              <w:t>In any case where more than one person is assigned to hold a hearing</w:t>
            </w:r>
            <w:r w:rsidR="00D71D78" w:rsidRPr="00C01DE6">
              <w:t>,</w:t>
            </w:r>
            <w:r w:rsidR="004A571A" w:rsidRPr="00C01DE6">
              <w:t xml:space="preserve"> </w:t>
            </w:r>
            <w:r w:rsidRPr="00C01DE6">
              <w:t>at least one hearing official must have the authority to make a decision on all issues w</w:t>
            </w:r>
            <w:r w:rsidR="00BE3751" w:rsidRPr="00C01DE6">
              <w:t>ithout a concurring signature.</w:t>
            </w:r>
          </w:p>
          <w:p w14:paraId="3D8B31FA" w14:textId="77777777" w:rsidR="002C23B9" w:rsidRPr="00C01DE6" w:rsidRDefault="00967EBA" w:rsidP="005C04F1">
            <w:pPr>
              <w:pStyle w:val="BulletText1"/>
            </w:pPr>
            <w:r w:rsidRPr="00C01DE6">
              <w:t xml:space="preserve">A </w:t>
            </w:r>
            <w:r w:rsidR="003D67B6" w:rsidRPr="00C01DE6">
              <w:t>Veterans Service Representative (VSR)</w:t>
            </w:r>
            <w:r w:rsidR="004A571A" w:rsidRPr="00C01DE6">
              <w:t xml:space="preserve"> or Senior VSR</w:t>
            </w:r>
            <w:r w:rsidR="003D67B6" w:rsidRPr="00C01DE6">
              <w:t xml:space="preserve"> </w:t>
            </w:r>
            <w:r w:rsidRPr="00C01DE6">
              <w:t>can conduct a hearing in connection w</w:t>
            </w:r>
            <w:r w:rsidR="005C04F1" w:rsidRPr="00C01DE6">
              <w:t>ith a non-rating determination</w:t>
            </w:r>
            <w:r w:rsidR="004A571A" w:rsidRPr="00C01DE6">
              <w:t>.</w:t>
            </w:r>
          </w:p>
          <w:p w14:paraId="200928AD" w14:textId="77777777" w:rsidR="002C23B9" w:rsidRPr="00C01DE6" w:rsidRDefault="002C23B9" w:rsidP="002C23B9">
            <w:pPr>
              <w:pStyle w:val="BulletText1"/>
              <w:numPr>
                <w:ilvl w:val="0"/>
                <w:numId w:val="0"/>
              </w:numPr>
              <w:ind w:left="173" w:hanging="173"/>
            </w:pPr>
          </w:p>
          <w:p w14:paraId="1A6A3B0F" w14:textId="77777777" w:rsidR="00977EC4" w:rsidRPr="00C01DE6" w:rsidRDefault="002C23B9" w:rsidP="002C23B9">
            <w:r w:rsidRPr="00C01DE6">
              <w:rPr>
                <w:b/>
                <w:i/>
              </w:rPr>
              <w:t>Reference</w:t>
            </w:r>
            <w:r w:rsidRPr="00C01DE6">
              <w:t>:</w:t>
            </w:r>
            <w:r w:rsidR="004A571A" w:rsidRPr="00C01DE6">
              <w:t xml:space="preserve">  </w:t>
            </w:r>
            <w:r w:rsidRPr="00C01DE6">
              <w:t xml:space="preserve">For more information on predetermination hearings, see </w:t>
            </w:r>
            <w:hyperlink r:id="rId17" w:history="1">
              <w:r w:rsidRPr="00C01DE6">
                <w:rPr>
                  <w:rStyle w:val="Hyperlink"/>
                </w:rPr>
                <w:t>38 CFR 3.105(</w:t>
              </w:r>
              <w:proofErr w:type="spellStart"/>
              <w:r w:rsidRPr="00C01DE6">
                <w:rPr>
                  <w:rStyle w:val="Hyperlink"/>
                </w:rPr>
                <w:t>i</w:t>
              </w:r>
              <w:proofErr w:type="spellEnd"/>
              <w:r w:rsidRPr="00C01DE6">
                <w:rPr>
                  <w:rStyle w:val="Hyperlink"/>
                </w:rPr>
                <w:t>)</w:t>
              </w:r>
            </w:hyperlink>
            <w:r w:rsidRPr="00C01DE6">
              <w:t>.</w:t>
            </w:r>
          </w:p>
        </w:tc>
      </w:tr>
    </w:tbl>
    <w:p w14:paraId="58A3E5B5" w14:textId="77777777" w:rsidR="00967EBA" w:rsidRPr="00C01DE6" w:rsidRDefault="00967EBA" w:rsidP="00967EBA">
      <w:pPr>
        <w:pStyle w:val="BlockLine"/>
      </w:pPr>
    </w:p>
    <w:tbl>
      <w:tblPr>
        <w:tblW w:w="0" w:type="auto"/>
        <w:tblLayout w:type="fixed"/>
        <w:tblLook w:val="0000" w:firstRow="0" w:lastRow="0" w:firstColumn="0" w:lastColumn="0" w:noHBand="0" w:noVBand="0"/>
      </w:tblPr>
      <w:tblGrid>
        <w:gridCol w:w="1728"/>
        <w:gridCol w:w="7740"/>
      </w:tblGrid>
      <w:tr w:rsidR="00017018" w:rsidRPr="00C01DE6" w14:paraId="1070BC37" w14:textId="77777777" w:rsidTr="00017018">
        <w:tc>
          <w:tcPr>
            <w:tcW w:w="1728" w:type="dxa"/>
            <w:shd w:val="clear" w:color="auto" w:fill="auto"/>
          </w:tcPr>
          <w:p w14:paraId="22B02FFD" w14:textId="77777777" w:rsidR="00017018" w:rsidRPr="00C01DE6" w:rsidRDefault="00375DA1" w:rsidP="00F504FA">
            <w:pPr>
              <w:pStyle w:val="Heading5"/>
            </w:pPr>
            <w:proofErr w:type="gramStart"/>
            <w:r w:rsidRPr="00C01DE6">
              <w:t>h</w:t>
            </w:r>
            <w:r w:rsidR="00CB2E36" w:rsidRPr="00C01DE6">
              <w:t xml:space="preserve">.  </w:t>
            </w:r>
            <w:r w:rsidR="00017018" w:rsidRPr="00C01DE6">
              <w:t>Hearing</w:t>
            </w:r>
            <w:proofErr w:type="gramEnd"/>
            <w:r w:rsidR="00017018" w:rsidRPr="00C01DE6">
              <w:t xml:space="preserve"> by</w:t>
            </w:r>
            <w:r w:rsidR="00936396" w:rsidRPr="00C01DE6">
              <w:t xml:space="preserve"> an</w:t>
            </w:r>
            <w:r w:rsidR="00017018" w:rsidRPr="00C01DE6">
              <w:t xml:space="preserve"> Employee who did not Participate in the Prior Decision  </w:t>
            </w:r>
          </w:p>
        </w:tc>
        <w:tc>
          <w:tcPr>
            <w:tcW w:w="7740" w:type="dxa"/>
            <w:shd w:val="clear" w:color="auto" w:fill="auto"/>
          </w:tcPr>
          <w:p w14:paraId="5C2DD194" w14:textId="77777777" w:rsidR="003856D3" w:rsidRPr="00C01DE6" w:rsidRDefault="00163B63" w:rsidP="00017018">
            <w:pPr>
              <w:pStyle w:val="BlockText"/>
            </w:pPr>
            <w:r w:rsidRPr="00C01DE6">
              <w:t xml:space="preserve">The phrase </w:t>
            </w:r>
            <w:r w:rsidRPr="00C01DE6">
              <w:rPr>
                <w:b/>
                <w:i/>
              </w:rPr>
              <w:t>did not participate in the proposed action or the decision being appealed</w:t>
            </w:r>
            <w:r w:rsidR="003856D3" w:rsidRPr="00C01DE6">
              <w:t xml:space="preserve"> </w:t>
            </w:r>
            <w:r w:rsidR="00FC5E1B" w:rsidRPr="00C01DE6">
              <w:t>means the hearing officer did not</w:t>
            </w:r>
          </w:p>
          <w:p w14:paraId="0EA6AF03" w14:textId="77777777" w:rsidR="00A1415A" w:rsidRPr="00C01DE6" w:rsidRDefault="00A1415A" w:rsidP="00017018">
            <w:pPr>
              <w:pStyle w:val="BlockText"/>
            </w:pPr>
          </w:p>
          <w:p w14:paraId="64CDFE58" w14:textId="77777777" w:rsidR="003856D3" w:rsidRPr="00C01DE6" w:rsidRDefault="00FC5E1B" w:rsidP="003856D3">
            <w:pPr>
              <w:pStyle w:val="BulletText1"/>
            </w:pPr>
            <w:r w:rsidRPr="00C01DE6">
              <w:t>i</w:t>
            </w:r>
            <w:r w:rsidR="00017018" w:rsidRPr="00C01DE6">
              <w:t>ssu</w:t>
            </w:r>
            <w:r w:rsidRPr="00C01DE6">
              <w:t xml:space="preserve">e </w:t>
            </w:r>
            <w:r w:rsidR="00017018" w:rsidRPr="00C01DE6">
              <w:t xml:space="preserve">the </w:t>
            </w:r>
            <w:r w:rsidR="00FB5F91" w:rsidRPr="00C01DE6">
              <w:t xml:space="preserve">decision under his/her </w:t>
            </w:r>
            <w:r w:rsidR="00163B63" w:rsidRPr="00C01DE6">
              <w:t xml:space="preserve">sole </w:t>
            </w:r>
            <w:r w:rsidR="00FB5F91" w:rsidRPr="00C01DE6">
              <w:t>signature</w:t>
            </w:r>
            <w:r w:rsidR="003856D3" w:rsidRPr="00C01DE6">
              <w:t xml:space="preserve">, or </w:t>
            </w:r>
          </w:p>
          <w:p w14:paraId="4DA35F2B" w14:textId="77777777" w:rsidR="00017018" w:rsidRPr="00C01DE6" w:rsidRDefault="003856D3" w:rsidP="003856D3">
            <w:pPr>
              <w:pStyle w:val="BulletText1"/>
            </w:pPr>
            <w:proofErr w:type="gramStart"/>
            <w:r w:rsidRPr="00C01DE6">
              <w:t>second</w:t>
            </w:r>
            <w:proofErr w:type="gramEnd"/>
            <w:r w:rsidRPr="00C01DE6">
              <w:t xml:space="preserve"> sign the decision</w:t>
            </w:r>
            <w:r w:rsidR="00BF4EE1" w:rsidRPr="00C01DE6">
              <w:t>.</w:t>
            </w:r>
          </w:p>
          <w:p w14:paraId="0F86CF5D" w14:textId="77777777" w:rsidR="00017018" w:rsidRPr="00C01DE6" w:rsidRDefault="00017018" w:rsidP="00017018">
            <w:pPr>
              <w:pStyle w:val="BlockText"/>
            </w:pPr>
          </w:p>
          <w:p w14:paraId="41CDD4FD" w14:textId="40E63B13" w:rsidR="00B34D5A" w:rsidRPr="00C01DE6" w:rsidRDefault="00017018" w:rsidP="00FB5F91">
            <w:pPr>
              <w:pStyle w:val="BlockText"/>
            </w:pPr>
            <w:r w:rsidRPr="00C01DE6">
              <w:rPr>
                <w:b/>
                <w:i/>
              </w:rPr>
              <w:t>Explanation</w:t>
            </w:r>
            <w:r w:rsidRPr="00C01DE6">
              <w:t xml:space="preserve">: </w:t>
            </w:r>
            <w:r w:rsidR="006D2BFE" w:rsidRPr="00C01DE6">
              <w:t xml:space="preserve"> </w:t>
            </w:r>
            <w:r w:rsidRPr="00C01DE6">
              <w:t>This is to assure the claimant/beneficiary or appellant that the hearing offic</w:t>
            </w:r>
            <w:r w:rsidR="00FB5F91" w:rsidRPr="00C01DE6">
              <w:t>ial</w:t>
            </w:r>
            <w:r w:rsidRPr="00C01DE6">
              <w:t xml:space="preserve"> will not have pre</w:t>
            </w:r>
            <w:r w:rsidR="00BF4EE1" w:rsidRPr="00C01DE6">
              <w:t>-</w:t>
            </w:r>
            <w:r w:rsidRPr="00C01DE6">
              <w:t xml:space="preserve">judged the issue.  </w:t>
            </w:r>
          </w:p>
        </w:tc>
      </w:tr>
    </w:tbl>
    <w:p w14:paraId="4FF13656" w14:textId="77777777" w:rsidR="00821C07" w:rsidRPr="00C01DE6" w:rsidRDefault="00821C07" w:rsidP="00967EBA">
      <w:pPr>
        <w:pStyle w:val="BlockLine"/>
      </w:pPr>
    </w:p>
    <w:tbl>
      <w:tblPr>
        <w:tblW w:w="0" w:type="auto"/>
        <w:tblLayout w:type="fixed"/>
        <w:tblLook w:val="0000" w:firstRow="0" w:lastRow="0" w:firstColumn="0" w:lastColumn="0" w:noHBand="0" w:noVBand="0"/>
      </w:tblPr>
      <w:tblGrid>
        <w:gridCol w:w="1728"/>
        <w:gridCol w:w="7740"/>
      </w:tblGrid>
      <w:tr w:rsidR="000A24E9" w:rsidRPr="00C01DE6" w14:paraId="2569D215" w14:textId="77777777" w:rsidTr="000A24E9">
        <w:tc>
          <w:tcPr>
            <w:tcW w:w="1728" w:type="dxa"/>
            <w:shd w:val="clear" w:color="auto" w:fill="auto"/>
          </w:tcPr>
          <w:p w14:paraId="73BE6F75" w14:textId="77777777" w:rsidR="000A24E9" w:rsidRPr="00C01DE6" w:rsidRDefault="00375DA1" w:rsidP="00807F0A">
            <w:pPr>
              <w:pStyle w:val="Heading5"/>
            </w:pPr>
            <w:proofErr w:type="spellStart"/>
            <w:proofErr w:type="gramStart"/>
            <w:r w:rsidRPr="00C01DE6">
              <w:t>i</w:t>
            </w:r>
            <w:proofErr w:type="spellEnd"/>
            <w:r w:rsidR="00CB2E36" w:rsidRPr="00C01DE6">
              <w:t xml:space="preserve">.  </w:t>
            </w:r>
            <w:r w:rsidR="000A24E9" w:rsidRPr="00C01DE6">
              <w:t>Who</w:t>
            </w:r>
            <w:proofErr w:type="gramEnd"/>
            <w:r w:rsidR="000A24E9" w:rsidRPr="00C01DE6">
              <w:t xml:space="preserve"> Must Make </w:t>
            </w:r>
            <w:r w:rsidR="00807F0A" w:rsidRPr="00C01DE6">
              <w:t>the</w:t>
            </w:r>
            <w:r w:rsidR="000A24E9" w:rsidRPr="00C01DE6">
              <w:t xml:space="preserve"> Decision on a Hearing</w:t>
            </w:r>
          </w:p>
        </w:tc>
        <w:tc>
          <w:tcPr>
            <w:tcW w:w="7740" w:type="dxa"/>
            <w:shd w:val="clear" w:color="auto" w:fill="auto"/>
          </w:tcPr>
          <w:p w14:paraId="6BC6E31F" w14:textId="77777777" w:rsidR="00967EBA" w:rsidRPr="00C01DE6" w:rsidRDefault="0083500C" w:rsidP="000A24E9">
            <w:pPr>
              <w:pStyle w:val="BlockText"/>
            </w:pPr>
            <w:r w:rsidRPr="00C01DE6">
              <w:t xml:space="preserve">The </w:t>
            </w:r>
            <w:r w:rsidR="00BF4EE1" w:rsidRPr="00C01DE6">
              <w:t xml:space="preserve">hearing official </w:t>
            </w:r>
            <w:r w:rsidRPr="00C01DE6">
              <w:t>mus</w:t>
            </w:r>
            <w:r w:rsidR="00FC5E1B" w:rsidRPr="00C01DE6">
              <w:t>t issue the subsequent decision</w:t>
            </w:r>
            <w:r w:rsidR="00BF4EE1" w:rsidRPr="00C01DE6">
              <w:t xml:space="preserve"> </w:t>
            </w:r>
            <w:r w:rsidRPr="00C01DE6">
              <w:t xml:space="preserve">based on the hearing testimony.  </w:t>
            </w:r>
          </w:p>
          <w:p w14:paraId="4804139F" w14:textId="77777777" w:rsidR="00FC7BFD" w:rsidRPr="00C01DE6" w:rsidRDefault="00FC7BFD" w:rsidP="00FC7BFD">
            <w:pPr>
              <w:pStyle w:val="BlockText"/>
            </w:pPr>
          </w:p>
          <w:p w14:paraId="5F71A23C" w14:textId="24A85112" w:rsidR="00497441" w:rsidRPr="00C01DE6" w:rsidRDefault="00B109F1" w:rsidP="00CA3628">
            <w:pPr>
              <w:pStyle w:val="BlockText"/>
            </w:pPr>
            <w:r w:rsidRPr="00C01DE6">
              <w:rPr>
                <w:b/>
                <w:i/>
              </w:rPr>
              <w:t>Rationale</w:t>
            </w:r>
            <w:r w:rsidRPr="00C01DE6">
              <w:t>:  A key facet of the hearing due process right is the right to present testimony</w:t>
            </w:r>
            <w:r w:rsidRPr="00C01DE6">
              <w:rPr>
                <w:i/>
              </w:rPr>
              <w:t xml:space="preserve"> in person before the decision make</w:t>
            </w:r>
            <w:r w:rsidRPr="00C01DE6">
              <w:t xml:space="preserve">r.  The in-person interaction gives the hearing official the ability to observe the appearance and demeanor of </w:t>
            </w:r>
            <w:r w:rsidR="006D2BFE" w:rsidRPr="00C01DE6">
              <w:t xml:space="preserve">the </w:t>
            </w:r>
            <w:r w:rsidRPr="00C01DE6">
              <w:t>witness</w:t>
            </w:r>
            <w:r w:rsidR="00E26B96" w:rsidRPr="00C01DE6">
              <w:t>,</w:t>
            </w:r>
            <w:r w:rsidRPr="00C01DE6">
              <w:t xml:space="preserve"> which may emphasize or highlight the credibility of that evidence among any conflicting evidence of record.  </w:t>
            </w:r>
          </w:p>
        </w:tc>
      </w:tr>
    </w:tbl>
    <w:p w14:paraId="67AD33E3" w14:textId="77777777" w:rsidR="00B109F1" w:rsidRPr="00C01DE6" w:rsidRDefault="00B109F1" w:rsidP="00B109F1">
      <w:pPr>
        <w:pStyle w:val="BlockLine"/>
      </w:pPr>
    </w:p>
    <w:tbl>
      <w:tblPr>
        <w:tblW w:w="0" w:type="auto"/>
        <w:tblLayout w:type="fixed"/>
        <w:tblLook w:val="0000" w:firstRow="0" w:lastRow="0" w:firstColumn="0" w:lastColumn="0" w:noHBand="0" w:noVBand="0"/>
      </w:tblPr>
      <w:tblGrid>
        <w:gridCol w:w="1728"/>
        <w:gridCol w:w="7740"/>
      </w:tblGrid>
      <w:tr w:rsidR="00B109F1" w:rsidRPr="00C01DE6" w14:paraId="2C9A96B8" w14:textId="77777777" w:rsidTr="00B109F1">
        <w:tc>
          <w:tcPr>
            <w:tcW w:w="1728" w:type="dxa"/>
            <w:shd w:val="clear" w:color="auto" w:fill="auto"/>
          </w:tcPr>
          <w:p w14:paraId="7AAC7782" w14:textId="77777777" w:rsidR="00B109F1" w:rsidRPr="00C01DE6" w:rsidRDefault="00375DA1" w:rsidP="00CB2E36">
            <w:pPr>
              <w:pStyle w:val="Heading5"/>
            </w:pPr>
            <w:proofErr w:type="gramStart"/>
            <w:r w:rsidRPr="00C01DE6">
              <w:t>j</w:t>
            </w:r>
            <w:r w:rsidR="00CB2E36" w:rsidRPr="00C01DE6">
              <w:t>.  Procedure</w:t>
            </w:r>
            <w:proofErr w:type="gramEnd"/>
            <w:r w:rsidR="00CB2E36" w:rsidRPr="00C01DE6">
              <w:t xml:space="preserve"> if the </w:t>
            </w:r>
            <w:r w:rsidR="00B109F1" w:rsidRPr="00C01DE6">
              <w:t xml:space="preserve">Hearing </w:t>
            </w:r>
            <w:r w:rsidR="00B109F1" w:rsidRPr="00C01DE6">
              <w:lastRenderedPageBreak/>
              <w:t>Official Cannot Make the Subsequent Decision</w:t>
            </w:r>
          </w:p>
        </w:tc>
        <w:tc>
          <w:tcPr>
            <w:tcW w:w="7740" w:type="dxa"/>
            <w:shd w:val="clear" w:color="auto" w:fill="auto"/>
          </w:tcPr>
          <w:p w14:paraId="4571B395" w14:textId="77777777" w:rsidR="006C6978" w:rsidRPr="00C01DE6" w:rsidRDefault="00B109F1" w:rsidP="00B109F1">
            <w:pPr>
              <w:pStyle w:val="BlockText"/>
            </w:pPr>
            <w:r w:rsidRPr="00C01DE6">
              <w:lastRenderedPageBreak/>
              <w:t xml:space="preserve">In some cases the hearing official may not be </w:t>
            </w:r>
            <w:r w:rsidR="006C6978" w:rsidRPr="00C01DE6">
              <w:t xml:space="preserve">available </w:t>
            </w:r>
            <w:r w:rsidRPr="00C01DE6">
              <w:t>to make the subsequent decision</w:t>
            </w:r>
            <w:r w:rsidR="006C6978" w:rsidRPr="00C01DE6">
              <w:t xml:space="preserve">.  For example, an employee may </w:t>
            </w:r>
          </w:p>
          <w:p w14:paraId="3603309F" w14:textId="77777777" w:rsidR="00D71D78" w:rsidRPr="00C01DE6" w:rsidRDefault="00D71D78" w:rsidP="00B109F1">
            <w:pPr>
              <w:pStyle w:val="BlockText"/>
            </w:pPr>
          </w:p>
          <w:p w14:paraId="336D2745" w14:textId="77777777" w:rsidR="006C6978" w:rsidRPr="00C01DE6" w:rsidRDefault="006C6978" w:rsidP="006C6978">
            <w:pPr>
              <w:pStyle w:val="BulletText1"/>
            </w:pPr>
            <w:r w:rsidRPr="00C01DE6">
              <w:t>receive a promotion to management</w:t>
            </w:r>
          </w:p>
          <w:p w14:paraId="7D883DEE" w14:textId="77777777" w:rsidR="006C6978" w:rsidRPr="00C01DE6" w:rsidRDefault="00B109F1" w:rsidP="006C6978">
            <w:pPr>
              <w:pStyle w:val="BulletText1"/>
            </w:pPr>
            <w:r w:rsidRPr="00C01DE6">
              <w:t>transfer to a different office in VA</w:t>
            </w:r>
            <w:r w:rsidR="006C6978" w:rsidRPr="00C01DE6">
              <w:t>,</w:t>
            </w:r>
            <w:r w:rsidRPr="00C01DE6">
              <w:t xml:space="preserve"> or </w:t>
            </w:r>
          </w:p>
          <w:p w14:paraId="6EBCD8AE" w14:textId="77777777" w:rsidR="00B109F1" w:rsidRPr="00C01DE6" w:rsidRDefault="006C6978" w:rsidP="006C6978">
            <w:pPr>
              <w:pStyle w:val="BulletText1"/>
            </w:pPr>
            <w:proofErr w:type="gramStart"/>
            <w:r w:rsidRPr="00C01DE6">
              <w:t>retire</w:t>
            </w:r>
            <w:proofErr w:type="gramEnd"/>
            <w:r w:rsidR="00B109F1" w:rsidRPr="00C01DE6">
              <w:t xml:space="preserve">.  </w:t>
            </w:r>
          </w:p>
          <w:p w14:paraId="5DD189C3" w14:textId="77777777" w:rsidR="00B109F1" w:rsidRPr="00C01DE6" w:rsidRDefault="00B109F1" w:rsidP="00B109F1">
            <w:pPr>
              <w:pStyle w:val="BlockText"/>
            </w:pPr>
          </w:p>
          <w:p w14:paraId="4A9EF619" w14:textId="468EAC11" w:rsidR="00D800F3" w:rsidRPr="00C01DE6" w:rsidRDefault="00D800F3" w:rsidP="00B109F1">
            <w:pPr>
              <w:pStyle w:val="BlockText"/>
            </w:pPr>
            <w:r w:rsidRPr="00C01DE6">
              <w:t>In such a case</w:t>
            </w:r>
            <w:r w:rsidR="00CA3628" w:rsidRPr="00C01DE6">
              <w:t>,</w:t>
            </w:r>
            <w:r w:rsidRPr="00C01DE6">
              <w:t xml:space="preserve"> notify the claimant/beneficiary</w:t>
            </w:r>
            <w:r w:rsidR="00E55EB8" w:rsidRPr="00C01DE6">
              <w:t xml:space="preserve"> that</w:t>
            </w:r>
          </w:p>
          <w:p w14:paraId="4F540B60" w14:textId="77777777" w:rsidR="006A4D51" w:rsidRPr="00C01DE6" w:rsidRDefault="006A4D51" w:rsidP="00B109F1">
            <w:pPr>
              <w:pStyle w:val="BlockText"/>
            </w:pPr>
          </w:p>
          <w:p w14:paraId="66454A19" w14:textId="77777777" w:rsidR="00B109F1" w:rsidRPr="00C01DE6" w:rsidRDefault="00D800F3" w:rsidP="00D800F3">
            <w:pPr>
              <w:pStyle w:val="BulletText1"/>
            </w:pPr>
            <w:r w:rsidRPr="00C01DE6">
              <w:t>the hearing official is not available to make the decision, and</w:t>
            </w:r>
          </w:p>
          <w:p w14:paraId="0B389453" w14:textId="77777777" w:rsidR="00D800F3" w:rsidRPr="00C01DE6" w:rsidRDefault="00D800F3" w:rsidP="00D800F3">
            <w:pPr>
              <w:pStyle w:val="BulletText1"/>
            </w:pPr>
            <w:r w:rsidRPr="00C01DE6">
              <w:t>he/she must elect one of the following options</w:t>
            </w:r>
            <w:r w:rsidR="002D1CC5" w:rsidRPr="00C01DE6">
              <w:t>:</w:t>
            </w:r>
          </w:p>
          <w:p w14:paraId="149EF591" w14:textId="77777777" w:rsidR="00B109F1" w:rsidRPr="00C01DE6" w:rsidRDefault="00D800F3" w:rsidP="00D800F3">
            <w:pPr>
              <w:pStyle w:val="BulletText2"/>
            </w:pPr>
            <w:r w:rsidRPr="00C01DE6">
              <w:t>appear at another h</w:t>
            </w:r>
            <w:r w:rsidR="00B109F1" w:rsidRPr="00C01DE6">
              <w:t>earing</w:t>
            </w:r>
            <w:r w:rsidR="00163B63" w:rsidRPr="00C01DE6">
              <w:t xml:space="preserve"> before a new hearing official</w:t>
            </w:r>
            <w:r w:rsidRPr="00C01DE6">
              <w:t>, or</w:t>
            </w:r>
          </w:p>
          <w:p w14:paraId="313F851B" w14:textId="77777777" w:rsidR="00B109F1" w:rsidRPr="00C01DE6" w:rsidRDefault="00D800F3" w:rsidP="00D800F3">
            <w:pPr>
              <w:pStyle w:val="BulletText2"/>
            </w:pPr>
            <w:proofErr w:type="gramStart"/>
            <w:r w:rsidRPr="00C01DE6">
              <w:t>p</w:t>
            </w:r>
            <w:r w:rsidR="00B109F1" w:rsidRPr="00C01DE6">
              <w:t>roceed</w:t>
            </w:r>
            <w:proofErr w:type="gramEnd"/>
            <w:r w:rsidRPr="00C01DE6">
              <w:t xml:space="preserve"> </w:t>
            </w:r>
            <w:r w:rsidR="00FD7E40" w:rsidRPr="00C01DE6">
              <w:t xml:space="preserve">without a new hearing; </w:t>
            </w:r>
            <w:r w:rsidRPr="00C01DE6">
              <w:t xml:space="preserve">the </w:t>
            </w:r>
            <w:r w:rsidR="00B109F1" w:rsidRPr="00C01DE6">
              <w:t xml:space="preserve">decision maker will review the </w:t>
            </w:r>
            <w:r w:rsidR="00FD7E40" w:rsidRPr="00C01DE6">
              <w:t xml:space="preserve">prior </w:t>
            </w:r>
            <w:r w:rsidR="00B109F1" w:rsidRPr="00C01DE6">
              <w:t>hearing transcript</w:t>
            </w:r>
            <w:r w:rsidR="00FD7E40" w:rsidRPr="00C01DE6">
              <w:t xml:space="preserve"> in rendering the decision.</w:t>
            </w:r>
          </w:p>
          <w:p w14:paraId="6CE236F2" w14:textId="77777777" w:rsidR="00B109F1" w:rsidRPr="00C01DE6" w:rsidRDefault="00B109F1" w:rsidP="00B109F1">
            <w:pPr>
              <w:pStyle w:val="BlockText"/>
            </w:pPr>
          </w:p>
          <w:p w14:paraId="3D62CF76" w14:textId="77777777" w:rsidR="00CB2E36" w:rsidRPr="00C01DE6" w:rsidRDefault="00B109F1" w:rsidP="00CB611E">
            <w:pPr>
              <w:pStyle w:val="BlockText"/>
            </w:pPr>
            <w:r w:rsidRPr="00C01DE6">
              <w:rPr>
                <w:b/>
                <w:i/>
              </w:rPr>
              <w:t>Note</w:t>
            </w:r>
            <w:r w:rsidR="00CB2E36" w:rsidRPr="00C01DE6">
              <w:rPr>
                <w:b/>
                <w:i/>
              </w:rPr>
              <w:t>s</w:t>
            </w:r>
            <w:r w:rsidRPr="00C01DE6">
              <w:t xml:space="preserve">: </w:t>
            </w:r>
          </w:p>
          <w:p w14:paraId="12BDAAC7" w14:textId="5FE28339" w:rsidR="00CB2E36" w:rsidRPr="00C01DE6" w:rsidRDefault="00CB2E36" w:rsidP="00163B63">
            <w:pPr>
              <w:pStyle w:val="BulletText1"/>
            </w:pPr>
            <w:r w:rsidRPr="00C01DE6">
              <w:t>Notification can be oral or in writing.  However</w:t>
            </w:r>
            <w:r w:rsidR="00E26B96" w:rsidRPr="00C01DE6">
              <w:t>,</w:t>
            </w:r>
            <w:r w:rsidRPr="00C01DE6">
              <w:t xml:space="preserve"> in the event of oral communication document the conversation with</w:t>
            </w:r>
            <w:r w:rsidR="00163B63" w:rsidRPr="00C01DE6">
              <w:t xml:space="preserve"> </w:t>
            </w:r>
            <w:r w:rsidR="00163B63" w:rsidRPr="00C01DE6">
              <w:rPr>
                <w:i/>
                <w:color w:val="auto"/>
              </w:rPr>
              <w:t>VA Form 27-0820, Report of General Information,</w:t>
            </w:r>
            <w:r w:rsidRPr="00C01DE6">
              <w:rPr>
                <w:color w:val="auto"/>
              </w:rPr>
              <w:t xml:space="preserve"> and send a copy to the</w:t>
            </w:r>
            <w:r w:rsidR="00163B63" w:rsidRPr="00C01DE6">
              <w:t xml:space="preserve"> representative if one exists.</w:t>
            </w:r>
          </w:p>
          <w:p w14:paraId="114D3DA8" w14:textId="77777777" w:rsidR="00CA3628" w:rsidRPr="00C01DE6" w:rsidRDefault="00E50151" w:rsidP="00163B63">
            <w:pPr>
              <w:pStyle w:val="BulletText1"/>
            </w:pPr>
            <w:r w:rsidRPr="00C01DE6">
              <w:t>Although in the second option the claimant/beneficiary loses the potential for personal interaction with the decision</w:t>
            </w:r>
            <w:r w:rsidR="00EE61FF" w:rsidRPr="00C01DE6">
              <w:t xml:space="preserve"> maker</w:t>
            </w:r>
            <w:r w:rsidRPr="00C01DE6">
              <w:t xml:space="preserve">, this is at his/her election, evidence is generally taken at face value and a witness should only be found lacking in credibility as provided in </w:t>
            </w:r>
            <w:r w:rsidR="00A96E63" w:rsidRPr="00C01DE6">
              <w:rPr>
                <w:color w:val="auto"/>
              </w:rPr>
              <w:t xml:space="preserve">M21-1, Part </w:t>
            </w:r>
            <w:r w:rsidR="002C23B9" w:rsidRPr="00C01DE6">
              <w:rPr>
                <w:color w:val="auto"/>
              </w:rPr>
              <w:t xml:space="preserve">III, Subpart </w:t>
            </w:r>
            <w:r w:rsidR="008A69BD" w:rsidRPr="00C01DE6">
              <w:rPr>
                <w:color w:val="auto"/>
              </w:rPr>
              <w:t>iv</w:t>
            </w:r>
            <w:r w:rsidR="002C23B9" w:rsidRPr="00C01DE6">
              <w:rPr>
                <w:color w:val="auto"/>
              </w:rPr>
              <w:t>,</w:t>
            </w:r>
            <w:r w:rsidR="007A2C15" w:rsidRPr="00C01DE6">
              <w:rPr>
                <w:color w:val="auto"/>
              </w:rPr>
              <w:t xml:space="preserve"> </w:t>
            </w:r>
            <w:r w:rsidR="002C23B9" w:rsidRPr="00C01DE6">
              <w:rPr>
                <w:color w:val="auto"/>
              </w:rPr>
              <w:t>5.</w:t>
            </w:r>
            <w:r w:rsidR="007A2C15" w:rsidRPr="00C01DE6">
              <w:rPr>
                <w:color w:val="auto"/>
              </w:rPr>
              <w:t>2.b</w:t>
            </w:r>
            <w:r w:rsidRPr="00C01DE6">
              <w:rPr>
                <w:color w:val="auto"/>
              </w:rPr>
              <w:t>.</w:t>
            </w:r>
            <w:r w:rsidRPr="00C01DE6">
              <w:t xml:space="preserve">  </w:t>
            </w:r>
          </w:p>
          <w:p w14:paraId="5B4313B2" w14:textId="77777777" w:rsidR="00CA3628" w:rsidRPr="00C01DE6" w:rsidRDefault="00CA3628" w:rsidP="00163B63">
            <w:pPr>
              <w:pStyle w:val="BulletText1"/>
            </w:pPr>
            <w:r w:rsidRPr="00C01DE6">
              <w:t xml:space="preserve">In the case where another decision maker is assigned and </w:t>
            </w:r>
            <w:r w:rsidR="00FD7E40" w:rsidRPr="00C01DE6">
              <w:t xml:space="preserve">makes a decision based on </w:t>
            </w:r>
            <w:r w:rsidRPr="00C01DE6">
              <w:t xml:space="preserve">the </w:t>
            </w:r>
            <w:r w:rsidR="00FD7E40" w:rsidRPr="00C01DE6">
              <w:t xml:space="preserve">hearing </w:t>
            </w:r>
            <w:r w:rsidRPr="00C01DE6">
              <w:t>transcript, that decision maker must</w:t>
            </w:r>
          </w:p>
          <w:p w14:paraId="37578050" w14:textId="77777777" w:rsidR="00CA3628" w:rsidRPr="00C01DE6" w:rsidRDefault="00CA3628" w:rsidP="00CA3628">
            <w:pPr>
              <w:pStyle w:val="BulletText2"/>
            </w:pPr>
            <w:r w:rsidRPr="00C01DE6">
              <w:t>have original determinative authority over the issues</w:t>
            </w:r>
            <w:r w:rsidR="00E16970" w:rsidRPr="00C01DE6">
              <w:t>,</w:t>
            </w:r>
            <w:r w:rsidRPr="00C01DE6">
              <w:t xml:space="preserve"> and </w:t>
            </w:r>
          </w:p>
          <w:p w14:paraId="32E23F13" w14:textId="77777777" w:rsidR="00B109F1" w:rsidRPr="00C01DE6" w:rsidRDefault="00CA3628" w:rsidP="004337BD">
            <w:pPr>
              <w:pStyle w:val="BulletText2"/>
            </w:pPr>
            <w:proofErr w:type="gramStart"/>
            <w:r w:rsidRPr="00C01DE6">
              <w:t>not</w:t>
            </w:r>
            <w:proofErr w:type="gramEnd"/>
            <w:r w:rsidRPr="00C01DE6">
              <w:t xml:space="preserve"> have participated in the prior decision (in connection with an appeal or proposed adverse action).</w:t>
            </w:r>
          </w:p>
        </w:tc>
      </w:tr>
    </w:tbl>
    <w:p w14:paraId="4194CA04" w14:textId="77777777" w:rsidR="00821C07" w:rsidRPr="00C01DE6" w:rsidRDefault="00821C07" w:rsidP="00FD7E40">
      <w:pPr>
        <w:pStyle w:val="BlockLine"/>
      </w:pPr>
    </w:p>
    <w:tbl>
      <w:tblPr>
        <w:tblW w:w="0" w:type="auto"/>
        <w:tblLayout w:type="fixed"/>
        <w:tblLook w:val="0000" w:firstRow="0" w:lastRow="0" w:firstColumn="0" w:lastColumn="0" w:noHBand="0" w:noVBand="0"/>
      </w:tblPr>
      <w:tblGrid>
        <w:gridCol w:w="1728"/>
        <w:gridCol w:w="7650"/>
      </w:tblGrid>
      <w:tr w:rsidR="00FD7E40" w:rsidRPr="00C01DE6" w14:paraId="135655D8" w14:textId="209E34FC" w:rsidTr="004337BD">
        <w:tc>
          <w:tcPr>
            <w:tcW w:w="1728" w:type="dxa"/>
            <w:shd w:val="clear" w:color="auto" w:fill="auto"/>
          </w:tcPr>
          <w:p w14:paraId="0416C5A3" w14:textId="77777777" w:rsidR="00FD7E40" w:rsidRPr="00C01DE6" w:rsidRDefault="00FD7E40" w:rsidP="00FD7E40">
            <w:pPr>
              <w:pStyle w:val="Heading5"/>
            </w:pPr>
            <w:proofErr w:type="gramStart"/>
            <w:r w:rsidRPr="00C01DE6">
              <w:t>k.  RO</w:t>
            </w:r>
            <w:proofErr w:type="gramEnd"/>
            <w:r w:rsidRPr="00C01DE6">
              <w:t xml:space="preserve"> Responsibility for Hearing Administration</w:t>
            </w:r>
          </w:p>
        </w:tc>
        <w:tc>
          <w:tcPr>
            <w:tcW w:w="7650" w:type="dxa"/>
            <w:shd w:val="clear" w:color="auto" w:fill="auto"/>
          </w:tcPr>
          <w:p w14:paraId="78A8AAF2" w14:textId="77777777" w:rsidR="00FD7E40" w:rsidRPr="00C01DE6" w:rsidRDefault="00FD7E40" w:rsidP="00FD7E40">
            <w:pPr>
              <w:pStyle w:val="BlockText"/>
            </w:pPr>
            <w:r w:rsidRPr="00C01DE6">
              <w:t>Each RO designates a person responsible for</w:t>
            </w:r>
          </w:p>
          <w:p w14:paraId="79B2F09C" w14:textId="77777777" w:rsidR="00FD7E40" w:rsidRPr="00C01DE6" w:rsidRDefault="00FD7E40" w:rsidP="00FD7E40">
            <w:pPr>
              <w:pStyle w:val="BlockText"/>
            </w:pPr>
          </w:p>
          <w:p w14:paraId="60C583AF" w14:textId="77777777" w:rsidR="00FD7E40" w:rsidRPr="00C01DE6" w:rsidRDefault="00FD7E40" w:rsidP="00FD7E40">
            <w:pPr>
              <w:pStyle w:val="BulletText1"/>
            </w:pPr>
            <w:r w:rsidRPr="00C01DE6">
              <w:t>scheduling hearings</w:t>
            </w:r>
          </w:p>
          <w:p w14:paraId="1459C9E3" w14:textId="77777777" w:rsidR="00FD7E40" w:rsidRPr="00C01DE6" w:rsidRDefault="00FD7E40" w:rsidP="00FD7E40">
            <w:pPr>
              <w:pStyle w:val="BulletText1"/>
            </w:pPr>
            <w:r w:rsidRPr="00C01DE6">
              <w:t>coordinating the hearing schedule</w:t>
            </w:r>
          </w:p>
          <w:p w14:paraId="53A2BFDD" w14:textId="77777777" w:rsidR="00FD7E40" w:rsidRPr="00C01DE6" w:rsidRDefault="00FD7E40" w:rsidP="00FD7E40">
            <w:pPr>
              <w:pStyle w:val="BulletText1"/>
            </w:pPr>
            <w:r w:rsidRPr="00C01DE6">
              <w:t>contacting the claimants and representatives, and</w:t>
            </w:r>
          </w:p>
          <w:p w14:paraId="25A7562E" w14:textId="77777777" w:rsidR="00FD7E40" w:rsidRPr="00C01DE6" w:rsidRDefault="00FD7E40" w:rsidP="008E62BE">
            <w:pPr>
              <w:numPr>
                <w:ilvl w:val="0"/>
                <w:numId w:val="5"/>
              </w:numPr>
              <w:ind w:left="158" w:hanging="187"/>
            </w:pPr>
            <w:proofErr w:type="gramStart"/>
            <w:r w:rsidRPr="00C01DE6">
              <w:t>maintaining</w:t>
            </w:r>
            <w:proofErr w:type="gramEnd"/>
            <w:r w:rsidRPr="00C01DE6">
              <w:t xml:space="preserve"> hearing records (including all scheduling records)</w:t>
            </w:r>
            <w:r w:rsidR="00E16970" w:rsidRPr="00C01DE6">
              <w:t>.</w:t>
            </w:r>
          </w:p>
          <w:p w14:paraId="1FA1F4D6" w14:textId="77777777" w:rsidR="008A69BD" w:rsidRPr="00C01DE6" w:rsidRDefault="008A69BD" w:rsidP="008A69BD"/>
          <w:p w14:paraId="1917CB1D" w14:textId="01D6B47D" w:rsidR="008A69BD" w:rsidRPr="00C01DE6" w:rsidRDefault="008A69BD" w:rsidP="00B73F02">
            <w:r w:rsidRPr="00C01DE6">
              <w:rPr>
                <w:b/>
                <w:i/>
              </w:rPr>
              <w:t>Reference</w:t>
            </w:r>
            <w:r w:rsidRPr="00C01DE6">
              <w:t>:  For information on the RO’s responsibil</w:t>
            </w:r>
            <w:r w:rsidR="009E39D2" w:rsidRPr="00C01DE6">
              <w:t>ities in organizing and manag</w:t>
            </w:r>
            <w:r w:rsidRPr="00C01DE6">
              <w:t>ing BVA Travel Board</w:t>
            </w:r>
            <w:r w:rsidR="00B73F02" w:rsidRPr="00C01DE6">
              <w:t xml:space="preserve"> and video </w:t>
            </w:r>
            <w:r w:rsidRPr="00C01DE6">
              <w:t>hearings, see M21-1, Part I, 5.H.</w:t>
            </w:r>
          </w:p>
        </w:tc>
      </w:tr>
    </w:tbl>
    <w:p w14:paraId="72280D77" w14:textId="77777777" w:rsidR="00FD7E40" w:rsidRPr="00C01DE6" w:rsidRDefault="00FD7E40" w:rsidP="00FD7E40">
      <w:pPr>
        <w:pStyle w:val="BlockLine"/>
      </w:pPr>
    </w:p>
    <w:tbl>
      <w:tblPr>
        <w:tblW w:w="0" w:type="auto"/>
        <w:tblLayout w:type="fixed"/>
        <w:tblLook w:val="0000" w:firstRow="0" w:lastRow="0" w:firstColumn="0" w:lastColumn="0" w:noHBand="0" w:noVBand="0"/>
      </w:tblPr>
      <w:tblGrid>
        <w:gridCol w:w="1728"/>
        <w:gridCol w:w="7740"/>
      </w:tblGrid>
      <w:tr w:rsidR="00821C07" w:rsidRPr="00C01DE6" w14:paraId="55B90B8F" w14:textId="77777777" w:rsidTr="00733B9F">
        <w:tc>
          <w:tcPr>
            <w:tcW w:w="1728" w:type="dxa"/>
          </w:tcPr>
          <w:p w14:paraId="059991CF" w14:textId="77777777" w:rsidR="00821C07" w:rsidRPr="00C01DE6" w:rsidRDefault="00375DA1">
            <w:pPr>
              <w:pStyle w:val="Heading5"/>
            </w:pPr>
            <w:proofErr w:type="gramStart"/>
            <w:r w:rsidRPr="00C01DE6">
              <w:t>l</w:t>
            </w:r>
            <w:r w:rsidR="00821C07" w:rsidRPr="00C01DE6">
              <w:t>.  Requesting</w:t>
            </w:r>
            <w:proofErr w:type="gramEnd"/>
            <w:r w:rsidR="00821C07" w:rsidRPr="00C01DE6">
              <w:t>, Canceling, or Rescheduling Hearings</w:t>
            </w:r>
          </w:p>
        </w:tc>
        <w:tc>
          <w:tcPr>
            <w:tcW w:w="7740" w:type="dxa"/>
          </w:tcPr>
          <w:p w14:paraId="6F7B642C" w14:textId="78EA8244" w:rsidR="00D03812" w:rsidRPr="00C01DE6" w:rsidRDefault="00821C07" w:rsidP="009923C3">
            <w:pPr>
              <w:pStyle w:val="BlockText"/>
            </w:pPr>
            <w:r w:rsidRPr="00C01DE6">
              <w:t xml:space="preserve">A claimant may request, cancel or reschedule a hearing in writing, by e-mail, by fax, by telephone, or in person.  If this is done </w:t>
            </w:r>
            <w:r w:rsidR="009923C3" w:rsidRPr="00C01DE6">
              <w:t>by telephone or in person, the</w:t>
            </w:r>
            <w:r w:rsidRPr="00C01DE6">
              <w:t xml:space="preserve"> employee receiving the request should promptly complete a </w:t>
            </w:r>
            <w:r w:rsidRPr="00C01DE6">
              <w:rPr>
                <w:i/>
              </w:rPr>
              <w:t xml:space="preserve">VA Form </w:t>
            </w:r>
            <w:r w:rsidR="00201513" w:rsidRPr="00C01DE6">
              <w:rPr>
                <w:i/>
              </w:rPr>
              <w:t>2</w:t>
            </w:r>
            <w:r w:rsidR="008B1D8E" w:rsidRPr="00C01DE6">
              <w:rPr>
                <w:i/>
              </w:rPr>
              <w:t>7</w:t>
            </w:r>
            <w:r w:rsidR="00201513" w:rsidRPr="00C01DE6">
              <w:rPr>
                <w:i/>
              </w:rPr>
              <w:t>-</w:t>
            </w:r>
            <w:r w:rsidR="00412A28" w:rsidRPr="00C01DE6">
              <w:rPr>
                <w:i/>
              </w:rPr>
              <w:t>0820</w:t>
            </w:r>
            <w:r w:rsidRPr="00C01DE6">
              <w:rPr>
                <w:i/>
              </w:rPr>
              <w:t xml:space="preserve"> </w:t>
            </w:r>
            <w:r w:rsidRPr="00C01DE6">
              <w:t>to document the request.</w:t>
            </w:r>
          </w:p>
          <w:p w14:paraId="6BBEF21B" w14:textId="77777777" w:rsidR="0062788A" w:rsidRPr="00C01DE6" w:rsidRDefault="0062788A" w:rsidP="009923C3">
            <w:pPr>
              <w:pStyle w:val="BlockText"/>
            </w:pPr>
          </w:p>
          <w:p w14:paraId="175AD4E5" w14:textId="2E09B1A9" w:rsidR="00D03812" w:rsidRPr="00C01DE6" w:rsidRDefault="00D03812" w:rsidP="009923C3">
            <w:pPr>
              <w:pStyle w:val="BlockText"/>
            </w:pPr>
            <w:r w:rsidRPr="00C01DE6">
              <w:t>The hearing officer or other decision</w:t>
            </w:r>
            <w:r w:rsidR="00EE61FF" w:rsidRPr="00C01DE6">
              <w:t xml:space="preserve"> maker</w:t>
            </w:r>
            <w:r w:rsidRPr="00C01DE6">
              <w:t>, a supervisor, or the VSCM may decide whether the stated reason for not reporting to a scheduled hearing constitutes good cause.  Indefinite delays should be avoided in the absence of good cause.</w:t>
            </w:r>
          </w:p>
          <w:p w14:paraId="12A61C00" w14:textId="77777777" w:rsidR="0062788A" w:rsidRPr="00C01DE6" w:rsidRDefault="0062788A" w:rsidP="009923C3">
            <w:pPr>
              <w:pStyle w:val="BlockText"/>
            </w:pPr>
          </w:p>
          <w:p w14:paraId="098CF86E" w14:textId="77777777" w:rsidR="00D30C6D" w:rsidRPr="00C01DE6" w:rsidRDefault="00B72B13" w:rsidP="00375DA1">
            <w:pPr>
              <w:pStyle w:val="BlockText"/>
            </w:pPr>
            <w:r w:rsidRPr="00C01DE6">
              <w:rPr>
                <w:b/>
                <w:i/>
              </w:rPr>
              <w:t>Reference</w:t>
            </w:r>
            <w:r w:rsidR="00733B9F" w:rsidRPr="00C01DE6">
              <w:rPr>
                <w:b/>
                <w:i/>
              </w:rPr>
              <w:t>s</w:t>
            </w:r>
            <w:r w:rsidRPr="00C01DE6">
              <w:t xml:space="preserve">: For more information on </w:t>
            </w:r>
          </w:p>
          <w:p w14:paraId="6E097925" w14:textId="7E7A9736" w:rsidR="002E7675" w:rsidRPr="00C01DE6" w:rsidRDefault="008803C7" w:rsidP="006D2BFE">
            <w:pPr>
              <w:pStyle w:val="BulletText1"/>
            </w:pPr>
            <w:r w:rsidRPr="00C01DE6">
              <w:t xml:space="preserve">EP </w:t>
            </w:r>
            <w:r w:rsidR="002E7675" w:rsidRPr="00C01DE6">
              <w:t xml:space="preserve">credit for </w:t>
            </w:r>
            <w:r w:rsidR="00B72B13" w:rsidRPr="00C01DE6">
              <w:t>hearing</w:t>
            </w:r>
            <w:r w:rsidR="002E7675" w:rsidRPr="00C01DE6">
              <w:t>s, including cancellation of a hearing</w:t>
            </w:r>
            <w:r w:rsidR="00B72B13" w:rsidRPr="00C01DE6">
              <w:t>, see</w:t>
            </w:r>
            <w:r w:rsidR="006D2BFE" w:rsidRPr="00C01DE6">
              <w:t xml:space="preserve"> </w:t>
            </w:r>
            <w:r w:rsidR="002E7675" w:rsidRPr="00C01DE6">
              <w:rPr>
                <w:color w:val="auto"/>
              </w:rPr>
              <w:t>M21-4, Appendix B</w:t>
            </w:r>
          </w:p>
          <w:p w14:paraId="660AD340" w14:textId="485FFE66" w:rsidR="00733B9F" w:rsidRPr="00C01DE6" w:rsidRDefault="00565D15" w:rsidP="00565D15">
            <w:pPr>
              <w:pStyle w:val="BulletText1"/>
            </w:pPr>
            <w:r w:rsidRPr="00C01DE6">
              <w:t xml:space="preserve">rescheduling </w:t>
            </w:r>
            <w:r w:rsidR="00D30C6D" w:rsidRPr="00C01DE6">
              <w:t xml:space="preserve">a hearing </w:t>
            </w:r>
            <w:r w:rsidRPr="00C01DE6">
              <w:t xml:space="preserve">that was terminated </w:t>
            </w:r>
            <w:r w:rsidR="00D30C6D" w:rsidRPr="00C01DE6">
              <w:t>for inappropriate behavior by a hearing attendee, see</w:t>
            </w:r>
            <w:r w:rsidR="00B72B13" w:rsidRPr="00C01DE6">
              <w:t xml:space="preserve"> </w:t>
            </w:r>
            <w:r w:rsidR="007330C8" w:rsidRPr="00C01DE6">
              <w:rPr>
                <w:color w:val="auto"/>
              </w:rPr>
              <w:t>M21-1, Part I, 4.2.e</w:t>
            </w:r>
            <w:r w:rsidR="00402FC8" w:rsidRPr="00C01DE6">
              <w:t>, or</w:t>
            </w:r>
            <w:r w:rsidR="00D31D05" w:rsidRPr="00C01DE6">
              <w:t xml:space="preserve"> </w:t>
            </w:r>
          </w:p>
          <w:p w14:paraId="747C50DB" w14:textId="77777777" w:rsidR="006D2BFE" w:rsidRPr="00C01DE6" w:rsidRDefault="00402FC8" w:rsidP="00565D15">
            <w:pPr>
              <w:pStyle w:val="BulletText1"/>
            </w:pPr>
            <w:r w:rsidRPr="00C01DE6">
              <w:t xml:space="preserve">good cause </w:t>
            </w:r>
            <w:r w:rsidR="00D31D05" w:rsidRPr="00C01DE6">
              <w:t xml:space="preserve">considerations </w:t>
            </w:r>
            <w:r w:rsidRPr="00C01DE6">
              <w:t xml:space="preserve">and final action following the result of a scheduled predetermination hearing, see </w:t>
            </w:r>
          </w:p>
          <w:p w14:paraId="51EF6EA4" w14:textId="77777777" w:rsidR="006D2BFE" w:rsidRPr="00C01DE6" w:rsidRDefault="00C01DE6" w:rsidP="006D2BFE">
            <w:pPr>
              <w:pStyle w:val="ListParagraph"/>
              <w:numPr>
                <w:ilvl w:val="0"/>
                <w:numId w:val="25"/>
              </w:numPr>
              <w:ind w:left="346" w:hanging="187"/>
              <w:rPr>
                <w:rStyle w:val="Hyperlink"/>
                <w:color w:val="auto"/>
                <w:u w:val="none"/>
              </w:rPr>
            </w:pPr>
            <w:hyperlink r:id="rId18" w:history="1">
              <w:r w:rsidR="007C7BF3" w:rsidRPr="00C01DE6">
                <w:rPr>
                  <w:rStyle w:val="Hyperlink"/>
                </w:rPr>
                <w:t xml:space="preserve">38 CFR </w:t>
              </w:r>
              <w:r w:rsidR="00402FC8" w:rsidRPr="00C01DE6">
                <w:rPr>
                  <w:rStyle w:val="Hyperlink"/>
                </w:rPr>
                <w:t>3.105(</w:t>
              </w:r>
              <w:proofErr w:type="spellStart"/>
              <w:r w:rsidR="00402FC8" w:rsidRPr="00C01DE6">
                <w:rPr>
                  <w:rStyle w:val="Hyperlink"/>
                </w:rPr>
                <w:t>i</w:t>
              </w:r>
              <w:proofErr w:type="spellEnd"/>
              <w:r w:rsidR="00402FC8" w:rsidRPr="00C01DE6">
                <w:rPr>
                  <w:rStyle w:val="Hyperlink"/>
                </w:rPr>
                <w:t>)(2)</w:t>
              </w:r>
            </w:hyperlink>
            <w:r w:rsidR="006D2BFE" w:rsidRPr="00C01DE6">
              <w:rPr>
                <w:rStyle w:val="Hyperlink"/>
                <w:color w:val="auto"/>
                <w:u w:val="none"/>
              </w:rPr>
              <w:t>, and</w:t>
            </w:r>
          </w:p>
          <w:p w14:paraId="48573C81" w14:textId="2754A2AA" w:rsidR="00402FC8" w:rsidRPr="00C01DE6" w:rsidRDefault="006D2BFE" w:rsidP="006D2BFE">
            <w:pPr>
              <w:pStyle w:val="ListParagraph"/>
              <w:numPr>
                <w:ilvl w:val="0"/>
                <w:numId w:val="25"/>
              </w:numPr>
              <w:ind w:left="346" w:hanging="187"/>
            </w:pPr>
            <w:r w:rsidRPr="00C01DE6">
              <w:rPr>
                <w:rStyle w:val="Hyperlink"/>
                <w:color w:val="auto"/>
                <w:u w:val="none"/>
              </w:rPr>
              <w:t>M21-1, Part I, 2.C.3.e and f</w:t>
            </w:r>
            <w:r w:rsidR="00402FC8" w:rsidRPr="00C01DE6">
              <w:rPr>
                <w:color w:val="auto"/>
              </w:rPr>
              <w:t>.</w:t>
            </w:r>
          </w:p>
        </w:tc>
      </w:tr>
    </w:tbl>
    <w:p w14:paraId="36FD5FF7" w14:textId="697462AA" w:rsidR="00F90C63" w:rsidRPr="00C01DE6" w:rsidRDefault="00F90C63" w:rsidP="00F90C63">
      <w:pPr>
        <w:tabs>
          <w:tab w:val="left" w:pos="9360"/>
        </w:tabs>
        <w:ind w:left="1714"/>
      </w:pPr>
      <w:r w:rsidRPr="00C01DE6">
        <w:rPr>
          <w:u w:val="single"/>
        </w:rPr>
        <w:lastRenderedPageBreak/>
        <w:tab/>
      </w:r>
    </w:p>
    <w:p w14:paraId="3157599A" w14:textId="77777777" w:rsidR="00FE5AD6" w:rsidRPr="00C01DE6" w:rsidRDefault="00FE5AD6" w:rsidP="00EF73E6"/>
    <w:tbl>
      <w:tblPr>
        <w:tblW w:w="0" w:type="auto"/>
        <w:tblLayout w:type="fixed"/>
        <w:tblLook w:val="0000" w:firstRow="0" w:lastRow="0" w:firstColumn="0" w:lastColumn="0" w:noHBand="0" w:noVBand="0"/>
      </w:tblPr>
      <w:tblGrid>
        <w:gridCol w:w="1728"/>
        <w:gridCol w:w="7740"/>
      </w:tblGrid>
      <w:tr w:rsidR="00821C07" w:rsidRPr="00C01DE6" w14:paraId="1E4425BE" w14:textId="77777777">
        <w:trPr>
          <w:cantSplit/>
        </w:trPr>
        <w:tc>
          <w:tcPr>
            <w:tcW w:w="1728" w:type="dxa"/>
          </w:tcPr>
          <w:p w14:paraId="7F153EBC" w14:textId="77777777" w:rsidR="00821C07" w:rsidRPr="00C01DE6" w:rsidRDefault="00375DA1" w:rsidP="00531A52">
            <w:pPr>
              <w:pStyle w:val="Heading5"/>
            </w:pPr>
            <w:proofErr w:type="gramStart"/>
            <w:r w:rsidRPr="00C01DE6">
              <w:t>m</w:t>
            </w:r>
            <w:r w:rsidR="00821C07" w:rsidRPr="00C01DE6">
              <w:t>.  Who</w:t>
            </w:r>
            <w:proofErr w:type="gramEnd"/>
            <w:r w:rsidR="00821C07" w:rsidRPr="00C01DE6">
              <w:t xml:space="preserve"> Conducts Hearings for Employee</w:t>
            </w:r>
            <w:r w:rsidR="00531A52" w:rsidRPr="00C01DE6">
              <w:t>-</w:t>
            </w:r>
            <w:r w:rsidR="00821C07" w:rsidRPr="00C01DE6">
              <w:t>Claimants</w:t>
            </w:r>
            <w:r w:rsidR="00531A52" w:rsidRPr="00C01DE6">
              <w:t xml:space="preserve"> and VSO-Claimants</w:t>
            </w:r>
          </w:p>
        </w:tc>
        <w:tc>
          <w:tcPr>
            <w:tcW w:w="7740" w:type="dxa"/>
          </w:tcPr>
          <w:p w14:paraId="6D14B1AC" w14:textId="222418C3" w:rsidR="00E75308" w:rsidRPr="00C01DE6" w:rsidRDefault="00821C07" w:rsidP="00E75308">
            <w:pPr>
              <w:pStyle w:val="BlockText"/>
            </w:pPr>
            <w:r w:rsidRPr="00C01DE6">
              <w:t xml:space="preserve">Use the table below to determine who conducts hearings for employee-claimants and </w:t>
            </w:r>
            <w:r w:rsidR="00994EE7" w:rsidRPr="00C01DE6">
              <w:t>Veterans Service Officer (</w:t>
            </w:r>
            <w:r w:rsidR="00531A52" w:rsidRPr="00C01DE6">
              <w:t>VSO</w:t>
            </w:r>
            <w:r w:rsidR="00994EE7" w:rsidRPr="00C01DE6">
              <w:t>)</w:t>
            </w:r>
            <w:r w:rsidRPr="00C01DE6">
              <w:t>-claimants.</w:t>
            </w:r>
            <w:r w:rsidR="00E75308" w:rsidRPr="00C01DE6">
              <w:t xml:space="preserve"> </w:t>
            </w:r>
          </w:p>
          <w:p w14:paraId="4DF10B98" w14:textId="77777777" w:rsidR="00444007" w:rsidRPr="00C01DE6" w:rsidRDefault="00444007" w:rsidP="00E75308">
            <w:pPr>
              <w:pStyle w:val="BlockText"/>
            </w:pPr>
          </w:p>
          <w:p w14:paraId="3356A6A7" w14:textId="77777777" w:rsidR="00821C07" w:rsidRPr="00C01DE6" w:rsidRDefault="00821C07" w:rsidP="00E75308">
            <w:pPr>
              <w:pStyle w:val="BlockText"/>
            </w:pPr>
          </w:p>
        </w:tc>
      </w:tr>
    </w:tbl>
    <w:p w14:paraId="3768B208" w14:textId="77777777" w:rsidR="00FE68A3" w:rsidRPr="00C01DE6" w:rsidRDefault="00FE68A3"/>
    <w:tbl>
      <w:tblPr>
        <w:tblW w:w="7740"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5760"/>
      </w:tblGrid>
      <w:tr w:rsidR="00531A52" w:rsidRPr="00C01DE6" w14:paraId="7E7226A8" w14:textId="77777777" w:rsidTr="00551831">
        <w:tc>
          <w:tcPr>
            <w:tcW w:w="1279" w:type="pct"/>
            <w:shd w:val="clear" w:color="auto" w:fill="auto"/>
          </w:tcPr>
          <w:p w14:paraId="4682A5BD" w14:textId="77777777" w:rsidR="00531A52" w:rsidRPr="00C01DE6" w:rsidRDefault="00531A52" w:rsidP="00551831">
            <w:pPr>
              <w:pStyle w:val="TableHeaderText"/>
              <w:jc w:val="left"/>
            </w:pPr>
            <w:r w:rsidRPr="00C01DE6">
              <w:t>If the hearing is requested by ...</w:t>
            </w:r>
          </w:p>
        </w:tc>
        <w:tc>
          <w:tcPr>
            <w:tcW w:w="3721" w:type="pct"/>
            <w:shd w:val="clear" w:color="auto" w:fill="auto"/>
          </w:tcPr>
          <w:p w14:paraId="1D1D0C6B" w14:textId="08267CAC" w:rsidR="00531A52" w:rsidRPr="00C01DE6" w:rsidRDefault="009923C3" w:rsidP="00A000E1">
            <w:pPr>
              <w:pStyle w:val="TableHeaderText"/>
              <w:jc w:val="left"/>
            </w:pPr>
            <w:r w:rsidRPr="00C01DE6">
              <w:t xml:space="preserve">Then </w:t>
            </w:r>
            <w:proofErr w:type="gramStart"/>
            <w:r w:rsidRPr="00C01DE6">
              <w:t>a</w:t>
            </w:r>
            <w:r w:rsidR="00A000E1" w:rsidRPr="00C01DE6">
              <w:t>n</w:t>
            </w:r>
            <w:proofErr w:type="gramEnd"/>
            <w:r w:rsidR="00531A52" w:rsidRPr="00C01DE6">
              <w:t>...</w:t>
            </w:r>
          </w:p>
        </w:tc>
      </w:tr>
      <w:tr w:rsidR="00531A52" w:rsidRPr="00C01DE6" w14:paraId="25B85F33" w14:textId="77777777" w:rsidTr="00551831">
        <w:tc>
          <w:tcPr>
            <w:tcW w:w="1279" w:type="pct"/>
            <w:shd w:val="clear" w:color="auto" w:fill="auto"/>
          </w:tcPr>
          <w:p w14:paraId="7C41E74D" w14:textId="77777777" w:rsidR="00531A52" w:rsidRPr="00C01DE6" w:rsidRDefault="00551831" w:rsidP="00531A52">
            <w:pPr>
              <w:pStyle w:val="TableText"/>
            </w:pPr>
            <w:r w:rsidRPr="00C01DE6">
              <w:t xml:space="preserve">an </w:t>
            </w:r>
            <w:r w:rsidR="00531A52" w:rsidRPr="00C01DE6">
              <w:t>RO employee-claimant</w:t>
            </w:r>
          </w:p>
        </w:tc>
        <w:tc>
          <w:tcPr>
            <w:tcW w:w="3721" w:type="pct"/>
            <w:shd w:val="clear" w:color="auto" w:fill="auto"/>
          </w:tcPr>
          <w:p w14:paraId="075360F3" w14:textId="43525A2F" w:rsidR="00531A52" w:rsidRPr="00C01DE6" w:rsidRDefault="00531A52" w:rsidP="00531A52">
            <w:pPr>
              <w:pStyle w:val="TableText"/>
            </w:pPr>
            <w:r w:rsidRPr="00C01DE6">
              <w:t xml:space="preserve">employee at the </w:t>
            </w:r>
            <w:r w:rsidR="00227846" w:rsidRPr="00C01DE6">
              <w:t xml:space="preserve">station </w:t>
            </w:r>
            <w:r w:rsidR="00BB10F0" w:rsidRPr="00C01DE6">
              <w:t xml:space="preserve">of </w:t>
            </w:r>
            <w:r w:rsidRPr="00C01DE6">
              <w:t xml:space="preserve">jurisdiction </w:t>
            </w:r>
            <w:r w:rsidR="0027015B" w:rsidRPr="00C01DE6">
              <w:t>(</w:t>
            </w:r>
            <w:r w:rsidR="00227846" w:rsidRPr="00C01DE6">
              <w:t>S</w:t>
            </w:r>
            <w:r w:rsidR="0027015B" w:rsidRPr="00C01DE6">
              <w:t xml:space="preserve">OJ) </w:t>
            </w:r>
            <w:r w:rsidRPr="00C01DE6">
              <w:t>over claims from the employee-claimant’s home station</w:t>
            </w:r>
            <w:r w:rsidR="00551831" w:rsidRPr="00C01DE6">
              <w:t>, or the Restricted</w:t>
            </w:r>
            <w:r w:rsidR="00227846" w:rsidRPr="00C01DE6">
              <w:t>-</w:t>
            </w:r>
            <w:r w:rsidR="00551831" w:rsidRPr="00C01DE6">
              <w:t>Access</w:t>
            </w:r>
            <w:r w:rsidR="00227846" w:rsidRPr="00C01DE6">
              <w:t xml:space="preserve"> Claims Center (RACC)</w:t>
            </w:r>
          </w:p>
          <w:p w14:paraId="377C2199" w14:textId="77777777" w:rsidR="00A1415A" w:rsidRPr="00C01DE6" w:rsidRDefault="00A1415A" w:rsidP="00531A52">
            <w:pPr>
              <w:pStyle w:val="TableText"/>
            </w:pPr>
          </w:p>
          <w:p w14:paraId="24BAF404" w14:textId="77777777" w:rsidR="00531A52" w:rsidRPr="00C01DE6" w:rsidRDefault="00531A52" w:rsidP="00531A52">
            <w:pPr>
              <w:pStyle w:val="BulletText1"/>
            </w:pPr>
            <w:r w:rsidRPr="00C01DE6">
              <w:t>conducts the hearing, and</w:t>
            </w:r>
          </w:p>
          <w:p w14:paraId="332FF799" w14:textId="77777777" w:rsidR="00531A52" w:rsidRPr="00C01DE6" w:rsidRDefault="00531A52" w:rsidP="00531A52">
            <w:pPr>
              <w:pStyle w:val="BulletText1"/>
            </w:pPr>
            <w:proofErr w:type="gramStart"/>
            <w:r w:rsidRPr="00C01DE6">
              <w:t>makes</w:t>
            </w:r>
            <w:proofErr w:type="gramEnd"/>
            <w:r w:rsidRPr="00C01DE6">
              <w:t xml:space="preserve"> the decision.</w:t>
            </w:r>
          </w:p>
          <w:p w14:paraId="523A809F" w14:textId="77777777" w:rsidR="00531A52" w:rsidRPr="00C01DE6" w:rsidRDefault="00531A52" w:rsidP="00531A52">
            <w:pPr>
              <w:pStyle w:val="BulletText1"/>
              <w:numPr>
                <w:ilvl w:val="0"/>
                <w:numId w:val="0"/>
              </w:numPr>
              <w:ind w:left="173" w:hanging="173"/>
            </w:pPr>
          </w:p>
          <w:p w14:paraId="29653E03" w14:textId="77777777" w:rsidR="00531A52" w:rsidRPr="00C01DE6" w:rsidRDefault="00531A52" w:rsidP="00531A52">
            <w:pPr>
              <w:pStyle w:val="TableText"/>
            </w:pPr>
            <w:r w:rsidRPr="00C01DE6">
              <w:rPr>
                <w:b/>
                <w:i/>
              </w:rPr>
              <w:t>Notes</w:t>
            </w:r>
            <w:r w:rsidRPr="00C01DE6">
              <w:t xml:space="preserve">: </w:t>
            </w:r>
          </w:p>
          <w:p w14:paraId="2C08C24C" w14:textId="41C63D26" w:rsidR="00531A52" w:rsidRPr="00C01DE6" w:rsidRDefault="00531A52" w:rsidP="00531A52">
            <w:pPr>
              <w:pStyle w:val="BulletText1"/>
            </w:pPr>
            <w:r w:rsidRPr="00C01DE6">
              <w:t xml:space="preserve">The hearing </w:t>
            </w:r>
            <w:r w:rsidR="003C6D1D" w:rsidRPr="00C01DE6">
              <w:t xml:space="preserve">at </w:t>
            </w:r>
            <w:r w:rsidR="00673937" w:rsidRPr="00C01DE6">
              <w:t>the</w:t>
            </w:r>
            <w:r w:rsidR="003C6D1D" w:rsidRPr="00C01DE6">
              <w:t xml:space="preserve"> </w:t>
            </w:r>
            <w:r w:rsidR="00AC74F3" w:rsidRPr="00C01DE6">
              <w:t>S</w:t>
            </w:r>
            <w:r w:rsidR="00DB4C9C" w:rsidRPr="00C01DE6">
              <w:t>OJ</w:t>
            </w:r>
            <w:r w:rsidR="003C6D1D" w:rsidRPr="00C01DE6">
              <w:t xml:space="preserve"> </w:t>
            </w:r>
            <w:r w:rsidR="00AC74F3" w:rsidRPr="00C01DE6">
              <w:t xml:space="preserve">or RACC </w:t>
            </w:r>
            <w:r w:rsidR="003C6D1D" w:rsidRPr="00C01DE6">
              <w:t xml:space="preserve">will be </w:t>
            </w:r>
            <w:r w:rsidRPr="00C01DE6">
              <w:t>conducted</w:t>
            </w:r>
            <w:r w:rsidR="003454C7" w:rsidRPr="00C01DE6">
              <w:t xml:space="preserve"> by videoc</w:t>
            </w:r>
            <w:r w:rsidRPr="00C01DE6">
              <w:t xml:space="preserve">onference </w:t>
            </w:r>
            <w:r w:rsidR="003C6D1D" w:rsidRPr="00C01DE6">
              <w:t>unless</w:t>
            </w:r>
            <w:r w:rsidRPr="00C01DE6">
              <w:t xml:space="preserve"> the employee-claimant </w:t>
            </w:r>
            <w:r w:rsidR="003C6D1D" w:rsidRPr="00C01DE6">
              <w:t>wishes to</w:t>
            </w:r>
            <w:r w:rsidRPr="00C01DE6">
              <w:t xml:space="preserve"> travel to the </w:t>
            </w:r>
            <w:r w:rsidR="00AC74F3" w:rsidRPr="00C01DE6">
              <w:t>S</w:t>
            </w:r>
            <w:r w:rsidRPr="00C01DE6">
              <w:t>O</w:t>
            </w:r>
            <w:r w:rsidR="00DB4C9C" w:rsidRPr="00C01DE6">
              <w:t>J</w:t>
            </w:r>
            <w:r w:rsidRPr="00C01DE6">
              <w:t xml:space="preserve"> </w:t>
            </w:r>
            <w:r w:rsidR="00141025" w:rsidRPr="00C01DE6">
              <w:t xml:space="preserve">or RACC </w:t>
            </w:r>
            <w:r w:rsidR="002F0252" w:rsidRPr="00C01DE6">
              <w:t xml:space="preserve">for a personal hearing </w:t>
            </w:r>
            <w:r w:rsidRPr="00C01DE6">
              <w:t xml:space="preserve">at his/her own expense.  </w:t>
            </w:r>
          </w:p>
          <w:p w14:paraId="6712A2D7" w14:textId="31F230FA" w:rsidR="003C6D1D" w:rsidRPr="00C01DE6" w:rsidRDefault="00531A52" w:rsidP="00531A52">
            <w:pPr>
              <w:pStyle w:val="BulletText1"/>
            </w:pPr>
            <w:r w:rsidRPr="00C01DE6">
              <w:t>The</w:t>
            </w:r>
            <w:r w:rsidR="003C6D1D" w:rsidRPr="00C01DE6">
              <w:t xml:space="preserve"> </w:t>
            </w:r>
            <w:r w:rsidRPr="00C01DE6">
              <w:t xml:space="preserve">employee-claimant may </w:t>
            </w:r>
            <w:r w:rsidR="003C6D1D" w:rsidRPr="00C01DE6">
              <w:t>elect to have an in-person hearing conducted by a</w:t>
            </w:r>
            <w:r w:rsidR="00A000E1" w:rsidRPr="00C01DE6">
              <w:t>n</w:t>
            </w:r>
            <w:r w:rsidR="003C6D1D" w:rsidRPr="00C01DE6">
              <w:t xml:space="preserve"> </w:t>
            </w:r>
            <w:r w:rsidR="00A000E1" w:rsidRPr="00C01DE6">
              <w:t xml:space="preserve">RO </w:t>
            </w:r>
            <w:r w:rsidR="00673937" w:rsidRPr="00C01DE6">
              <w:t>employee at the employee-cl</w:t>
            </w:r>
            <w:r w:rsidR="003C6D1D" w:rsidRPr="00C01DE6">
              <w:t>a</w:t>
            </w:r>
            <w:r w:rsidR="00673937" w:rsidRPr="00C01DE6">
              <w:t>i</w:t>
            </w:r>
            <w:r w:rsidR="003C6D1D" w:rsidRPr="00C01DE6">
              <w:t>mant’s home station</w:t>
            </w:r>
            <w:r w:rsidR="00DB4C9C" w:rsidRPr="00C01DE6">
              <w:t xml:space="preserve"> </w:t>
            </w:r>
            <w:r w:rsidR="00444007" w:rsidRPr="00C01DE6">
              <w:t xml:space="preserve">(the employing RO) </w:t>
            </w:r>
            <w:r w:rsidR="003C6D1D" w:rsidRPr="00C01DE6">
              <w:t>in lieu of a vi</w:t>
            </w:r>
            <w:r w:rsidR="00DB4C9C" w:rsidRPr="00C01DE6">
              <w:t xml:space="preserve">deo hearing or travel to the </w:t>
            </w:r>
            <w:r w:rsidR="00AC74F3" w:rsidRPr="00C01DE6">
              <w:t>S</w:t>
            </w:r>
            <w:r w:rsidR="00DB4C9C" w:rsidRPr="00C01DE6">
              <w:t>OJ</w:t>
            </w:r>
            <w:r w:rsidR="00AC74F3" w:rsidRPr="00C01DE6">
              <w:t xml:space="preserve"> or RACC</w:t>
            </w:r>
            <w:r w:rsidR="003C6D1D" w:rsidRPr="00C01DE6">
              <w:t xml:space="preserve">.  However  </w:t>
            </w:r>
          </w:p>
          <w:p w14:paraId="50FE0C03" w14:textId="77777777" w:rsidR="00261F1D" w:rsidRPr="00C01DE6" w:rsidRDefault="00261F1D" w:rsidP="00531A52">
            <w:pPr>
              <w:pStyle w:val="BulletText2"/>
            </w:pPr>
            <w:r w:rsidRPr="00C01DE6">
              <w:rPr>
                <w:b/>
                <w:i/>
              </w:rPr>
              <w:t>A home station employee may not make a decision on a claim of a</w:t>
            </w:r>
            <w:r w:rsidR="00AC74F3" w:rsidRPr="00C01DE6">
              <w:rPr>
                <w:b/>
                <w:i/>
              </w:rPr>
              <w:t>n</w:t>
            </w:r>
            <w:r w:rsidRPr="00C01DE6">
              <w:rPr>
                <w:b/>
                <w:i/>
              </w:rPr>
              <w:t xml:space="preserve"> RO employee-claimant</w:t>
            </w:r>
            <w:r w:rsidRPr="00C01DE6">
              <w:t xml:space="preserve">.  </w:t>
            </w:r>
          </w:p>
          <w:p w14:paraId="3D1FBD3C" w14:textId="77777777" w:rsidR="00531A52" w:rsidRPr="00C01DE6" w:rsidRDefault="003C6D1D" w:rsidP="00531A52">
            <w:pPr>
              <w:pStyle w:val="BulletText2"/>
            </w:pPr>
            <w:r w:rsidRPr="00C01DE6">
              <w:t>T</w:t>
            </w:r>
            <w:r w:rsidR="00531A52" w:rsidRPr="00C01DE6">
              <w:t>he</w:t>
            </w:r>
            <w:r w:rsidRPr="00C01DE6">
              <w:t xml:space="preserve"> employee-claimant must be informed </w:t>
            </w:r>
            <w:r w:rsidR="00673937" w:rsidRPr="00C01DE6">
              <w:t>(and agree</w:t>
            </w:r>
            <w:r w:rsidR="00261F1D" w:rsidRPr="00C01DE6">
              <w:t xml:space="preserve"> in writing</w:t>
            </w:r>
            <w:r w:rsidR="00673937" w:rsidRPr="00C01DE6">
              <w:t xml:space="preserve">) </w:t>
            </w:r>
            <w:r w:rsidRPr="00C01DE6">
              <w:t>that by this election he/</w:t>
            </w:r>
            <w:r w:rsidR="001B2D80" w:rsidRPr="00C01DE6">
              <w:t xml:space="preserve">she waives the right to </w:t>
            </w:r>
            <w:r w:rsidR="00261F1D" w:rsidRPr="00C01DE6">
              <w:t xml:space="preserve">a </w:t>
            </w:r>
            <w:r w:rsidRPr="00C01DE6">
              <w:t xml:space="preserve">decision made by the hearing official.  </w:t>
            </w:r>
            <w:r w:rsidR="00261F1D" w:rsidRPr="00C01DE6">
              <w:t xml:space="preserve">Retain this waiver in the </w:t>
            </w:r>
            <w:r w:rsidR="00CD1A9F" w:rsidRPr="00C01DE6">
              <w:t>claims folder</w:t>
            </w:r>
            <w:r w:rsidR="00261F1D" w:rsidRPr="00C01DE6">
              <w:t xml:space="preserve">. </w:t>
            </w:r>
          </w:p>
          <w:p w14:paraId="05AB8117" w14:textId="77777777" w:rsidR="00531A52" w:rsidRPr="00C01DE6" w:rsidRDefault="00531A52" w:rsidP="00531A52">
            <w:pPr>
              <w:pStyle w:val="BulletText2"/>
            </w:pPr>
            <w:r w:rsidRPr="00C01DE6">
              <w:t xml:space="preserve">The hearing official </w:t>
            </w:r>
            <w:r w:rsidR="003C6D1D" w:rsidRPr="00C01DE6">
              <w:t xml:space="preserve">at the home station </w:t>
            </w:r>
            <w:r w:rsidRPr="00C01DE6">
              <w:t xml:space="preserve">will send a transcript and any </w:t>
            </w:r>
            <w:r w:rsidR="00261F1D" w:rsidRPr="00C01DE6">
              <w:t xml:space="preserve">other evidence obtained </w:t>
            </w:r>
            <w:r w:rsidRPr="00C01DE6">
              <w:t xml:space="preserve">to the </w:t>
            </w:r>
            <w:r w:rsidR="00AC74F3" w:rsidRPr="00C01DE6">
              <w:t>S</w:t>
            </w:r>
            <w:r w:rsidRPr="00C01DE6">
              <w:t>O</w:t>
            </w:r>
            <w:r w:rsidR="00DB4C9C" w:rsidRPr="00C01DE6">
              <w:t>J</w:t>
            </w:r>
            <w:r w:rsidR="00AC74F3" w:rsidRPr="00C01DE6">
              <w:t xml:space="preserve"> or RACC</w:t>
            </w:r>
            <w:r w:rsidR="003C6D1D" w:rsidRPr="00C01DE6">
              <w:t xml:space="preserve">. </w:t>
            </w:r>
          </w:p>
          <w:p w14:paraId="1F83FE1D" w14:textId="4627849F" w:rsidR="00531A52" w:rsidRPr="00C01DE6" w:rsidRDefault="00A000E1" w:rsidP="00A000E1">
            <w:pPr>
              <w:pStyle w:val="BulletText2"/>
            </w:pPr>
            <w:r w:rsidRPr="00C01DE6">
              <w:t>An</w:t>
            </w:r>
            <w:r w:rsidR="00531A52" w:rsidRPr="00C01DE6">
              <w:t xml:space="preserve"> employee of the </w:t>
            </w:r>
            <w:r w:rsidR="00AC74F3" w:rsidRPr="00C01DE6">
              <w:t>S</w:t>
            </w:r>
            <w:r w:rsidR="00531A52" w:rsidRPr="00C01DE6">
              <w:t>O</w:t>
            </w:r>
            <w:r w:rsidR="00DB4C9C" w:rsidRPr="00C01DE6">
              <w:t>J</w:t>
            </w:r>
            <w:r w:rsidR="00531A52" w:rsidRPr="00C01DE6">
              <w:t xml:space="preserve"> </w:t>
            </w:r>
            <w:r w:rsidR="00AC74F3" w:rsidRPr="00C01DE6">
              <w:t xml:space="preserve">or RACC </w:t>
            </w:r>
            <w:r w:rsidR="00531A52" w:rsidRPr="00C01DE6">
              <w:t xml:space="preserve">will make the decision based on the transcript and other evidence of </w:t>
            </w:r>
            <w:r w:rsidR="00531A52" w:rsidRPr="00C01DE6">
              <w:lastRenderedPageBreak/>
              <w:t>record.</w:t>
            </w:r>
          </w:p>
        </w:tc>
      </w:tr>
      <w:tr w:rsidR="00531A52" w:rsidRPr="00C01DE6" w14:paraId="33D5E3E8" w14:textId="77777777" w:rsidTr="00551831">
        <w:tc>
          <w:tcPr>
            <w:tcW w:w="1279" w:type="pct"/>
            <w:shd w:val="clear" w:color="auto" w:fill="auto"/>
          </w:tcPr>
          <w:p w14:paraId="2D28F800" w14:textId="77777777" w:rsidR="00531A52" w:rsidRPr="00C01DE6" w:rsidRDefault="00531A52" w:rsidP="00531A52">
            <w:pPr>
              <w:pStyle w:val="TableText"/>
            </w:pPr>
            <w:r w:rsidRPr="00C01DE6">
              <w:lastRenderedPageBreak/>
              <w:t>VSO-claimant</w:t>
            </w:r>
          </w:p>
        </w:tc>
        <w:tc>
          <w:tcPr>
            <w:tcW w:w="3721" w:type="pct"/>
            <w:shd w:val="clear" w:color="auto" w:fill="auto"/>
          </w:tcPr>
          <w:p w14:paraId="17BEF4FD" w14:textId="7517A93E" w:rsidR="00531A52" w:rsidRPr="00C01DE6" w:rsidRDefault="00531A52" w:rsidP="00531A52">
            <w:pPr>
              <w:pStyle w:val="BulletText1"/>
              <w:numPr>
                <w:ilvl w:val="0"/>
                <w:numId w:val="0"/>
              </w:numPr>
            </w:pPr>
            <w:r w:rsidRPr="00C01DE6">
              <w:t xml:space="preserve">employee at the </w:t>
            </w:r>
            <w:r w:rsidR="00AC74F3" w:rsidRPr="00C01DE6">
              <w:t>S</w:t>
            </w:r>
            <w:r w:rsidR="00DB4C9C" w:rsidRPr="00C01DE6">
              <w:t>OJ</w:t>
            </w:r>
            <w:r w:rsidR="00AC74F3" w:rsidRPr="00C01DE6">
              <w:t xml:space="preserve"> or RACC</w:t>
            </w:r>
          </w:p>
          <w:p w14:paraId="7898DBA2" w14:textId="77777777" w:rsidR="002F0252" w:rsidRPr="00C01DE6" w:rsidRDefault="002F0252" w:rsidP="00531A52">
            <w:pPr>
              <w:pStyle w:val="BulletText1"/>
              <w:numPr>
                <w:ilvl w:val="0"/>
                <w:numId w:val="0"/>
              </w:numPr>
            </w:pPr>
          </w:p>
          <w:p w14:paraId="13C95159" w14:textId="77777777" w:rsidR="00531A52" w:rsidRPr="00C01DE6" w:rsidRDefault="00531A52" w:rsidP="00531A52">
            <w:pPr>
              <w:pStyle w:val="BulletText1"/>
            </w:pPr>
            <w:r w:rsidRPr="00C01DE6">
              <w:t>conducts the hearing, and</w:t>
            </w:r>
          </w:p>
          <w:p w14:paraId="2D428917" w14:textId="77777777" w:rsidR="00531A52" w:rsidRPr="00C01DE6" w:rsidRDefault="00531A52" w:rsidP="00531A52">
            <w:pPr>
              <w:pStyle w:val="BulletText1"/>
            </w:pPr>
            <w:proofErr w:type="gramStart"/>
            <w:r w:rsidRPr="00C01DE6">
              <w:t>makes</w:t>
            </w:r>
            <w:proofErr w:type="gramEnd"/>
            <w:r w:rsidRPr="00C01DE6">
              <w:t xml:space="preserve"> the decision.</w:t>
            </w:r>
          </w:p>
          <w:p w14:paraId="6C921550" w14:textId="77777777" w:rsidR="00531A52" w:rsidRPr="00C01DE6" w:rsidRDefault="00531A52" w:rsidP="00531A52">
            <w:pPr>
              <w:pStyle w:val="BulletText1"/>
              <w:numPr>
                <w:ilvl w:val="0"/>
                <w:numId w:val="0"/>
              </w:numPr>
            </w:pPr>
          </w:p>
          <w:p w14:paraId="3B4895B9" w14:textId="77777777" w:rsidR="00673937" w:rsidRPr="00C01DE6" w:rsidRDefault="00673937" w:rsidP="00673937">
            <w:pPr>
              <w:pStyle w:val="TableText"/>
            </w:pPr>
            <w:r w:rsidRPr="00C01DE6">
              <w:rPr>
                <w:b/>
                <w:i/>
              </w:rPr>
              <w:t>Notes</w:t>
            </w:r>
            <w:r w:rsidRPr="00C01DE6">
              <w:t xml:space="preserve">: </w:t>
            </w:r>
          </w:p>
          <w:p w14:paraId="6AA4B731" w14:textId="77777777" w:rsidR="00673937" w:rsidRPr="00C01DE6" w:rsidRDefault="00673937" w:rsidP="00673937">
            <w:pPr>
              <w:pStyle w:val="BulletText1"/>
            </w:pPr>
            <w:r w:rsidRPr="00C01DE6">
              <w:t xml:space="preserve">The hearing </w:t>
            </w:r>
            <w:r w:rsidR="00DB4C9C" w:rsidRPr="00C01DE6">
              <w:t xml:space="preserve">at the </w:t>
            </w:r>
            <w:r w:rsidR="00AC74F3" w:rsidRPr="00C01DE6">
              <w:t>S</w:t>
            </w:r>
            <w:r w:rsidR="00DB4C9C" w:rsidRPr="00C01DE6">
              <w:t>OJ</w:t>
            </w:r>
            <w:r w:rsidRPr="00C01DE6">
              <w:t xml:space="preserve"> </w:t>
            </w:r>
            <w:r w:rsidR="00AC74F3" w:rsidRPr="00C01DE6">
              <w:t xml:space="preserve">or RACC </w:t>
            </w:r>
            <w:r w:rsidRPr="00C01DE6">
              <w:t>will be conducted</w:t>
            </w:r>
            <w:r w:rsidR="003454C7" w:rsidRPr="00C01DE6">
              <w:t xml:space="preserve"> by video</w:t>
            </w:r>
            <w:r w:rsidRPr="00C01DE6">
              <w:t xml:space="preserve">conference unless the VSO-claimant wishes to travel to the </w:t>
            </w:r>
            <w:r w:rsidR="00AC74F3" w:rsidRPr="00C01DE6">
              <w:t>S</w:t>
            </w:r>
            <w:r w:rsidRPr="00C01DE6">
              <w:t>O</w:t>
            </w:r>
            <w:r w:rsidR="00DB4C9C" w:rsidRPr="00C01DE6">
              <w:t>J</w:t>
            </w:r>
            <w:r w:rsidRPr="00C01DE6">
              <w:t xml:space="preserve"> </w:t>
            </w:r>
            <w:r w:rsidR="00AC74F3" w:rsidRPr="00C01DE6">
              <w:t xml:space="preserve">or RACC </w:t>
            </w:r>
            <w:r w:rsidRPr="00C01DE6">
              <w:t xml:space="preserve">for a personal hearing at his/her own expense.  </w:t>
            </w:r>
          </w:p>
          <w:p w14:paraId="4C14BC99" w14:textId="3BA551A3" w:rsidR="00673937" w:rsidRPr="00C01DE6" w:rsidRDefault="00673937" w:rsidP="00673937">
            <w:pPr>
              <w:pStyle w:val="BulletText1"/>
            </w:pPr>
            <w:r w:rsidRPr="00C01DE6">
              <w:t>The VSO-claimant may elect to have an in-person hearing conducted by a</w:t>
            </w:r>
            <w:r w:rsidR="00A000E1" w:rsidRPr="00C01DE6">
              <w:t>n</w:t>
            </w:r>
            <w:r w:rsidRPr="00C01DE6">
              <w:t xml:space="preserve"> employee at the </w:t>
            </w:r>
            <w:r w:rsidR="00DB4C9C" w:rsidRPr="00C01DE6">
              <w:t>VSO</w:t>
            </w:r>
            <w:r w:rsidRPr="00C01DE6">
              <w:t xml:space="preserve">-claimant’s home station in lieu of a video hearing or travel to the </w:t>
            </w:r>
            <w:r w:rsidR="00AC74F3" w:rsidRPr="00C01DE6">
              <w:t>S</w:t>
            </w:r>
            <w:r w:rsidRPr="00C01DE6">
              <w:t>O</w:t>
            </w:r>
            <w:r w:rsidR="00DB4C9C" w:rsidRPr="00C01DE6">
              <w:t>J</w:t>
            </w:r>
            <w:r w:rsidR="00AC74F3" w:rsidRPr="00C01DE6">
              <w:t xml:space="preserve"> or RACC</w:t>
            </w:r>
            <w:r w:rsidR="00261F1D" w:rsidRPr="00C01DE6">
              <w:t>.  However</w:t>
            </w:r>
            <w:r w:rsidRPr="00C01DE6">
              <w:t xml:space="preserve">  </w:t>
            </w:r>
          </w:p>
          <w:p w14:paraId="529425B4" w14:textId="77777777" w:rsidR="00261F1D" w:rsidRPr="00C01DE6" w:rsidRDefault="00261F1D" w:rsidP="00673937">
            <w:pPr>
              <w:pStyle w:val="BulletText2"/>
            </w:pPr>
            <w:r w:rsidRPr="00C01DE6">
              <w:rPr>
                <w:b/>
                <w:i/>
              </w:rPr>
              <w:t>A home station employee may not make a decision on a claim of a VSO who represents claimants/beneficiaries before that RO</w:t>
            </w:r>
            <w:r w:rsidRPr="00C01DE6">
              <w:t>.</w:t>
            </w:r>
          </w:p>
          <w:p w14:paraId="1877485A" w14:textId="77777777" w:rsidR="00673937" w:rsidRPr="00C01DE6" w:rsidRDefault="00673937" w:rsidP="00673937">
            <w:pPr>
              <w:pStyle w:val="BulletText2"/>
            </w:pPr>
            <w:r w:rsidRPr="00C01DE6">
              <w:t>The VSO-claimant must be informed (and agree</w:t>
            </w:r>
            <w:r w:rsidR="00232F3D" w:rsidRPr="00C01DE6">
              <w:t xml:space="preserve"> in writing</w:t>
            </w:r>
            <w:r w:rsidRPr="00C01DE6">
              <w:t xml:space="preserve">) </w:t>
            </w:r>
            <w:r w:rsidR="00232F3D" w:rsidRPr="00C01DE6">
              <w:t xml:space="preserve">that by this election he/she waives the right to a decision made by the hearing official.  Retain this waiver in the </w:t>
            </w:r>
            <w:r w:rsidR="00CD1A9F" w:rsidRPr="00C01DE6">
              <w:t>claims folder</w:t>
            </w:r>
            <w:r w:rsidR="00232F3D" w:rsidRPr="00C01DE6">
              <w:t>.</w:t>
            </w:r>
          </w:p>
          <w:p w14:paraId="331F75FE" w14:textId="77777777" w:rsidR="00673937" w:rsidRPr="00C01DE6" w:rsidRDefault="00673937" w:rsidP="00673937">
            <w:pPr>
              <w:pStyle w:val="BulletText2"/>
            </w:pPr>
            <w:r w:rsidRPr="00C01DE6">
              <w:t xml:space="preserve">The hearing official at the home station will send a transcript and any evidence to the </w:t>
            </w:r>
            <w:r w:rsidR="00AC74F3" w:rsidRPr="00C01DE6">
              <w:t>S</w:t>
            </w:r>
            <w:r w:rsidRPr="00C01DE6">
              <w:t>O</w:t>
            </w:r>
            <w:r w:rsidR="00DB4C9C" w:rsidRPr="00C01DE6">
              <w:t>J</w:t>
            </w:r>
            <w:r w:rsidR="00AC74F3" w:rsidRPr="00C01DE6">
              <w:t xml:space="preserve"> or RACC</w:t>
            </w:r>
            <w:r w:rsidRPr="00C01DE6">
              <w:t xml:space="preserve">. </w:t>
            </w:r>
          </w:p>
          <w:p w14:paraId="58FE6E2F" w14:textId="5039A84A" w:rsidR="00531A52" w:rsidRPr="00C01DE6" w:rsidRDefault="00673937" w:rsidP="00A000E1">
            <w:pPr>
              <w:pStyle w:val="BulletText2"/>
            </w:pPr>
            <w:proofErr w:type="gramStart"/>
            <w:r w:rsidRPr="00C01DE6">
              <w:t>a</w:t>
            </w:r>
            <w:r w:rsidR="00A000E1" w:rsidRPr="00C01DE6">
              <w:t>n</w:t>
            </w:r>
            <w:proofErr w:type="gramEnd"/>
            <w:r w:rsidRPr="00C01DE6">
              <w:t xml:space="preserve"> employee of the </w:t>
            </w:r>
            <w:r w:rsidR="00AC74F3" w:rsidRPr="00C01DE6">
              <w:t>S</w:t>
            </w:r>
            <w:r w:rsidRPr="00C01DE6">
              <w:t>O</w:t>
            </w:r>
            <w:r w:rsidR="00DB4C9C" w:rsidRPr="00C01DE6">
              <w:t>J</w:t>
            </w:r>
            <w:r w:rsidRPr="00C01DE6">
              <w:t xml:space="preserve"> </w:t>
            </w:r>
            <w:r w:rsidR="00AC74F3" w:rsidRPr="00C01DE6">
              <w:t xml:space="preserve">or RACC </w:t>
            </w:r>
            <w:r w:rsidRPr="00C01DE6">
              <w:t>will make the decision based on the transcript and other evidence of record.</w:t>
            </w:r>
          </w:p>
        </w:tc>
      </w:tr>
    </w:tbl>
    <w:p w14:paraId="2F950529" w14:textId="77777777" w:rsidR="00821C07" w:rsidRPr="00C01DE6" w:rsidRDefault="00821C07"/>
    <w:tbl>
      <w:tblPr>
        <w:tblW w:w="0" w:type="auto"/>
        <w:tblInd w:w="1728" w:type="dxa"/>
        <w:tblLayout w:type="fixed"/>
        <w:tblLook w:val="0000" w:firstRow="0" w:lastRow="0" w:firstColumn="0" w:lastColumn="0" w:noHBand="0" w:noVBand="0"/>
      </w:tblPr>
      <w:tblGrid>
        <w:gridCol w:w="7740"/>
      </w:tblGrid>
      <w:tr w:rsidR="00821C07" w:rsidRPr="00C01DE6" w14:paraId="0C16EB6B" w14:textId="77777777">
        <w:trPr>
          <w:cantSplit/>
        </w:trPr>
        <w:tc>
          <w:tcPr>
            <w:tcW w:w="7740" w:type="dxa"/>
          </w:tcPr>
          <w:p w14:paraId="02F3D37C" w14:textId="4EFA0310" w:rsidR="00DB4C9C" w:rsidRPr="00C01DE6" w:rsidRDefault="00DB4C9C">
            <w:pPr>
              <w:pStyle w:val="NoteText"/>
            </w:pPr>
            <w:r w:rsidRPr="00C01DE6">
              <w:rPr>
                <w:b/>
                <w:i/>
              </w:rPr>
              <w:t>Note</w:t>
            </w:r>
            <w:r w:rsidRPr="00C01DE6">
              <w:t>:  VSOs who represent claimants before a</w:t>
            </w:r>
            <w:r w:rsidR="00A000E1" w:rsidRPr="00C01DE6">
              <w:t>n RO</w:t>
            </w:r>
            <w:r w:rsidRPr="00C01DE6">
              <w:t xml:space="preserve"> fall under the same claim handling jurisdictional policies that apply to employee-claimants.  </w:t>
            </w:r>
          </w:p>
          <w:p w14:paraId="5F04EA80" w14:textId="77777777" w:rsidR="00DB4C9C" w:rsidRPr="00C01DE6" w:rsidRDefault="00DB4C9C">
            <w:pPr>
              <w:pStyle w:val="NoteText"/>
            </w:pPr>
          </w:p>
          <w:p w14:paraId="5AA52204" w14:textId="77777777" w:rsidR="00821C07" w:rsidRPr="00C01DE6" w:rsidRDefault="00821C07" w:rsidP="00AC74F3">
            <w:pPr>
              <w:pStyle w:val="NoteText"/>
            </w:pPr>
            <w:r w:rsidRPr="00C01DE6">
              <w:rPr>
                <w:b/>
                <w:i/>
              </w:rPr>
              <w:t>Reference</w:t>
            </w:r>
            <w:r w:rsidRPr="00C01DE6">
              <w:t xml:space="preserve">:  For more information on jurisdiction and transfer, see </w:t>
            </w:r>
            <w:r w:rsidR="008F53BD" w:rsidRPr="00C01DE6">
              <w:rPr>
                <w:color w:val="auto"/>
              </w:rPr>
              <w:t>M21-1, Part III, Subpart ii, 5</w:t>
            </w:r>
            <w:r w:rsidRPr="00C01DE6">
              <w:rPr>
                <w:color w:val="auto"/>
              </w:rPr>
              <w:t>.</w:t>
            </w:r>
          </w:p>
        </w:tc>
      </w:tr>
    </w:tbl>
    <w:p w14:paraId="665213ED"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17061658" w14:textId="77777777" w:rsidTr="00733B9F">
        <w:tc>
          <w:tcPr>
            <w:tcW w:w="1728" w:type="dxa"/>
          </w:tcPr>
          <w:p w14:paraId="75D363CE" w14:textId="77777777" w:rsidR="00821C07" w:rsidRPr="00C01DE6" w:rsidRDefault="00375DA1">
            <w:pPr>
              <w:pStyle w:val="Heading5"/>
            </w:pPr>
            <w:proofErr w:type="gramStart"/>
            <w:r w:rsidRPr="00C01DE6">
              <w:t>n</w:t>
            </w:r>
            <w:r w:rsidR="00821C07" w:rsidRPr="00C01DE6">
              <w:t>.  Where</w:t>
            </w:r>
            <w:proofErr w:type="gramEnd"/>
            <w:r w:rsidR="00821C07" w:rsidRPr="00C01DE6">
              <w:t xml:space="preserve"> to Hold a Hearing</w:t>
            </w:r>
          </w:p>
        </w:tc>
        <w:tc>
          <w:tcPr>
            <w:tcW w:w="7740" w:type="dxa"/>
          </w:tcPr>
          <w:p w14:paraId="49A8C794" w14:textId="77777777" w:rsidR="00566B5F" w:rsidRPr="00C01DE6" w:rsidRDefault="00821C07" w:rsidP="00566B5F">
            <w:pPr>
              <w:pStyle w:val="BlockText"/>
            </w:pPr>
            <w:r w:rsidRPr="00C01DE6">
              <w:t>Hold hearings at the</w:t>
            </w:r>
            <w:r w:rsidR="00566B5F" w:rsidRPr="00C01DE6">
              <w:t xml:space="preserve"> </w:t>
            </w:r>
            <w:r w:rsidR="00AC74F3" w:rsidRPr="00C01DE6">
              <w:t>S</w:t>
            </w:r>
            <w:r w:rsidRPr="00C01DE6">
              <w:t>O</w:t>
            </w:r>
            <w:r w:rsidR="00DB4C9C" w:rsidRPr="00C01DE6">
              <w:t>J</w:t>
            </w:r>
            <w:r w:rsidR="00566B5F" w:rsidRPr="00C01DE6">
              <w:t>.</w:t>
            </w:r>
          </w:p>
          <w:p w14:paraId="6AFD4843" w14:textId="77777777" w:rsidR="00566B5F" w:rsidRPr="00C01DE6" w:rsidRDefault="00566B5F" w:rsidP="00566B5F">
            <w:pPr>
              <w:pStyle w:val="BlockText"/>
            </w:pPr>
          </w:p>
          <w:p w14:paraId="11CA27D5" w14:textId="77777777" w:rsidR="00566B5F" w:rsidRPr="00C01DE6" w:rsidRDefault="00566B5F" w:rsidP="00566B5F">
            <w:pPr>
              <w:pStyle w:val="BlockText"/>
            </w:pPr>
            <w:r w:rsidRPr="00C01DE6">
              <w:rPr>
                <w:b/>
                <w:i/>
              </w:rPr>
              <w:t>Exceptions</w:t>
            </w:r>
            <w:r w:rsidRPr="00C01DE6">
              <w:t xml:space="preserve">: </w:t>
            </w:r>
          </w:p>
          <w:p w14:paraId="1366C2AA" w14:textId="77777777" w:rsidR="00821C07" w:rsidRPr="00C01DE6" w:rsidRDefault="00566B5F" w:rsidP="00566B5F">
            <w:pPr>
              <w:pStyle w:val="BulletText1"/>
            </w:pPr>
            <w:r w:rsidRPr="00C01DE6">
              <w:t>In the case of employee-claimants and VSO-claimants</w:t>
            </w:r>
            <w:r w:rsidR="00FD7E40" w:rsidRPr="00C01DE6">
              <w:t>,</w:t>
            </w:r>
            <w:r w:rsidRPr="00C01DE6">
              <w:t xml:space="preserve"> hold hearings as provided in </w:t>
            </w:r>
            <w:r w:rsidR="008F53BD" w:rsidRPr="00C01DE6">
              <w:t>M21-1, Part I, 4.1.m</w:t>
            </w:r>
            <w:r w:rsidRPr="00C01DE6">
              <w:t>.</w:t>
            </w:r>
          </w:p>
          <w:p w14:paraId="6846B4A5" w14:textId="6D24B83D" w:rsidR="00202C9C" w:rsidRPr="00C01DE6" w:rsidRDefault="00566B5F" w:rsidP="00566B5F">
            <w:pPr>
              <w:pStyle w:val="BulletText1"/>
            </w:pPr>
            <w:r w:rsidRPr="00C01DE6">
              <w:t xml:space="preserve">A hearing may be held at </w:t>
            </w:r>
            <w:r w:rsidR="005E7432" w:rsidRPr="00C01DE6">
              <w:t xml:space="preserve">another </w:t>
            </w:r>
            <w:r w:rsidR="00821C07" w:rsidRPr="00C01DE6">
              <w:t xml:space="preserve">RO </w:t>
            </w:r>
            <w:r w:rsidR="00202C9C" w:rsidRPr="00C01DE6">
              <w:t xml:space="preserve">that is </w:t>
            </w:r>
            <w:r w:rsidR="00821C07" w:rsidRPr="00C01DE6">
              <w:t>neare</w:t>
            </w:r>
            <w:r w:rsidR="00202C9C" w:rsidRPr="00C01DE6">
              <w:t>r</w:t>
            </w:r>
            <w:r w:rsidR="00821C07" w:rsidRPr="00C01DE6">
              <w:t xml:space="preserve"> to the claimant’s residence</w:t>
            </w:r>
            <w:r w:rsidR="00202C9C" w:rsidRPr="00C01DE6">
              <w:t xml:space="preserve"> with the following qualifications</w:t>
            </w:r>
            <w:r w:rsidR="002F0252" w:rsidRPr="00C01DE6">
              <w:t>:</w:t>
            </w:r>
            <w:r w:rsidRPr="00C01DE6">
              <w:t xml:space="preserve">  </w:t>
            </w:r>
          </w:p>
          <w:p w14:paraId="7B8D0351" w14:textId="77777777" w:rsidR="005E7432" w:rsidRPr="00C01DE6" w:rsidRDefault="00566B5F" w:rsidP="00202C9C">
            <w:pPr>
              <w:pStyle w:val="BulletText2"/>
            </w:pPr>
            <w:r w:rsidRPr="00C01DE6">
              <w:rPr>
                <w:i/>
              </w:rPr>
              <w:t xml:space="preserve">This hearing </w:t>
            </w:r>
            <w:r w:rsidR="005E7432" w:rsidRPr="00C01DE6">
              <w:rPr>
                <w:i/>
              </w:rPr>
              <w:t xml:space="preserve">should be </w:t>
            </w:r>
            <w:r w:rsidR="00202C9C" w:rsidRPr="00C01DE6">
              <w:rPr>
                <w:i/>
              </w:rPr>
              <w:t xml:space="preserve">before a hearing official at the </w:t>
            </w:r>
            <w:r w:rsidR="00AC74F3" w:rsidRPr="00C01DE6">
              <w:rPr>
                <w:i/>
              </w:rPr>
              <w:t>S</w:t>
            </w:r>
            <w:r w:rsidR="00202C9C" w:rsidRPr="00C01DE6">
              <w:rPr>
                <w:i/>
              </w:rPr>
              <w:t xml:space="preserve">OJ via </w:t>
            </w:r>
            <w:r w:rsidR="005E7432" w:rsidRPr="00C01DE6">
              <w:rPr>
                <w:i/>
              </w:rPr>
              <w:t>video</w:t>
            </w:r>
            <w:r w:rsidR="00AD3CBE" w:rsidRPr="00C01DE6">
              <w:rPr>
                <w:i/>
              </w:rPr>
              <w:t xml:space="preserve"> </w:t>
            </w:r>
            <w:r w:rsidR="005E7432" w:rsidRPr="00C01DE6">
              <w:rPr>
                <w:i/>
              </w:rPr>
              <w:t>conference whenever possible</w:t>
            </w:r>
            <w:r w:rsidRPr="00C01DE6">
              <w:t xml:space="preserve">.  </w:t>
            </w:r>
          </w:p>
          <w:p w14:paraId="6BC53169" w14:textId="68545108" w:rsidR="00821C07" w:rsidRPr="00C01DE6" w:rsidRDefault="00566B5F" w:rsidP="005E7432">
            <w:pPr>
              <w:pStyle w:val="BulletText2"/>
            </w:pPr>
            <w:r w:rsidRPr="00C01DE6">
              <w:t xml:space="preserve">In </w:t>
            </w:r>
            <w:r w:rsidR="005E7432" w:rsidRPr="00C01DE6">
              <w:t>the event that a video</w:t>
            </w:r>
            <w:r w:rsidR="00AD3CBE" w:rsidRPr="00C01DE6">
              <w:t xml:space="preserve"> </w:t>
            </w:r>
            <w:r w:rsidR="005E7432" w:rsidRPr="00C01DE6">
              <w:t>conference hearing is not available</w:t>
            </w:r>
            <w:r w:rsidR="00202C9C" w:rsidRPr="00C01DE6">
              <w:t>,</w:t>
            </w:r>
            <w:r w:rsidR="005E7432" w:rsidRPr="00C01DE6">
              <w:t xml:space="preserve"> the hearing may </w:t>
            </w:r>
            <w:r w:rsidR="00202C9C" w:rsidRPr="00C01DE6">
              <w:t xml:space="preserve">be conducted by a hearing official at the </w:t>
            </w:r>
            <w:r w:rsidR="005E7432" w:rsidRPr="00C01DE6">
              <w:t>RO neare</w:t>
            </w:r>
            <w:r w:rsidR="00202C9C" w:rsidRPr="00C01DE6">
              <w:t>r</w:t>
            </w:r>
            <w:r w:rsidR="005E7432" w:rsidRPr="00C01DE6">
              <w:t xml:space="preserve"> to the claimant’</w:t>
            </w:r>
            <w:r w:rsidR="00202C9C" w:rsidRPr="00C01DE6">
              <w:t xml:space="preserve">s residence.  However in such cases </w:t>
            </w:r>
          </w:p>
          <w:p w14:paraId="07057412" w14:textId="77777777" w:rsidR="00202C9C" w:rsidRPr="00C01DE6" w:rsidRDefault="00202C9C" w:rsidP="00202C9C">
            <w:pPr>
              <w:pStyle w:val="BulletText3"/>
            </w:pPr>
            <w:r w:rsidRPr="00C01DE6">
              <w:rPr>
                <w:i/>
              </w:rPr>
              <w:t xml:space="preserve">The claim remains under the jurisdiction of the </w:t>
            </w:r>
            <w:r w:rsidR="00AC74F3" w:rsidRPr="00C01DE6">
              <w:rPr>
                <w:i/>
              </w:rPr>
              <w:t>S</w:t>
            </w:r>
            <w:r w:rsidRPr="00C01DE6">
              <w:rPr>
                <w:i/>
              </w:rPr>
              <w:t xml:space="preserve">OJ and the decision </w:t>
            </w:r>
            <w:r w:rsidRPr="00C01DE6">
              <w:rPr>
                <w:i/>
              </w:rPr>
              <w:lastRenderedPageBreak/>
              <w:t xml:space="preserve">must be made by the </w:t>
            </w:r>
            <w:r w:rsidR="00AC74F3" w:rsidRPr="00C01DE6">
              <w:rPr>
                <w:i/>
              </w:rPr>
              <w:t>S</w:t>
            </w:r>
            <w:r w:rsidRPr="00C01DE6">
              <w:rPr>
                <w:i/>
              </w:rPr>
              <w:t>OJ</w:t>
            </w:r>
            <w:r w:rsidRPr="00C01DE6">
              <w:t xml:space="preserve">.  </w:t>
            </w:r>
          </w:p>
          <w:p w14:paraId="774291CE" w14:textId="77777777" w:rsidR="00566B5F" w:rsidRPr="00C01DE6" w:rsidRDefault="00566B5F" w:rsidP="00232F3D">
            <w:pPr>
              <w:pStyle w:val="BulletText3"/>
            </w:pPr>
            <w:r w:rsidRPr="00C01DE6">
              <w:t>The claimant must be informed (and agree</w:t>
            </w:r>
            <w:r w:rsidR="00232F3D" w:rsidRPr="00C01DE6">
              <w:t xml:space="preserve"> in writing</w:t>
            </w:r>
            <w:r w:rsidRPr="00C01DE6">
              <w:t xml:space="preserve">) that he/she waives the right to have the decision made by the hearing official. </w:t>
            </w:r>
            <w:r w:rsidR="0027015B" w:rsidRPr="00C01DE6">
              <w:t xml:space="preserve"> </w:t>
            </w:r>
            <w:r w:rsidR="00232F3D" w:rsidRPr="00C01DE6">
              <w:t xml:space="preserve">Retain this waiver in the </w:t>
            </w:r>
            <w:r w:rsidR="00CD1A9F" w:rsidRPr="00C01DE6">
              <w:t>claims folder</w:t>
            </w:r>
            <w:r w:rsidR="00232F3D" w:rsidRPr="00C01DE6">
              <w:t>.</w:t>
            </w:r>
            <w:r w:rsidRPr="00C01DE6">
              <w:t xml:space="preserve"> </w:t>
            </w:r>
          </w:p>
          <w:p w14:paraId="4FE07FAD" w14:textId="77777777" w:rsidR="00566B5F" w:rsidRPr="00C01DE6" w:rsidRDefault="00202C9C" w:rsidP="00202C9C">
            <w:pPr>
              <w:pStyle w:val="BulletText3"/>
            </w:pPr>
            <w:r w:rsidRPr="00C01DE6">
              <w:t xml:space="preserve">The hearing official </w:t>
            </w:r>
            <w:r w:rsidR="00566B5F" w:rsidRPr="00C01DE6">
              <w:t>will sen</w:t>
            </w:r>
            <w:r w:rsidRPr="00C01DE6">
              <w:t>d a transcript of the proceedings and any other evidence</w:t>
            </w:r>
            <w:r w:rsidR="00232F3D" w:rsidRPr="00C01DE6">
              <w:t xml:space="preserve"> obtained </w:t>
            </w:r>
            <w:r w:rsidR="00566B5F" w:rsidRPr="00C01DE6">
              <w:t xml:space="preserve">to the </w:t>
            </w:r>
            <w:r w:rsidR="009B1065" w:rsidRPr="00C01DE6">
              <w:t>S</w:t>
            </w:r>
            <w:r w:rsidR="00566B5F" w:rsidRPr="00C01DE6">
              <w:t xml:space="preserve">OJ. </w:t>
            </w:r>
          </w:p>
          <w:p w14:paraId="728EE2A4" w14:textId="05B5800B" w:rsidR="00566B5F" w:rsidRPr="00C01DE6" w:rsidRDefault="00AD3CBE" w:rsidP="00202C9C">
            <w:pPr>
              <w:pStyle w:val="BulletText3"/>
            </w:pPr>
            <w:r w:rsidRPr="00C01DE6">
              <w:t>A</w:t>
            </w:r>
            <w:r w:rsidR="00A000E1" w:rsidRPr="00C01DE6">
              <w:t>n</w:t>
            </w:r>
            <w:r w:rsidRPr="00C01DE6">
              <w:t xml:space="preserve"> </w:t>
            </w:r>
            <w:r w:rsidR="00566B5F" w:rsidRPr="00C01DE6">
              <w:t xml:space="preserve">employee of the </w:t>
            </w:r>
            <w:r w:rsidR="009B1065" w:rsidRPr="00C01DE6">
              <w:t>S</w:t>
            </w:r>
            <w:r w:rsidR="00566B5F" w:rsidRPr="00C01DE6">
              <w:t>OJ will make the decision based on the transcript and other evidence of record.</w:t>
            </w:r>
          </w:p>
          <w:p w14:paraId="6E99A2C3" w14:textId="1EFDDB33" w:rsidR="00187D7A" w:rsidRPr="00C01DE6" w:rsidRDefault="00566B5F" w:rsidP="00A000E1">
            <w:pPr>
              <w:pStyle w:val="BulletText1"/>
            </w:pPr>
            <w:r w:rsidRPr="00C01DE6">
              <w:t>Subject to available resources, and at the option of VA, a formal hearing may be held at any other VA facility or Federal building where suitable hearing facilities are available.  This hearing will be conducted by a</w:t>
            </w:r>
            <w:r w:rsidR="00A000E1" w:rsidRPr="00C01DE6">
              <w:t>n</w:t>
            </w:r>
            <w:r w:rsidRPr="00C01DE6">
              <w:t xml:space="preserve"> employee of the </w:t>
            </w:r>
            <w:r w:rsidR="009B1065" w:rsidRPr="00C01DE6">
              <w:t>S</w:t>
            </w:r>
            <w:r w:rsidRPr="00C01DE6">
              <w:t xml:space="preserve">OJ.  </w:t>
            </w:r>
          </w:p>
        </w:tc>
      </w:tr>
    </w:tbl>
    <w:p w14:paraId="5F93D90D" w14:textId="77777777" w:rsidR="00821C07" w:rsidRPr="00C01DE6" w:rsidRDefault="00821C07" w:rsidP="00232F3D">
      <w:pPr>
        <w:pStyle w:val="BlockLine"/>
      </w:pPr>
    </w:p>
    <w:tbl>
      <w:tblPr>
        <w:tblW w:w="0" w:type="auto"/>
        <w:tblLayout w:type="fixed"/>
        <w:tblLook w:val="0000" w:firstRow="0" w:lastRow="0" w:firstColumn="0" w:lastColumn="0" w:noHBand="0" w:noVBand="0"/>
      </w:tblPr>
      <w:tblGrid>
        <w:gridCol w:w="1728"/>
        <w:gridCol w:w="7740"/>
      </w:tblGrid>
      <w:tr w:rsidR="00542808" w:rsidRPr="00C01DE6" w14:paraId="598D83F7" w14:textId="77777777" w:rsidTr="00542808">
        <w:tc>
          <w:tcPr>
            <w:tcW w:w="1728" w:type="dxa"/>
            <w:shd w:val="clear" w:color="auto" w:fill="auto"/>
          </w:tcPr>
          <w:p w14:paraId="45FAB292" w14:textId="77777777" w:rsidR="00542808" w:rsidRPr="00C01DE6" w:rsidRDefault="00375DA1" w:rsidP="00542808">
            <w:pPr>
              <w:pStyle w:val="Heading5"/>
            </w:pPr>
            <w:proofErr w:type="gramStart"/>
            <w:r w:rsidRPr="00C01DE6">
              <w:t>o</w:t>
            </w:r>
            <w:r w:rsidR="00542808" w:rsidRPr="00C01DE6">
              <w:t xml:space="preserve">. </w:t>
            </w:r>
            <w:r w:rsidR="00B72B13" w:rsidRPr="00C01DE6">
              <w:t xml:space="preserve"> </w:t>
            </w:r>
            <w:r w:rsidR="00542808" w:rsidRPr="00C01DE6">
              <w:t>Hearing</w:t>
            </w:r>
            <w:proofErr w:type="gramEnd"/>
            <w:r w:rsidR="00542808" w:rsidRPr="00C01DE6">
              <w:t xml:space="preserve"> Facility Requirements</w:t>
            </w:r>
          </w:p>
        </w:tc>
        <w:tc>
          <w:tcPr>
            <w:tcW w:w="7740" w:type="dxa"/>
            <w:shd w:val="clear" w:color="auto" w:fill="auto"/>
          </w:tcPr>
          <w:p w14:paraId="3DA165A1" w14:textId="0BCEE5A8" w:rsidR="00542808" w:rsidRPr="00C01DE6" w:rsidRDefault="00542808" w:rsidP="00542808">
            <w:pPr>
              <w:pStyle w:val="BlockText"/>
            </w:pPr>
            <w:r w:rsidRPr="00C01DE6">
              <w:t xml:space="preserve">If </w:t>
            </w:r>
            <w:r w:rsidR="00A000E1" w:rsidRPr="00C01DE6">
              <w:t xml:space="preserve">RO </w:t>
            </w:r>
            <w:r w:rsidRPr="00C01DE6">
              <w:t>facilities allow</w:t>
            </w:r>
            <w:r w:rsidR="00B72B13" w:rsidRPr="00C01DE6">
              <w:t>,</w:t>
            </w:r>
            <w:r w:rsidRPr="00C01DE6">
              <w:t xml:space="preserve"> designate a permanent hearing room.  The following requirements apply to hearing facilities:</w:t>
            </w:r>
          </w:p>
          <w:p w14:paraId="73C49C1D" w14:textId="77777777" w:rsidR="00542808" w:rsidRPr="00C01DE6" w:rsidRDefault="00542808" w:rsidP="00542808">
            <w:pPr>
              <w:pStyle w:val="BulletText1"/>
              <w:numPr>
                <w:ilvl w:val="0"/>
                <w:numId w:val="0"/>
              </w:numPr>
            </w:pPr>
          </w:p>
          <w:p w14:paraId="58A60170" w14:textId="799F37A0" w:rsidR="00542808" w:rsidRPr="00C01DE6" w:rsidRDefault="00542808" w:rsidP="00542808">
            <w:pPr>
              <w:pStyle w:val="BulletText1"/>
            </w:pPr>
            <w:r w:rsidRPr="00C01DE6">
              <w:t xml:space="preserve">Do </w:t>
            </w:r>
            <w:r w:rsidRPr="00C01DE6">
              <w:rPr>
                <w:i/>
              </w:rPr>
              <w:t>not</w:t>
            </w:r>
            <w:r w:rsidRPr="00C01DE6">
              <w:t xml:space="preserve"> conduct hearings in </w:t>
            </w:r>
            <w:r w:rsidR="003C1A08" w:rsidRPr="00C01DE6">
              <w:t xml:space="preserve">a </w:t>
            </w:r>
            <w:r w:rsidRPr="00C01DE6">
              <w:t>work area</w:t>
            </w:r>
            <w:r w:rsidR="009B1065" w:rsidRPr="00C01DE6">
              <w:t>,</w:t>
            </w:r>
            <w:r w:rsidR="00B72B13" w:rsidRPr="00C01DE6">
              <w:t xml:space="preserve"> or </w:t>
            </w:r>
            <w:r w:rsidR="009B1065" w:rsidRPr="00C01DE6">
              <w:t>any location where the</w:t>
            </w:r>
            <w:r w:rsidR="00B72B13" w:rsidRPr="00C01DE6">
              <w:t xml:space="preserve"> witnesses must pass through </w:t>
            </w:r>
            <w:proofErr w:type="gramStart"/>
            <w:r w:rsidRPr="00C01DE6">
              <w:t xml:space="preserve">the </w:t>
            </w:r>
            <w:r w:rsidR="003C1A08" w:rsidRPr="00C01DE6">
              <w:t>a</w:t>
            </w:r>
            <w:proofErr w:type="gramEnd"/>
            <w:r w:rsidR="003C1A08" w:rsidRPr="00C01DE6">
              <w:t xml:space="preserve"> </w:t>
            </w:r>
            <w:r w:rsidRPr="00C01DE6">
              <w:t xml:space="preserve">work area </w:t>
            </w:r>
            <w:r w:rsidR="009B1065" w:rsidRPr="00C01DE6">
              <w:t>with open</w:t>
            </w:r>
            <w:r w:rsidRPr="00C01DE6">
              <w:t xml:space="preserve"> access to restricted personally identifiable information.</w:t>
            </w:r>
            <w:r w:rsidR="00B72B13" w:rsidRPr="00C01DE6">
              <w:t xml:space="preserve">  </w:t>
            </w:r>
          </w:p>
          <w:p w14:paraId="73921E18" w14:textId="77777777" w:rsidR="00542808" w:rsidRPr="00C01DE6" w:rsidRDefault="00542808" w:rsidP="00542808">
            <w:pPr>
              <w:pStyle w:val="BulletText1"/>
            </w:pPr>
            <w:r w:rsidRPr="00C01DE6">
              <w:t xml:space="preserve">The </w:t>
            </w:r>
            <w:r w:rsidR="00B72B13" w:rsidRPr="00C01DE6">
              <w:t xml:space="preserve">hearing </w:t>
            </w:r>
            <w:r w:rsidRPr="00C01DE6">
              <w:t>facility should provide privacy for witness testimony</w:t>
            </w:r>
            <w:r w:rsidR="00B72B13" w:rsidRPr="00C01DE6">
              <w:t xml:space="preserve">, including walls and a door.  </w:t>
            </w:r>
          </w:p>
          <w:p w14:paraId="47997AF3" w14:textId="77777777" w:rsidR="00542808" w:rsidRPr="00C01DE6" w:rsidRDefault="00542808" w:rsidP="00542808">
            <w:pPr>
              <w:pStyle w:val="BulletText1"/>
            </w:pPr>
            <w:r w:rsidRPr="00C01DE6">
              <w:t>Ensure that the hearing room is clean</w:t>
            </w:r>
            <w:r w:rsidR="00B72B13" w:rsidRPr="00C01DE6">
              <w:t xml:space="preserve"> and straightened for each hearing. </w:t>
            </w:r>
            <w:r w:rsidRPr="00C01DE6">
              <w:t xml:space="preserve"> </w:t>
            </w:r>
          </w:p>
          <w:p w14:paraId="660E9C42" w14:textId="77777777" w:rsidR="00B72B13" w:rsidRPr="00C01DE6" w:rsidRDefault="00542808" w:rsidP="00B72B13">
            <w:pPr>
              <w:pStyle w:val="BulletText1"/>
            </w:pPr>
            <w:r w:rsidRPr="00C01DE6">
              <w:t>Display the United States flag appropriately</w:t>
            </w:r>
            <w:r w:rsidR="00B72B13" w:rsidRPr="00C01DE6">
              <w:t xml:space="preserve">. </w:t>
            </w:r>
          </w:p>
        </w:tc>
      </w:tr>
    </w:tbl>
    <w:p w14:paraId="250C7B77" w14:textId="77777777" w:rsidR="00542808" w:rsidRPr="00C01DE6" w:rsidRDefault="00542808" w:rsidP="00542808">
      <w:pPr>
        <w:pStyle w:val="BlockLine"/>
      </w:pPr>
    </w:p>
    <w:tbl>
      <w:tblPr>
        <w:tblW w:w="0" w:type="auto"/>
        <w:tblLayout w:type="fixed"/>
        <w:tblLook w:val="0000" w:firstRow="0" w:lastRow="0" w:firstColumn="0" w:lastColumn="0" w:noHBand="0" w:noVBand="0"/>
      </w:tblPr>
      <w:tblGrid>
        <w:gridCol w:w="1728"/>
        <w:gridCol w:w="7740"/>
      </w:tblGrid>
      <w:tr w:rsidR="00232F3D" w:rsidRPr="00C01DE6" w14:paraId="7B8CFCF7" w14:textId="77777777" w:rsidTr="00232F3D">
        <w:tc>
          <w:tcPr>
            <w:tcW w:w="1728" w:type="dxa"/>
            <w:shd w:val="clear" w:color="auto" w:fill="auto"/>
          </w:tcPr>
          <w:p w14:paraId="6AE94AD0" w14:textId="77777777" w:rsidR="00232F3D" w:rsidRPr="00C01DE6" w:rsidRDefault="00375DA1" w:rsidP="00232F3D">
            <w:pPr>
              <w:pStyle w:val="Heading5"/>
            </w:pPr>
            <w:proofErr w:type="gramStart"/>
            <w:r w:rsidRPr="00C01DE6">
              <w:t>p</w:t>
            </w:r>
            <w:r w:rsidR="00232F3D" w:rsidRPr="00C01DE6">
              <w:t>.  EP</w:t>
            </w:r>
            <w:proofErr w:type="gramEnd"/>
            <w:r w:rsidR="00232F3D" w:rsidRPr="00C01DE6">
              <w:t xml:space="preserve"> Code for Formal Hearing</w:t>
            </w:r>
            <w:r w:rsidR="00936396" w:rsidRPr="00C01DE6">
              <w:t>s</w:t>
            </w:r>
          </w:p>
        </w:tc>
        <w:tc>
          <w:tcPr>
            <w:tcW w:w="7740" w:type="dxa"/>
            <w:shd w:val="clear" w:color="auto" w:fill="auto"/>
          </w:tcPr>
          <w:p w14:paraId="61A7C066" w14:textId="64728751" w:rsidR="000F7380" w:rsidRPr="00C01DE6" w:rsidRDefault="00DC1626" w:rsidP="00656D24">
            <w:pPr>
              <w:pStyle w:val="BlockText"/>
            </w:pPr>
            <w:r w:rsidRPr="00C01DE6">
              <w:t xml:space="preserve">For information on use of EP 173 or EP 174 for hearings, see M21-4, Appendix B. </w:t>
            </w:r>
          </w:p>
        </w:tc>
      </w:tr>
    </w:tbl>
    <w:p w14:paraId="6AD18FDB" w14:textId="77777777" w:rsidR="00232F3D" w:rsidRPr="00C01DE6" w:rsidRDefault="00232F3D" w:rsidP="00232F3D">
      <w:pPr>
        <w:pStyle w:val="BlockLine"/>
      </w:pPr>
    </w:p>
    <w:tbl>
      <w:tblPr>
        <w:tblW w:w="0" w:type="auto"/>
        <w:tblLayout w:type="fixed"/>
        <w:tblLook w:val="0000" w:firstRow="0" w:lastRow="0" w:firstColumn="0" w:lastColumn="0" w:noHBand="0" w:noVBand="0"/>
      </w:tblPr>
      <w:tblGrid>
        <w:gridCol w:w="1728"/>
        <w:gridCol w:w="7740"/>
      </w:tblGrid>
      <w:tr w:rsidR="00821C07" w:rsidRPr="00C01DE6" w14:paraId="21E5C31C" w14:textId="77777777" w:rsidTr="006D0367">
        <w:tc>
          <w:tcPr>
            <w:tcW w:w="1728" w:type="dxa"/>
          </w:tcPr>
          <w:p w14:paraId="0488B5A1" w14:textId="77777777" w:rsidR="00821C07" w:rsidRPr="00C01DE6" w:rsidRDefault="00375DA1">
            <w:pPr>
              <w:pStyle w:val="Heading5"/>
            </w:pPr>
            <w:proofErr w:type="gramStart"/>
            <w:r w:rsidRPr="00C01DE6">
              <w:t>q</w:t>
            </w:r>
            <w:r w:rsidR="00821C07" w:rsidRPr="00C01DE6">
              <w:t>.  Attendance</w:t>
            </w:r>
            <w:proofErr w:type="gramEnd"/>
            <w:r w:rsidR="00821C07" w:rsidRPr="00C01DE6">
              <w:t xml:space="preserve"> at Hearings</w:t>
            </w:r>
          </w:p>
        </w:tc>
        <w:tc>
          <w:tcPr>
            <w:tcW w:w="7740" w:type="dxa"/>
          </w:tcPr>
          <w:p w14:paraId="0BAC98B7" w14:textId="77777777" w:rsidR="00526B2B" w:rsidRPr="00C01DE6" w:rsidRDefault="00526B2B" w:rsidP="00EA4587">
            <w:pPr>
              <w:pStyle w:val="BlockText"/>
            </w:pPr>
            <w:r w:rsidRPr="00C01DE6">
              <w:t>Attendance at a</w:t>
            </w:r>
            <w:r w:rsidR="00824A5A" w:rsidRPr="00C01DE6">
              <w:t>n</w:t>
            </w:r>
            <w:r w:rsidRPr="00C01DE6">
              <w:t xml:space="preserve"> </w:t>
            </w:r>
            <w:r w:rsidR="002E7F27" w:rsidRPr="00C01DE6">
              <w:t xml:space="preserve">RO </w:t>
            </w:r>
            <w:r w:rsidRPr="00C01DE6">
              <w:t>hearing</w:t>
            </w:r>
            <w:r w:rsidR="002E7F27" w:rsidRPr="00C01DE6">
              <w:t xml:space="preserve"> </w:t>
            </w:r>
            <w:r w:rsidR="00EA4587" w:rsidRPr="00C01DE6">
              <w:t xml:space="preserve">by the claimant/beneficiary </w:t>
            </w:r>
            <w:r w:rsidR="005E2E6A" w:rsidRPr="00C01DE6">
              <w:t xml:space="preserve">and witnesses </w:t>
            </w:r>
            <w:r w:rsidRPr="00C01DE6">
              <w:t>on the date and time scheduled is mandatory</w:t>
            </w:r>
            <w:r w:rsidR="00EA4587" w:rsidRPr="00C01DE6">
              <w:t xml:space="preserve">. </w:t>
            </w:r>
          </w:p>
          <w:p w14:paraId="776B52EF" w14:textId="77777777" w:rsidR="002E7F27" w:rsidRPr="00C01DE6" w:rsidRDefault="002E7F27" w:rsidP="00EA4587">
            <w:pPr>
              <w:pStyle w:val="BlockText"/>
            </w:pPr>
          </w:p>
          <w:p w14:paraId="6B598C57" w14:textId="77777777" w:rsidR="00EA4587" w:rsidRPr="00C01DE6" w:rsidRDefault="002E7F27" w:rsidP="00EA4587">
            <w:pPr>
              <w:pStyle w:val="BlockText"/>
            </w:pPr>
            <w:r w:rsidRPr="00C01DE6">
              <w:t xml:space="preserve">When </w:t>
            </w:r>
            <w:r w:rsidR="00B63F36" w:rsidRPr="00C01DE6">
              <w:t>the claimant fails to report for the hearing without good cause</w:t>
            </w:r>
            <w:r w:rsidR="00824A5A" w:rsidRPr="00C01DE6">
              <w:t>,</w:t>
            </w:r>
            <w:r w:rsidRPr="00C01DE6">
              <w:t xml:space="preserve"> make a record annotation and update applicable systems indicating that the hearing was canceled for failure to report.</w:t>
            </w:r>
            <w:r w:rsidR="003454C7" w:rsidRPr="00C01DE6">
              <w:t xml:space="preserve">  Proceed with development or a decision as applicable. </w:t>
            </w:r>
          </w:p>
          <w:p w14:paraId="6569C6A3" w14:textId="77777777" w:rsidR="002E7F27" w:rsidRPr="00C01DE6" w:rsidRDefault="002E7F27" w:rsidP="00EA4587">
            <w:pPr>
              <w:pStyle w:val="BlockText"/>
            </w:pPr>
          </w:p>
          <w:p w14:paraId="25F63DBF" w14:textId="18BE16BB" w:rsidR="00EA4587" w:rsidRPr="00C01DE6" w:rsidRDefault="00EA4587" w:rsidP="00EA4587">
            <w:pPr>
              <w:pStyle w:val="BlockText"/>
            </w:pPr>
            <w:r w:rsidRPr="00C01DE6">
              <w:rPr>
                <w:b/>
                <w:i/>
              </w:rPr>
              <w:t>Exceptions</w:t>
            </w:r>
            <w:r w:rsidRPr="00C01DE6">
              <w:t>:  Non-appearance at a scheduled hearing by the claimant/ beneficiary will be excused if</w:t>
            </w:r>
          </w:p>
          <w:p w14:paraId="0EF319C6" w14:textId="77777777" w:rsidR="002F0252" w:rsidRPr="00C01DE6" w:rsidRDefault="002F0252" w:rsidP="00EA4587">
            <w:pPr>
              <w:pStyle w:val="BlockText"/>
            </w:pPr>
          </w:p>
          <w:p w14:paraId="72AB9CC1" w14:textId="4F7AB16A" w:rsidR="00EA4587" w:rsidRPr="00C01DE6" w:rsidRDefault="00EA4587" w:rsidP="00EA4587">
            <w:pPr>
              <w:pStyle w:val="BulletText1"/>
            </w:pPr>
            <w:r w:rsidRPr="00C01DE6">
              <w:t>the hearing was rescheduled or canceled up to the schedule</w:t>
            </w:r>
            <w:r w:rsidR="00B63F36" w:rsidRPr="00C01DE6">
              <w:t>d</w:t>
            </w:r>
            <w:r w:rsidRPr="00C01DE6">
              <w:t xml:space="preserve"> time of the hearing as provided in </w:t>
            </w:r>
            <w:r w:rsidR="008F53BD" w:rsidRPr="00C01DE6">
              <w:t>M21-1, Part I, 4.1.l</w:t>
            </w:r>
          </w:p>
          <w:p w14:paraId="3CA9862F" w14:textId="77777777" w:rsidR="001859B4" w:rsidRPr="00C01DE6" w:rsidRDefault="001859B4" w:rsidP="00EA4587">
            <w:pPr>
              <w:pStyle w:val="BulletText1"/>
            </w:pPr>
            <w:r w:rsidRPr="00C01DE6">
              <w:t>VA mailed the hearing notice to an incorrect address, or</w:t>
            </w:r>
          </w:p>
          <w:p w14:paraId="4E8D8C78" w14:textId="77777777" w:rsidR="00EA4587" w:rsidRPr="00C01DE6" w:rsidRDefault="00EA4587" w:rsidP="00EA4587">
            <w:pPr>
              <w:pStyle w:val="BulletText1"/>
            </w:pPr>
            <w:r w:rsidRPr="00C01DE6">
              <w:t xml:space="preserve">there are extenuating circumstances such as </w:t>
            </w:r>
          </w:p>
          <w:p w14:paraId="2752B7CE" w14:textId="77777777" w:rsidR="00CD7B94" w:rsidRPr="00C01DE6" w:rsidRDefault="00EA4587" w:rsidP="00EA4587">
            <w:pPr>
              <w:pStyle w:val="BulletText2"/>
            </w:pPr>
            <w:r w:rsidRPr="00C01DE6">
              <w:t xml:space="preserve">incapacitation from a serious medical condition </w:t>
            </w:r>
          </w:p>
          <w:p w14:paraId="2B621601" w14:textId="77777777" w:rsidR="00237191" w:rsidRPr="00C01DE6" w:rsidRDefault="00237191" w:rsidP="00AC7DF4">
            <w:pPr>
              <w:pStyle w:val="BulletText2"/>
            </w:pPr>
            <w:r w:rsidRPr="00C01DE6">
              <w:t>hospitalization</w:t>
            </w:r>
          </w:p>
          <w:p w14:paraId="6CF2F8BB" w14:textId="77777777" w:rsidR="00237191" w:rsidRPr="00C01DE6" w:rsidRDefault="00CD7B94" w:rsidP="00AC7DF4">
            <w:pPr>
              <w:pStyle w:val="BulletText2"/>
            </w:pPr>
            <w:r w:rsidRPr="00C01DE6">
              <w:t xml:space="preserve">death of an immediate family member, </w:t>
            </w:r>
            <w:r w:rsidR="00EA4587" w:rsidRPr="00C01DE6">
              <w:t xml:space="preserve">or </w:t>
            </w:r>
          </w:p>
          <w:p w14:paraId="403D0C01" w14:textId="77777777" w:rsidR="00064E13" w:rsidRPr="00C01DE6" w:rsidRDefault="00EA4587" w:rsidP="00AC7DF4">
            <w:pPr>
              <w:pStyle w:val="BulletText2"/>
              <w:rPr>
                <w:b/>
              </w:rPr>
            </w:pPr>
            <w:proofErr w:type="gramStart"/>
            <w:r w:rsidRPr="00C01DE6">
              <w:lastRenderedPageBreak/>
              <w:t>incarceration</w:t>
            </w:r>
            <w:proofErr w:type="gramEnd"/>
            <w:r w:rsidR="00DF2DD3" w:rsidRPr="00C01DE6">
              <w:t>.</w:t>
            </w:r>
          </w:p>
          <w:p w14:paraId="010255C3" w14:textId="77777777" w:rsidR="00237191" w:rsidRPr="00C01DE6" w:rsidRDefault="00237191" w:rsidP="00237191">
            <w:pPr>
              <w:pStyle w:val="BulletText2"/>
              <w:numPr>
                <w:ilvl w:val="0"/>
                <w:numId w:val="0"/>
              </w:numPr>
              <w:ind w:left="346" w:hanging="187"/>
            </w:pPr>
          </w:p>
          <w:p w14:paraId="5E4E96B4" w14:textId="77777777" w:rsidR="00F561F3" w:rsidRPr="00C01DE6" w:rsidRDefault="00237191" w:rsidP="00237191">
            <w:r w:rsidRPr="00C01DE6">
              <w:rPr>
                <w:b/>
                <w:i/>
              </w:rPr>
              <w:t>Reference</w:t>
            </w:r>
            <w:r w:rsidRPr="00C01DE6">
              <w:t>:</w:t>
            </w:r>
            <w:r w:rsidR="002F0252" w:rsidRPr="00C01DE6">
              <w:t xml:space="preserve"> </w:t>
            </w:r>
            <w:r w:rsidRPr="00C01DE6">
              <w:t xml:space="preserve"> For </w:t>
            </w:r>
            <w:r w:rsidR="002F0252" w:rsidRPr="00C01DE6">
              <w:t xml:space="preserve">more </w:t>
            </w:r>
            <w:r w:rsidRPr="00C01DE6">
              <w:t xml:space="preserve">information on action to take when a claimant fails to report for a pre-determination hearing without good cause, see </w:t>
            </w:r>
          </w:p>
          <w:p w14:paraId="3A0D8A01" w14:textId="77777777" w:rsidR="00F561F3" w:rsidRPr="00C01DE6" w:rsidRDefault="00C01DE6" w:rsidP="00F561F3">
            <w:pPr>
              <w:pStyle w:val="ListParagraph"/>
              <w:numPr>
                <w:ilvl w:val="0"/>
                <w:numId w:val="24"/>
              </w:numPr>
              <w:ind w:left="158" w:hanging="187"/>
              <w:rPr>
                <w:rStyle w:val="Hyperlink"/>
                <w:b/>
                <w:color w:val="auto"/>
                <w:u w:val="none"/>
              </w:rPr>
            </w:pPr>
            <w:hyperlink r:id="rId19" w:history="1">
              <w:r w:rsidR="00237191" w:rsidRPr="00C01DE6">
                <w:rPr>
                  <w:rStyle w:val="Hyperlink"/>
                </w:rPr>
                <w:t>38 CFR 3.105 (</w:t>
              </w:r>
              <w:proofErr w:type="spellStart"/>
              <w:r w:rsidR="00237191" w:rsidRPr="00C01DE6">
                <w:rPr>
                  <w:rStyle w:val="Hyperlink"/>
                </w:rPr>
                <w:t>i</w:t>
              </w:r>
              <w:proofErr w:type="spellEnd"/>
              <w:r w:rsidR="00237191" w:rsidRPr="00C01DE6">
                <w:rPr>
                  <w:rStyle w:val="Hyperlink"/>
                </w:rPr>
                <w:t>)(2)</w:t>
              </w:r>
            </w:hyperlink>
            <w:r w:rsidR="00F561F3" w:rsidRPr="00C01DE6">
              <w:rPr>
                <w:rStyle w:val="Hyperlink"/>
                <w:color w:val="auto"/>
                <w:u w:val="none"/>
              </w:rPr>
              <w:t>, and</w:t>
            </w:r>
          </w:p>
          <w:p w14:paraId="51A0D3AF" w14:textId="6B12871C" w:rsidR="00237191" w:rsidRPr="00C01DE6" w:rsidRDefault="00F561F3" w:rsidP="00F561F3">
            <w:pPr>
              <w:pStyle w:val="ListParagraph"/>
              <w:numPr>
                <w:ilvl w:val="0"/>
                <w:numId w:val="24"/>
              </w:numPr>
              <w:ind w:left="158" w:hanging="187"/>
              <w:rPr>
                <w:b/>
              </w:rPr>
            </w:pPr>
            <w:r w:rsidRPr="00C01DE6">
              <w:rPr>
                <w:rStyle w:val="Hyperlink"/>
                <w:color w:val="auto"/>
                <w:u w:val="none"/>
              </w:rPr>
              <w:t>M21-1, Part I, 2.C.3.e</w:t>
            </w:r>
            <w:r w:rsidR="00237191" w:rsidRPr="00C01DE6">
              <w:rPr>
                <w:color w:val="auto"/>
              </w:rPr>
              <w:t>.</w:t>
            </w:r>
          </w:p>
        </w:tc>
      </w:tr>
    </w:tbl>
    <w:p w14:paraId="067AC2A5" w14:textId="34740E0C" w:rsidR="000431C5" w:rsidRPr="00C01DE6" w:rsidRDefault="000431C5" w:rsidP="000431C5">
      <w:pPr>
        <w:pStyle w:val="ContinuedOnNextPa"/>
      </w:pPr>
    </w:p>
    <w:p w14:paraId="2E89F3A2" w14:textId="77777777" w:rsidR="00821C07" w:rsidRPr="00C01DE6" w:rsidRDefault="000431C5" w:rsidP="00C36237">
      <w:pPr>
        <w:pStyle w:val="MapTitleContinued"/>
      </w:pPr>
      <w:r w:rsidRPr="00C01DE6">
        <w:br w:type="page"/>
      </w:r>
      <w:r w:rsidR="00821C07" w:rsidRPr="00C01DE6">
        <w:lastRenderedPageBreak/>
        <w:t>2.  General Conduct for Hearings</w:t>
      </w:r>
    </w:p>
    <w:p w14:paraId="7D545076"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3AB84A18" w14:textId="77777777">
        <w:trPr>
          <w:cantSplit/>
        </w:trPr>
        <w:tc>
          <w:tcPr>
            <w:tcW w:w="1728" w:type="dxa"/>
          </w:tcPr>
          <w:p w14:paraId="269FAB11" w14:textId="77777777" w:rsidR="00821C07" w:rsidRPr="00C01DE6" w:rsidRDefault="00821C07">
            <w:pPr>
              <w:pStyle w:val="Heading5"/>
            </w:pPr>
            <w:r w:rsidRPr="00C01DE6">
              <w:t>Introduction</w:t>
            </w:r>
          </w:p>
        </w:tc>
        <w:tc>
          <w:tcPr>
            <w:tcW w:w="7740" w:type="dxa"/>
          </w:tcPr>
          <w:p w14:paraId="567269BD" w14:textId="77777777" w:rsidR="00821C07" w:rsidRPr="00C01DE6" w:rsidRDefault="00821C07">
            <w:pPr>
              <w:pStyle w:val="BlockText"/>
            </w:pPr>
            <w:r w:rsidRPr="00C01DE6">
              <w:t>This topic contains information on</w:t>
            </w:r>
            <w:r w:rsidR="000431C5" w:rsidRPr="00C01DE6">
              <w:t xml:space="preserve"> general conduct for hearings, including</w:t>
            </w:r>
          </w:p>
          <w:p w14:paraId="7E4F6B32" w14:textId="77777777" w:rsidR="00821C07" w:rsidRPr="00C01DE6" w:rsidRDefault="00821C07">
            <w:pPr>
              <w:pStyle w:val="BlockText"/>
            </w:pPr>
          </w:p>
          <w:p w14:paraId="47D060D0" w14:textId="77777777" w:rsidR="00821C07" w:rsidRPr="00C01DE6" w:rsidRDefault="00821C07">
            <w:pPr>
              <w:pStyle w:val="BulletText1"/>
            </w:pPr>
            <w:r w:rsidRPr="00C01DE6">
              <w:t>non-adversarial hearings</w:t>
            </w:r>
            <w:r w:rsidR="00375DA1" w:rsidRPr="00C01DE6">
              <w:t xml:space="preserve"> and questioning witnesses</w:t>
            </w:r>
          </w:p>
          <w:p w14:paraId="201EEAF3" w14:textId="77777777" w:rsidR="00187D7A" w:rsidRPr="00C01DE6" w:rsidRDefault="00187D7A">
            <w:pPr>
              <w:pStyle w:val="BulletText1"/>
            </w:pPr>
            <w:r w:rsidRPr="00C01DE6">
              <w:t>decorum and appearance of VA personnel</w:t>
            </w:r>
          </w:p>
          <w:p w14:paraId="5D282885" w14:textId="77777777" w:rsidR="00821C07" w:rsidRPr="00C01DE6" w:rsidRDefault="00187D7A">
            <w:pPr>
              <w:pStyle w:val="BulletText1"/>
            </w:pPr>
            <w:r w:rsidRPr="00C01DE6">
              <w:t>obligation to assist in developing facts</w:t>
            </w:r>
          </w:p>
          <w:p w14:paraId="68A751A7" w14:textId="77777777" w:rsidR="00821C07" w:rsidRPr="00C01DE6" w:rsidRDefault="00821C07" w:rsidP="00A842B2">
            <w:pPr>
              <w:pStyle w:val="BulletText1"/>
            </w:pPr>
            <w:r w:rsidRPr="00C01DE6">
              <w:t>prohibition ag</w:t>
            </w:r>
            <w:r w:rsidR="000431C5" w:rsidRPr="00C01DE6">
              <w:t>ainst conveying an “expected”</w:t>
            </w:r>
            <w:r w:rsidRPr="00C01DE6">
              <w:t xml:space="preserve"> decision during a hearing</w:t>
            </w:r>
            <w:r w:rsidR="00A842B2" w:rsidRPr="00C01DE6">
              <w:t>, and</w:t>
            </w:r>
          </w:p>
          <w:p w14:paraId="75F45D9D" w14:textId="77777777" w:rsidR="00A842B2" w:rsidRPr="00C01DE6" w:rsidRDefault="00D30C6D" w:rsidP="00A842B2">
            <w:pPr>
              <w:pStyle w:val="BulletText1"/>
            </w:pPr>
            <w:proofErr w:type="gramStart"/>
            <w:r w:rsidRPr="00C01DE6">
              <w:t>inappropriate</w:t>
            </w:r>
            <w:proofErr w:type="gramEnd"/>
            <w:r w:rsidRPr="00C01DE6">
              <w:t xml:space="preserve"> behavior by hearing attendees.</w:t>
            </w:r>
          </w:p>
        </w:tc>
      </w:tr>
    </w:tbl>
    <w:p w14:paraId="4AFF5083"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7AFDAF71" w14:textId="77777777">
        <w:trPr>
          <w:cantSplit/>
        </w:trPr>
        <w:tc>
          <w:tcPr>
            <w:tcW w:w="1728" w:type="dxa"/>
          </w:tcPr>
          <w:p w14:paraId="3FC08A9B" w14:textId="77777777" w:rsidR="00821C07" w:rsidRPr="00C01DE6" w:rsidRDefault="00821C07">
            <w:pPr>
              <w:pStyle w:val="Heading5"/>
            </w:pPr>
            <w:r w:rsidRPr="00C01DE6">
              <w:t>Change Date</w:t>
            </w:r>
          </w:p>
        </w:tc>
        <w:tc>
          <w:tcPr>
            <w:tcW w:w="7740" w:type="dxa"/>
          </w:tcPr>
          <w:p w14:paraId="58922E0E" w14:textId="77777777" w:rsidR="00821C07" w:rsidRPr="00C01DE6" w:rsidRDefault="00EE64F9">
            <w:pPr>
              <w:pStyle w:val="BlockText"/>
            </w:pPr>
            <w:r w:rsidRPr="00C01DE6">
              <w:t>January 9, 2015</w:t>
            </w:r>
          </w:p>
        </w:tc>
      </w:tr>
    </w:tbl>
    <w:p w14:paraId="71407284"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5D24C0B5" w14:textId="77777777">
        <w:trPr>
          <w:cantSplit/>
        </w:trPr>
        <w:tc>
          <w:tcPr>
            <w:tcW w:w="1728" w:type="dxa"/>
          </w:tcPr>
          <w:p w14:paraId="50762485" w14:textId="77777777" w:rsidR="00821C07" w:rsidRPr="00C01DE6" w:rsidRDefault="00821C07" w:rsidP="00BC100F">
            <w:pPr>
              <w:pStyle w:val="Heading5"/>
            </w:pPr>
            <w:proofErr w:type="gramStart"/>
            <w:r w:rsidRPr="00C01DE6">
              <w:t>a.  Non</w:t>
            </w:r>
            <w:proofErr w:type="gramEnd"/>
            <w:r w:rsidRPr="00C01DE6">
              <w:t xml:space="preserve">-Adversarial </w:t>
            </w:r>
            <w:r w:rsidR="00BC100F" w:rsidRPr="00C01DE6">
              <w:t>Hearings and Questioning Witnesses</w:t>
            </w:r>
          </w:p>
        </w:tc>
        <w:tc>
          <w:tcPr>
            <w:tcW w:w="7740" w:type="dxa"/>
          </w:tcPr>
          <w:p w14:paraId="5F63D1D0" w14:textId="77777777" w:rsidR="00843B4F" w:rsidRPr="00C01DE6" w:rsidRDefault="00E16B81">
            <w:pPr>
              <w:pStyle w:val="BlockText"/>
            </w:pPr>
            <w:r w:rsidRPr="00C01DE6">
              <w:t>The hearing official may question witnesses, structuring all questions to fully explore the basis for claimed entitlement.  However, pr</w:t>
            </w:r>
            <w:r w:rsidR="00821C07" w:rsidRPr="00C01DE6">
              <w:t xml:space="preserve">oceedings before VA are non-adversarial in nature.  </w:t>
            </w:r>
            <w:r w:rsidR="001754BE" w:rsidRPr="00C01DE6">
              <w:t xml:space="preserve">VA does not oppose a claim.  </w:t>
            </w:r>
            <w:r w:rsidR="00843B4F" w:rsidRPr="00C01DE6">
              <w:t>Accordingly</w:t>
            </w:r>
            <w:r w:rsidR="00B46BB0" w:rsidRPr="00C01DE6">
              <w:t>,</w:t>
            </w:r>
            <w:r w:rsidRPr="00C01DE6">
              <w:t xml:space="preserve"> the hearing official</w:t>
            </w:r>
            <w:r w:rsidR="00C64F58" w:rsidRPr="00C01DE6">
              <w:t xml:space="preserve"> must</w:t>
            </w:r>
            <w:r w:rsidR="00843B4F" w:rsidRPr="00C01DE6">
              <w:t xml:space="preserve"> </w:t>
            </w:r>
            <w:r w:rsidR="00C64F58" w:rsidRPr="00C01DE6">
              <w:rPr>
                <w:b/>
                <w:i/>
              </w:rPr>
              <w:t>avoid inappropriate</w:t>
            </w:r>
            <w:r w:rsidR="00843B4F" w:rsidRPr="00C01DE6">
              <w:rPr>
                <w:b/>
                <w:i/>
              </w:rPr>
              <w:t xml:space="preserve"> </w:t>
            </w:r>
            <w:r w:rsidR="00657D22" w:rsidRPr="00C01DE6">
              <w:rPr>
                <w:b/>
                <w:i/>
              </w:rPr>
              <w:t>cross-</w:t>
            </w:r>
            <w:r w:rsidR="005E65E9" w:rsidRPr="00C01DE6">
              <w:rPr>
                <w:b/>
                <w:i/>
              </w:rPr>
              <w:t>examin</w:t>
            </w:r>
            <w:r w:rsidR="00843B4F" w:rsidRPr="00C01DE6">
              <w:rPr>
                <w:b/>
                <w:i/>
              </w:rPr>
              <w:t>ing style of questioning</w:t>
            </w:r>
            <w:r w:rsidR="00843B4F" w:rsidRPr="00C01DE6">
              <w:t xml:space="preserve">. </w:t>
            </w:r>
            <w:r w:rsidR="00C64F58" w:rsidRPr="00C01DE6">
              <w:t xml:space="preserve"> </w:t>
            </w:r>
          </w:p>
          <w:p w14:paraId="13750E0E" w14:textId="77777777" w:rsidR="00843B4F" w:rsidRPr="00C01DE6" w:rsidRDefault="00843B4F">
            <w:pPr>
              <w:pStyle w:val="BlockText"/>
            </w:pPr>
          </w:p>
          <w:p w14:paraId="0CA8DB5F" w14:textId="77777777" w:rsidR="00843B4F" w:rsidRPr="00C01DE6" w:rsidRDefault="00843B4F">
            <w:pPr>
              <w:pStyle w:val="BlockText"/>
            </w:pPr>
            <w:r w:rsidRPr="00C01DE6">
              <w:rPr>
                <w:b/>
                <w:i/>
              </w:rPr>
              <w:t>Cross</w:t>
            </w:r>
            <w:r w:rsidR="00171223" w:rsidRPr="00C01DE6">
              <w:rPr>
                <w:b/>
                <w:i/>
              </w:rPr>
              <w:t>-</w:t>
            </w:r>
            <w:r w:rsidRPr="00C01DE6">
              <w:rPr>
                <w:b/>
                <w:i/>
              </w:rPr>
              <w:t>examination</w:t>
            </w:r>
            <w:r w:rsidRPr="00C01DE6">
              <w:t xml:space="preserve"> denotes supplemental questioning of a witness</w:t>
            </w:r>
            <w:r w:rsidR="007B260B" w:rsidRPr="00C01DE6">
              <w:t>,</w:t>
            </w:r>
            <w:r w:rsidRPr="00C01DE6">
              <w:t xml:space="preserve"> called to testify </w:t>
            </w:r>
            <w:r w:rsidR="007B260B" w:rsidRPr="00C01DE6">
              <w:t xml:space="preserve">in support of a </w:t>
            </w:r>
            <w:r w:rsidR="00C64F58" w:rsidRPr="00C01DE6">
              <w:t>party</w:t>
            </w:r>
            <w:r w:rsidR="007B260B" w:rsidRPr="00C01DE6">
              <w:t>,</w:t>
            </w:r>
            <w:r w:rsidR="00C64F58" w:rsidRPr="00C01DE6">
              <w:t xml:space="preserve"> by </w:t>
            </w:r>
            <w:r w:rsidR="007B260B" w:rsidRPr="00C01DE6">
              <w:t>the advocate of the opposing party</w:t>
            </w:r>
            <w:r w:rsidR="00C64F58" w:rsidRPr="00C01DE6">
              <w:t xml:space="preserve"> for one or more of the following purposes</w:t>
            </w:r>
            <w:r w:rsidRPr="00C01DE6">
              <w:t>:</w:t>
            </w:r>
          </w:p>
          <w:p w14:paraId="6A38B129" w14:textId="77777777" w:rsidR="002F0252" w:rsidRPr="00C01DE6" w:rsidRDefault="002F0252">
            <w:pPr>
              <w:pStyle w:val="BlockText"/>
              <w:rPr>
                <w:lang w:val="en"/>
              </w:rPr>
            </w:pPr>
          </w:p>
          <w:p w14:paraId="44F48C66" w14:textId="2F132668" w:rsidR="00C64F58" w:rsidRPr="00C01DE6" w:rsidRDefault="00843B4F" w:rsidP="00843B4F">
            <w:pPr>
              <w:pStyle w:val="BulletText1"/>
              <w:rPr>
                <w:lang w:val="en"/>
              </w:rPr>
            </w:pPr>
            <w:r w:rsidRPr="00C01DE6">
              <w:rPr>
                <w:lang w:val="en"/>
              </w:rPr>
              <w:t>impeachment (</w:t>
            </w:r>
            <w:r w:rsidR="00C64F58" w:rsidRPr="00C01DE6">
              <w:rPr>
                <w:lang w:val="en"/>
              </w:rPr>
              <w:t>discrediting the witness by</w:t>
            </w:r>
            <w:r w:rsidRPr="00C01DE6">
              <w:rPr>
                <w:lang w:val="en"/>
              </w:rPr>
              <w:t xml:space="preserve"> </w:t>
            </w:r>
            <w:r w:rsidR="00C64F58" w:rsidRPr="00C01DE6">
              <w:rPr>
                <w:lang w:val="en"/>
              </w:rPr>
              <w:t xml:space="preserve">eliciting facts or opinions that </w:t>
            </w:r>
            <w:r w:rsidRPr="00C01DE6">
              <w:rPr>
                <w:lang w:val="en"/>
              </w:rPr>
              <w:t>diminish credibility</w:t>
            </w:r>
            <w:r w:rsidR="00CE7048" w:rsidRPr="00C01DE6">
              <w:rPr>
                <w:lang w:val="en"/>
              </w:rPr>
              <w:t xml:space="preserve"> or </w:t>
            </w:r>
            <w:r w:rsidR="00C64F58" w:rsidRPr="00C01DE6">
              <w:rPr>
                <w:lang w:val="en"/>
              </w:rPr>
              <w:t xml:space="preserve">the </w:t>
            </w:r>
            <w:r w:rsidR="00CE7048" w:rsidRPr="00C01DE6">
              <w:rPr>
                <w:lang w:val="en"/>
              </w:rPr>
              <w:t>weight of evidence offered by the witness</w:t>
            </w:r>
            <w:r w:rsidRPr="00C01DE6">
              <w:rPr>
                <w:lang w:val="en"/>
              </w:rPr>
              <w:t xml:space="preserve">) </w:t>
            </w:r>
          </w:p>
          <w:p w14:paraId="74BB0A6E" w14:textId="77777777" w:rsidR="00843B4F" w:rsidRPr="00C01DE6" w:rsidRDefault="00C64F58" w:rsidP="00843B4F">
            <w:pPr>
              <w:pStyle w:val="BulletText1"/>
              <w:rPr>
                <w:lang w:val="en"/>
              </w:rPr>
            </w:pPr>
            <w:r w:rsidRPr="00C01DE6">
              <w:rPr>
                <w:lang w:val="en"/>
              </w:rPr>
              <w:t xml:space="preserve">elicitation of facts or opinions </w:t>
            </w:r>
            <w:r w:rsidR="00B46BB0" w:rsidRPr="00C01DE6">
              <w:rPr>
                <w:lang w:val="en"/>
              </w:rPr>
              <w:t>(which</w:t>
            </w:r>
            <w:r w:rsidRPr="00C01DE6">
              <w:rPr>
                <w:lang w:val="en"/>
              </w:rPr>
              <w:t xml:space="preserve"> may be useful for additional development adverse to the party for whom the witness’s testimony was offered), </w:t>
            </w:r>
            <w:r w:rsidR="00843B4F" w:rsidRPr="00C01DE6">
              <w:rPr>
                <w:lang w:val="en"/>
              </w:rPr>
              <w:t>and</w:t>
            </w:r>
          </w:p>
          <w:p w14:paraId="468C14F2" w14:textId="77777777" w:rsidR="00843B4F" w:rsidRPr="00C01DE6" w:rsidRDefault="00C64F58" w:rsidP="00843B4F">
            <w:pPr>
              <w:pStyle w:val="BulletText1"/>
              <w:rPr>
                <w:lang w:val="en"/>
              </w:rPr>
            </w:pPr>
            <w:proofErr w:type="gramStart"/>
            <w:r w:rsidRPr="00C01DE6">
              <w:rPr>
                <w:lang w:val="en"/>
              </w:rPr>
              <w:t>witness</w:t>
            </w:r>
            <w:proofErr w:type="gramEnd"/>
            <w:r w:rsidRPr="00C01DE6">
              <w:rPr>
                <w:lang w:val="en"/>
              </w:rPr>
              <w:t xml:space="preserve"> control (to prevent explanation or elaboration)</w:t>
            </w:r>
            <w:r w:rsidR="007505E1" w:rsidRPr="00C01DE6">
              <w:rPr>
                <w:lang w:val="en"/>
              </w:rPr>
              <w:t xml:space="preserve">. </w:t>
            </w:r>
            <w:r w:rsidR="00843B4F" w:rsidRPr="00C01DE6">
              <w:rPr>
                <w:lang w:val="en"/>
              </w:rPr>
              <w:t xml:space="preserve"> </w:t>
            </w:r>
          </w:p>
          <w:p w14:paraId="070C72D7" w14:textId="77777777" w:rsidR="00843B4F" w:rsidRPr="00C01DE6" w:rsidRDefault="00843B4F">
            <w:pPr>
              <w:pStyle w:val="BlockText"/>
              <w:rPr>
                <w:lang w:val="en"/>
              </w:rPr>
            </w:pPr>
          </w:p>
          <w:p w14:paraId="039E5D4E" w14:textId="77777777" w:rsidR="00843B4F" w:rsidRPr="00C01DE6" w:rsidRDefault="00CE7048">
            <w:pPr>
              <w:pStyle w:val="BlockText"/>
              <w:rPr>
                <w:lang w:val="en"/>
              </w:rPr>
            </w:pPr>
            <w:r w:rsidRPr="00C01DE6">
              <w:rPr>
                <w:lang w:val="en"/>
              </w:rPr>
              <w:t>The term also connotes</w:t>
            </w:r>
            <w:r w:rsidR="00843B4F" w:rsidRPr="00C01DE6">
              <w:rPr>
                <w:lang w:val="en"/>
              </w:rPr>
              <w:t xml:space="preserve"> </w:t>
            </w:r>
            <w:r w:rsidRPr="00C01DE6">
              <w:rPr>
                <w:lang w:val="en"/>
              </w:rPr>
              <w:t xml:space="preserve">an attacking or aggressive style of </w:t>
            </w:r>
            <w:r w:rsidR="00843B4F" w:rsidRPr="00C01DE6">
              <w:rPr>
                <w:lang w:val="en"/>
              </w:rPr>
              <w:t xml:space="preserve">questioning </w:t>
            </w:r>
            <w:r w:rsidRPr="00C01DE6">
              <w:rPr>
                <w:lang w:val="en"/>
              </w:rPr>
              <w:t>with a</w:t>
            </w:r>
            <w:r w:rsidR="00843B4F" w:rsidRPr="00C01DE6">
              <w:rPr>
                <w:lang w:val="en"/>
              </w:rPr>
              <w:t xml:space="preserve"> belligerent</w:t>
            </w:r>
            <w:r w:rsidRPr="00C01DE6">
              <w:rPr>
                <w:lang w:val="en"/>
              </w:rPr>
              <w:t>/</w:t>
            </w:r>
            <w:r w:rsidR="00843B4F" w:rsidRPr="00C01DE6">
              <w:rPr>
                <w:lang w:val="en"/>
              </w:rPr>
              <w:t>antagonistic</w:t>
            </w:r>
            <w:r w:rsidRPr="00C01DE6">
              <w:rPr>
                <w:lang w:val="en"/>
              </w:rPr>
              <w:t>, sarcastic</w:t>
            </w:r>
            <w:r w:rsidR="00843B4F" w:rsidRPr="00C01DE6">
              <w:rPr>
                <w:lang w:val="en"/>
              </w:rPr>
              <w:t xml:space="preserve"> or skeptical tone</w:t>
            </w:r>
            <w:r w:rsidRPr="00C01DE6">
              <w:rPr>
                <w:lang w:val="en"/>
              </w:rPr>
              <w:t xml:space="preserve"> that permits only </w:t>
            </w:r>
            <w:r w:rsidR="00657D22" w:rsidRPr="00C01DE6">
              <w:rPr>
                <w:lang w:val="en"/>
              </w:rPr>
              <w:t>“</w:t>
            </w:r>
            <w:r w:rsidRPr="00C01DE6">
              <w:rPr>
                <w:lang w:val="en"/>
              </w:rPr>
              <w:t>yes</w:t>
            </w:r>
            <w:r w:rsidR="00657D22" w:rsidRPr="00C01DE6">
              <w:rPr>
                <w:lang w:val="en"/>
              </w:rPr>
              <w:t>”</w:t>
            </w:r>
            <w:r w:rsidRPr="00C01DE6">
              <w:rPr>
                <w:lang w:val="en"/>
              </w:rPr>
              <w:t xml:space="preserve"> or </w:t>
            </w:r>
            <w:r w:rsidR="00657D22" w:rsidRPr="00C01DE6">
              <w:rPr>
                <w:lang w:val="en"/>
              </w:rPr>
              <w:t>“</w:t>
            </w:r>
            <w:r w:rsidRPr="00C01DE6">
              <w:rPr>
                <w:lang w:val="en"/>
              </w:rPr>
              <w:t>no</w:t>
            </w:r>
            <w:r w:rsidR="00657D22" w:rsidRPr="00C01DE6">
              <w:rPr>
                <w:lang w:val="en"/>
              </w:rPr>
              <w:t>”</w:t>
            </w:r>
            <w:r w:rsidRPr="00C01DE6">
              <w:rPr>
                <w:lang w:val="en"/>
              </w:rPr>
              <w:t xml:space="preserve"> answers</w:t>
            </w:r>
            <w:r w:rsidR="00843B4F" w:rsidRPr="00C01DE6">
              <w:rPr>
                <w:lang w:val="en"/>
              </w:rPr>
              <w:t>.</w:t>
            </w:r>
            <w:r w:rsidR="00C64F58" w:rsidRPr="00C01DE6">
              <w:rPr>
                <w:lang w:val="en"/>
              </w:rPr>
              <w:t xml:space="preserve"> </w:t>
            </w:r>
          </w:p>
          <w:p w14:paraId="6D6E197A" w14:textId="77777777" w:rsidR="00843B4F" w:rsidRPr="00C01DE6" w:rsidRDefault="00843B4F">
            <w:pPr>
              <w:pStyle w:val="BlockText"/>
              <w:rPr>
                <w:lang w:val="en"/>
              </w:rPr>
            </w:pPr>
          </w:p>
          <w:p w14:paraId="33D45A9A" w14:textId="77777777" w:rsidR="00CE7048" w:rsidRPr="00C01DE6" w:rsidRDefault="00CE7048">
            <w:pPr>
              <w:pStyle w:val="BlockText"/>
              <w:rPr>
                <w:lang w:val="en"/>
              </w:rPr>
            </w:pPr>
            <w:r w:rsidRPr="00C01DE6">
              <w:rPr>
                <w:b/>
                <w:i/>
              </w:rPr>
              <w:t>Important</w:t>
            </w:r>
            <w:r w:rsidRPr="00C01DE6">
              <w:t>:  The fact that a</w:t>
            </w:r>
            <w:r w:rsidR="00657D22" w:rsidRPr="00C01DE6">
              <w:t>n appropriate</w:t>
            </w:r>
            <w:r w:rsidRPr="00C01DE6">
              <w:t xml:space="preserve"> question by the hearing official </w:t>
            </w:r>
            <w:r w:rsidR="007B260B" w:rsidRPr="00C01DE6">
              <w:t xml:space="preserve">may </w:t>
            </w:r>
            <w:r w:rsidRPr="00C01DE6">
              <w:t>lead to information that results in</w:t>
            </w:r>
            <w:r w:rsidR="00657D22" w:rsidRPr="00C01DE6">
              <w:t>,</w:t>
            </w:r>
            <w:r w:rsidRPr="00C01DE6">
              <w:t xml:space="preserve"> or is followed by</w:t>
            </w:r>
            <w:r w:rsidR="00657D22" w:rsidRPr="00C01DE6">
              <w:t>,</w:t>
            </w:r>
            <w:r w:rsidRPr="00C01DE6">
              <w:t xml:space="preserve"> testimony that may show an inconsistency or otherwise negatively impact the witness’s credibility or the weight of evidence on a particular manner does not mean that the hearing official engaged in cross</w:t>
            </w:r>
            <w:r w:rsidR="00171223" w:rsidRPr="00C01DE6">
              <w:t>-</w:t>
            </w:r>
            <w:r w:rsidRPr="00C01DE6">
              <w:t xml:space="preserve">examination or that the testimony is not admissible.  </w:t>
            </w:r>
            <w:r w:rsidR="00E16B81" w:rsidRPr="00C01DE6">
              <w:t xml:space="preserve">This is not </w:t>
            </w:r>
            <w:r w:rsidR="00E16B81" w:rsidRPr="00C01DE6">
              <w:rPr>
                <w:i/>
              </w:rPr>
              <w:t>intent</w:t>
            </w:r>
            <w:r w:rsidR="00E16B81" w:rsidRPr="00C01DE6">
              <w:t xml:space="preserve"> to refute evidence or discredit the claimant’s statements.  </w:t>
            </w:r>
          </w:p>
          <w:p w14:paraId="74A49464" w14:textId="77777777" w:rsidR="00CE7048" w:rsidRPr="00C01DE6" w:rsidRDefault="00CE7048">
            <w:pPr>
              <w:pStyle w:val="BlockText"/>
            </w:pPr>
          </w:p>
          <w:p w14:paraId="68DDC759" w14:textId="44ECFC10" w:rsidR="00B70B2C" w:rsidRPr="00C01DE6" w:rsidRDefault="00BC100F">
            <w:pPr>
              <w:pStyle w:val="BlockText"/>
            </w:pPr>
            <w:r w:rsidRPr="00C01DE6">
              <w:rPr>
                <w:b/>
                <w:i/>
              </w:rPr>
              <w:t>Reference</w:t>
            </w:r>
            <w:r w:rsidR="00B70B2C" w:rsidRPr="00C01DE6">
              <w:rPr>
                <w:b/>
                <w:i/>
              </w:rPr>
              <w:t>s</w:t>
            </w:r>
            <w:r w:rsidR="00656D24" w:rsidRPr="00C01DE6">
              <w:t>:</w:t>
            </w:r>
            <w:r w:rsidRPr="00C01DE6">
              <w:t xml:space="preserve">  For more information about </w:t>
            </w:r>
          </w:p>
          <w:p w14:paraId="1F358750" w14:textId="19A25A36" w:rsidR="00BC100F" w:rsidRPr="00C01DE6" w:rsidRDefault="00BC100F" w:rsidP="00B70B2C">
            <w:pPr>
              <w:pStyle w:val="BulletText1"/>
            </w:pPr>
            <w:r w:rsidRPr="00C01DE6">
              <w:t>non-adversarial adjudication</w:t>
            </w:r>
            <w:r w:rsidR="00B70B2C" w:rsidRPr="00C01DE6">
              <w:t>,</w:t>
            </w:r>
            <w:r w:rsidRPr="00C01DE6">
              <w:t xml:space="preserve"> see </w:t>
            </w:r>
            <w:r w:rsidR="008F53BD" w:rsidRPr="00C01DE6">
              <w:t>M21-1, Part III, Subpart iv, 5.1</w:t>
            </w:r>
            <w:r w:rsidR="00CE0EB8" w:rsidRPr="00C01DE6">
              <w:t>0</w:t>
            </w:r>
            <w:r w:rsidR="00B46BB0" w:rsidRPr="00C01DE6">
              <w:t>.b</w:t>
            </w:r>
            <w:r w:rsidR="00B70B2C" w:rsidRPr="00C01DE6">
              <w:t>, and</w:t>
            </w:r>
          </w:p>
          <w:p w14:paraId="6394C3B4" w14:textId="77777777" w:rsidR="00821C07" w:rsidRPr="00C01DE6" w:rsidRDefault="00B70B2C" w:rsidP="00B46BB0">
            <w:pPr>
              <w:pStyle w:val="BulletText1"/>
            </w:pPr>
            <w:r w:rsidRPr="00C01DE6">
              <w:t xml:space="preserve">decorum during hearings, see </w:t>
            </w:r>
            <w:r w:rsidR="008F53BD" w:rsidRPr="00C01DE6">
              <w:t>M21-1, Part I, 4.2.b</w:t>
            </w:r>
            <w:r w:rsidRPr="00C01DE6">
              <w:t>.</w:t>
            </w:r>
          </w:p>
        </w:tc>
      </w:tr>
    </w:tbl>
    <w:p w14:paraId="6601C44E" w14:textId="77777777" w:rsidR="00821C07" w:rsidRPr="00C01DE6" w:rsidRDefault="00821C07" w:rsidP="00CE7048">
      <w:pPr>
        <w:pStyle w:val="BlockLine"/>
      </w:pPr>
    </w:p>
    <w:tbl>
      <w:tblPr>
        <w:tblW w:w="0" w:type="auto"/>
        <w:tblLayout w:type="fixed"/>
        <w:tblLook w:val="0000" w:firstRow="0" w:lastRow="0" w:firstColumn="0" w:lastColumn="0" w:noHBand="0" w:noVBand="0"/>
      </w:tblPr>
      <w:tblGrid>
        <w:gridCol w:w="1728"/>
        <w:gridCol w:w="7740"/>
      </w:tblGrid>
      <w:tr w:rsidR="00821C07" w:rsidRPr="00C01DE6" w14:paraId="714EF955" w14:textId="77777777">
        <w:trPr>
          <w:cantSplit/>
        </w:trPr>
        <w:tc>
          <w:tcPr>
            <w:tcW w:w="1728" w:type="dxa"/>
          </w:tcPr>
          <w:p w14:paraId="6CD4DB65" w14:textId="77777777" w:rsidR="00821C07" w:rsidRPr="00C01DE6" w:rsidRDefault="00187D7A" w:rsidP="00237191">
            <w:pPr>
              <w:pStyle w:val="Heading5"/>
            </w:pPr>
            <w:proofErr w:type="gramStart"/>
            <w:r w:rsidRPr="00C01DE6">
              <w:lastRenderedPageBreak/>
              <w:t>b.  Decorum</w:t>
            </w:r>
            <w:proofErr w:type="gramEnd"/>
            <w:r w:rsidRPr="00C01DE6">
              <w:t xml:space="preserve"> and Appearance of VA Personnel </w:t>
            </w:r>
          </w:p>
        </w:tc>
        <w:tc>
          <w:tcPr>
            <w:tcW w:w="7740" w:type="dxa"/>
          </w:tcPr>
          <w:p w14:paraId="3CF1A395" w14:textId="77777777" w:rsidR="00C64F58" w:rsidRPr="00C01DE6" w:rsidRDefault="00B10439" w:rsidP="00B10439">
            <w:pPr>
              <w:pStyle w:val="BlockText"/>
              <w:rPr>
                <w:lang w:val="en"/>
              </w:rPr>
            </w:pPr>
            <w:r w:rsidRPr="00C01DE6">
              <w:rPr>
                <w:lang w:val="en"/>
              </w:rPr>
              <w:t xml:space="preserve">When conducting a hearing VA personnel are expected to </w:t>
            </w:r>
          </w:p>
          <w:p w14:paraId="7AF90A3C" w14:textId="77777777" w:rsidR="002F0252" w:rsidRPr="00C01DE6" w:rsidRDefault="002F0252" w:rsidP="00B10439">
            <w:pPr>
              <w:pStyle w:val="BlockText"/>
              <w:rPr>
                <w:lang w:val="en"/>
              </w:rPr>
            </w:pPr>
          </w:p>
          <w:p w14:paraId="1D1D6891" w14:textId="77777777" w:rsidR="00C64F58" w:rsidRPr="00C01DE6" w:rsidRDefault="00C64F58" w:rsidP="00C64F58">
            <w:pPr>
              <w:pStyle w:val="BulletText1"/>
              <w:rPr>
                <w:lang w:val="en"/>
              </w:rPr>
            </w:pPr>
            <w:r w:rsidRPr="00C01DE6">
              <w:rPr>
                <w:lang w:val="en"/>
              </w:rPr>
              <w:t>act with decorum</w:t>
            </w:r>
            <w:r w:rsidR="000701AE" w:rsidRPr="00C01DE6">
              <w:rPr>
                <w:lang w:val="en"/>
              </w:rPr>
              <w:t>,</w:t>
            </w:r>
            <w:r w:rsidRPr="00C01DE6">
              <w:rPr>
                <w:lang w:val="en"/>
              </w:rPr>
              <w:t xml:space="preserve"> and</w:t>
            </w:r>
          </w:p>
          <w:p w14:paraId="0C414990" w14:textId="77777777" w:rsidR="00B10439" w:rsidRPr="00C01DE6" w:rsidRDefault="00C64F58" w:rsidP="00C64F58">
            <w:pPr>
              <w:pStyle w:val="BulletText1"/>
              <w:rPr>
                <w:lang w:val="en"/>
              </w:rPr>
            </w:pPr>
            <w:proofErr w:type="gramStart"/>
            <w:r w:rsidRPr="00C01DE6">
              <w:rPr>
                <w:lang w:val="en"/>
              </w:rPr>
              <w:t>p</w:t>
            </w:r>
            <w:r w:rsidR="00B10439" w:rsidRPr="00C01DE6">
              <w:rPr>
                <w:lang w:val="en"/>
              </w:rPr>
              <w:t>resent</w:t>
            </w:r>
            <w:proofErr w:type="gramEnd"/>
            <w:r w:rsidR="00B10439" w:rsidRPr="00C01DE6">
              <w:rPr>
                <w:lang w:val="en"/>
              </w:rPr>
              <w:t xml:space="preserve"> a professional appearance.  </w:t>
            </w:r>
          </w:p>
          <w:p w14:paraId="3FAFC658" w14:textId="77777777" w:rsidR="00B10439" w:rsidRPr="00C01DE6" w:rsidRDefault="00B10439" w:rsidP="00B10439">
            <w:pPr>
              <w:pStyle w:val="BlockText"/>
              <w:rPr>
                <w:lang w:val="en"/>
              </w:rPr>
            </w:pPr>
          </w:p>
          <w:p w14:paraId="5558FE2D" w14:textId="77777777" w:rsidR="00B10439" w:rsidRPr="00C01DE6" w:rsidRDefault="00B10439" w:rsidP="00B10439">
            <w:pPr>
              <w:pStyle w:val="BlockText"/>
              <w:rPr>
                <w:lang w:val="en"/>
              </w:rPr>
            </w:pPr>
            <w:r w:rsidRPr="00C01DE6">
              <w:rPr>
                <w:b/>
                <w:i/>
                <w:lang w:val="en"/>
              </w:rPr>
              <w:t>Decorum</w:t>
            </w:r>
            <w:r w:rsidRPr="00C01DE6">
              <w:rPr>
                <w:lang w:val="en"/>
              </w:rPr>
              <w:t xml:space="preserve"> means that hearing officials must </w:t>
            </w:r>
          </w:p>
          <w:p w14:paraId="13DD2504" w14:textId="77777777" w:rsidR="002F0252" w:rsidRPr="00C01DE6" w:rsidRDefault="002F0252" w:rsidP="00B10439">
            <w:pPr>
              <w:pStyle w:val="BlockText"/>
              <w:rPr>
                <w:lang w:val="en"/>
              </w:rPr>
            </w:pPr>
          </w:p>
          <w:p w14:paraId="521BE6E1" w14:textId="77777777" w:rsidR="007B260B" w:rsidRPr="00C01DE6" w:rsidRDefault="00B10439" w:rsidP="007B260B">
            <w:pPr>
              <w:pStyle w:val="BulletText1"/>
            </w:pPr>
            <w:r w:rsidRPr="00C01DE6">
              <w:t>treat the claimant, witnesses and representative with courtesy</w:t>
            </w:r>
            <w:r w:rsidR="007B260B" w:rsidRPr="00C01DE6">
              <w:t>, even when witnesses</w:t>
            </w:r>
            <w:r w:rsidR="006E3731" w:rsidRPr="00C01DE6">
              <w:t xml:space="preserve"> may be angry,</w:t>
            </w:r>
            <w:r w:rsidR="00657D22" w:rsidRPr="00C01DE6">
              <w:t xml:space="preserve"> irritable or</w:t>
            </w:r>
            <w:r w:rsidR="007B260B" w:rsidRPr="00C01DE6">
              <w:t xml:space="preserve"> critical </w:t>
            </w:r>
          </w:p>
          <w:p w14:paraId="13751A1C" w14:textId="77777777" w:rsidR="007B260B" w:rsidRPr="00C01DE6" w:rsidRDefault="007B260B" w:rsidP="007B260B">
            <w:pPr>
              <w:pStyle w:val="BulletText1"/>
            </w:pPr>
            <w:r w:rsidRPr="00C01DE6">
              <w:t>p</w:t>
            </w:r>
            <w:r w:rsidR="00187D7A" w:rsidRPr="00C01DE6">
              <w:t>ay close attention to the proceedings</w:t>
            </w:r>
            <w:r w:rsidR="00B63F36" w:rsidRPr="00C01DE6">
              <w:t>, and</w:t>
            </w:r>
          </w:p>
          <w:p w14:paraId="0E776BE2" w14:textId="77777777" w:rsidR="007B260B" w:rsidRPr="00C01DE6" w:rsidRDefault="007B260B" w:rsidP="007B260B">
            <w:pPr>
              <w:pStyle w:val="BulletText1"/>
            </w:pPr>
            <w:proofErr w:type="gramStart"/>
            <w:r w:rsidRPr="00C01DE6">
              <w:t>be</w:t>
            </w:r>
            <w:proofErr w:type="gramEnd"/>
            <w:r w:rsidRPr="00C01DE6">
              <w:t xml:space="preserve"> objective and fair in questioning or comments made during the hearing</w:t>
            </w:r>
            <w:r w:rsidR="000701AE" w:rsidRPr="00C01DE6">
              <w:t>.</w:t>
            </w:r>
          </w:p>
          <w:p w14:paraId="16726A10" w14:textId="77777777" w:rsidR="007B260B" w:rsidRPr="00C01DE6" w:rsidRDefault="000701AE" w:rsidP="007B260B">
            <w:pPr>
              <w:pStyle w:val="BulletText2"/>
            </w:pPr>
            <w:r w:rsidRPr="00C01DE6">
              <w:t>D</w:t>
            </w:r>
            <w:r w:rsidR="007B260B" w:rsidRPr="00C01DE6">
              <w:t>o not express personal feelings or biases</w:t>
            </w:r>
            <w:r w:rsidR="00654327" w:rsidRPr="00C01DE6">
              <w:t>,</w:t>
            </w:r>
            <w:r w:rsidR="007B260B" w:rsidRPr="00C01DE6">
              <w:t xml:space="preserve"> or allow those to in</w:t>
            </w:r>
            <w:r w:rsidR="00654327" w:rsidRPr="00C01DE6">
              <w:t>fluence the hearing proceedings.</w:t>
            </w:r>
          </w:p>
          <w:p w14:paraId="3E5B9AB0" w14:textId="77777777" w:rsidR="007B260B" w:rsidRPr="00C01DE6" w:rsidRDefault="000701AE" w:rsidP="007B260B">
            <w:pPr>
              <w:pStyle w:val="BulletText2"/>
            </w:pPr>
            <w:r w:rsidRPr="00C01DE6">
              <w:t>D</w:t>
            </w:r>
            <w:r w:rsidR="007B260B" w:rsidRPr="00C01DE6">
              <w:t>o not express skepticism</w:t>
            </w:r>
            <w:r w:rsidR="00654327" w:rsidRPr="00C01DE6">
              <w:t xml:space="preserve">, </w:t>
            </w:r>
            <w:r w:rsidR="007B260B" w:rsidRPr="00C01DE6">
              <w:t>sarcasm</w:t>
            </w:r>
            <w:r w:rsidR="00654327" w:rsidRPr="00C01DE6">
              <w:t xml:space="preserve"> or anger</w:t>
            </w:r>
            <w:r w:rsidR="007B260B" w:rsidRPr="00C01DE6">
              <w:t xml:space="preserve"> in response to testimony</w:t>
            </w:r>
            <w:r w:rsidRPr="00C01DE6">
              <w:t>.</w:t>
            </w:r>
          </w:p>
          <w:p w14:paraId="5B4A3897" w14:textId="77777777" w:rsidR="000A4B93" w:rsidRPr="00C01DE6" w:rsidRDefault="000701AE" w:rsidP="007B260B">
            <w:pPr>
              <w:pStyle w:val="BulletText2"/>
            </w:pPr>
            <w:r w:rsidRPr="00C01DE6">
              <w:t>D</w:t>
            </w:r>
            <w:r w:rsidR="000A4B93" w:rsidRPr="00C01DE6">
              <w:t>o not engage in a cross-examining style of questioning</w:t>
            </w:r>
            <w:r w:rsidRPr="00C01DE6">
              <w:t>.</w:t>
            </w:r>
            <w:r w:rsidR="000A4B93" w:rsidRPr="00C01DE6">
              <w:t xml:space="preserve"> </w:t>
            </w:r>
          </w:p>
          <w:p w14:paraId="4969CCDA" w14:textId="77777777" w:rsidR="007B260B" w:rsidRPr="00C01DE6" w:rsidRDefault="000701AE" w:rsidP="000701AE">
            <w:pPr>
              <w:pStyle w:val="BulletText2"/>
            </w:pPr>
            <w:r w:rsidRPr="00C01DE6">
              <w:t>D</w:t>
            </w:r>
            <w:r w:rsidR="000A4B93" w:rsidRPr="00C01DE6">
              <w:t xml:space="preserve">o not give any suggestion </w:t>
            </w:r>
            <w:r w:rsidR="00654327" w:rsidRPr="00C01DE6">
              <w:t>of having</w:t>
            </w:r>
            <w:r w:rsidR="000A4B93" w:rsidRPr="00C01DE6">
              <w:t xml:space="preserve"> prejudged the issue.</w:t>
            </w:r>
          </w:p>
          <w:p w14:paraId="7AE4926C" w14:textId="77777777" w:rsidR="00821C07" w:rsidRPr="00C01DE6" w:rsidRDefault="00821C07" w:rsidP="00C64F58">
            <w:pPr>
              <w:pStyle w:val="BlockText"/>
            </w:pPr>
          </w:p>
          <w:p w14:paraId="2DD22129" w14:textId="77777777" w:rsidR="00C64F58" w:rsidRPr="00C01DE6" w:rsidRDefault="000A4B93" w:rsidP="00337638">
            <w:pPr>
              <w:pStyle w:val="BlockText"/>
            </w:pPr>
            <w:r w:rsidRPr="00C01DE6">
              <w:rPr>
                <w:b/>
                <w:i/>
              </w:rPr>
              <w:t>Professional appearance</w:t>
            </w:r>
            <w:r w:rsidRPr="00C01DE6">
              <w:t xml:space="preserve"> must be judged by local office directives for the standard of dress expected for interaction with claimants.  Except in the case of unusual or </w:t>
            </w:r>
            <w:r w:rsidR="00337638" w:rsidRPr="00C01DE6">
              <w:t>unforeseen</w:t>
            </w:r>
            <w:r w:rsidRPr="00C01DE6">
              <w:t xml:space="preserve"> circumstances </w:t>
            </w:r>
            <w:r w:rsidR="00AD5A43" w:rsidRPr="00C01DE6">
              <w:t>(for example, an employee</w:t>
            </w:r>
            <w:r w:rsidR="00350F0B" w:rsidRPr="00C01DE6">
              <w:t xml:space="preserve"> </w:t>
            </w:r>
            <w:r w:rsidR="00AD5A43" w:rsidRPr="00C01DE6">
              <w:t xml:space="preserve">is assigned the task of holding a priority </w:t>
            </w:r>
            <w:r w:rsidR="00350F0B" w:rsidRPr="00C01DE6">
              <w:t xml:space="preserve">hearing </w:t>
            </w:r>
            <w:r w:rsidR="00AD5A43" w:rsidRPr="00C01DE6">
              <w:t>the same day</w:t>
            </w:r>
            <w:r w:rsidR="00350F0B" w:rsidRPr="00C01DE6">
              <w:t xml:space="preserve"> and an alternative hearing official is not available) c</w:t>
            </w:r>
            <w:r w:rsidRPr="00C01DE6">
              <w:t xml:space="preserve">asual </w:t>
            </w:r>
            <w:r w:rsidR="00337638" w:rsidRPr="00C01DE6">
              <w:t>outfit</w:t>
            </w:r>
            <w:r w:rsidRPr="00C01DE6">
              <w:t xml:space="preserve"> </w:t>
            </w:r>
            <w:r w:rsidR="00350F0B" w:rsidRPr="00C01DE6">
              <w:t xml:space="preserve">such as tennis shoes, </w:t>
            </w:r>
            <w:r w:rsidRPr="00C01DE6">
              <w:t>tee shirts</w:t>
            </w:r>
            <w:r w:rsidR="000701AE" w:rsidRPr="00C01DE6">
              <w:t>,</w:t>
            </w:r>
            <w:r w:rsidR="00350F0B" w:rsidRPr="00C01DE6">
              <w:t xml:space="preserve"> and jeans, </w:t>
            </w:r>
            <w:r w:rsidR="00337638" w:rsidRPr="00C01DE6">
              <w:t>are</w:t>
            </w:r>
            <w:r w:rsidR="000701AE" w:rsidRPr="00C01DE6">
              <w:t xml:space="preserve"> not acceptable</w:t>
            </w:r>
            <w:r w:rsidR="00350F0B" w:rsidRPr="00C01DE6">
              <w:t>.</w:t>
            </w:r>
            <w:r w:rsidRPr="00C01DE6">
              <w:t xml:space="preserve"> </w:t>
            </w:r>
          </w:p>
        </w:tc>
      </w:tr>
    </w:tbl>
    <w:p w14:paraId="7DC0311B"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23C511A9" w14:textId="77777777">
        <w:trPr>
          <w:cantSplit/>
        </w:trPr>
        <w:tc>
          <w:tcPr>
            <w:tcW w:w="1728" w:type="dxa"/>
          </w:tcPr>
          <w:p w14:paraId="5128C2FB" w14:textId="77777777" w:rsidR="00821C07" w:rsidRPr="00C01DE6" w:rsidRDefault="0016393B">
            <w:pPr>
              <w:pStyle w:val="Heading5"/>
            </w:pPr>
            <w:proofErr w:type="gramStart"/>
            <w:r w:rsidRPr="00C01DE6">
              <w:t>c</w:t>
            </w:r>
            <w:r w:rsidR="00187D7A" w:rsidRPr="00C01DE6">
              <w:t>.  Obligation</w:t>
            </w:r>
            <w:proofErr w:type="gramEnd"/>
            <w:r w:rsidR="00187D7A" w:rsidRPr="00C01DE6">
              <w:t xml:space="preserve"> to Assist in Developing Facts</w:t>
            </w:r>
          </w:p>
        </w:tc>
        <w:tc>
          <w:tcPr>
            <w:tcW w:w="7740" w:type="dxa"/>
          </w:tcPr>
          <w:p w14:paraId="23CCFFDC" w14:textId="77777777" w:rsidR="00187D7A" w:rsidRPr="00C01DE6" w:rsidRDefault="00187D7A" w:rsidP="00187D7A">
            <w:pPr>
              <w:pStyle w:val="BlockText"/>
            </w:pPr>
            <w:r w:rsidRPr="00C01DE6">
              <w:t xml:space="preserve">VA is obligated to assist the claimant in developing facts pertinent to the claim.  </w:t>
            </w:r>
            <w:r w:rsidR="007B260B" w:rsidRPr="00C01DE6">
              <w:t xml:space="preserve">Express an openly positive interest in assisting the claimant and as indicated by </w:t>
            </w:r>
            <w:r w:rsidR="00337638" w:rsidRPr="00C01DE6">
              <w:t>the claims folder</w:t>
            </w:r>
            <w:r w:rsidR="007B260B" w:rsidRPr="00C01DE6">
              <w:t xml:space="preserve"> and the hearing proceedings, m</w:t>
            </w:r>
            <w:r w:rsidRPr="00C01DE6">
              <w:t xml:space="preserve">ake suggestions to the claimant as to the submission of evidence </w:t>
            </w:r>
          </w:p>
          <w:p w14:paraId="0A806B40" w14:textId="77777777" w:rsidR="00187D7A" w:rsidRPr="00C01DE6" w:rsidRDefault="00187D7A" w:rsidP="00187D7A">
            <w:pPr>
              <w:pStyle w:val="BlockText"/>
            </w:pPr>
          </w:p>
          <w:p w14:paraId="7B9F1EEF" w14:textId="77777777" w:rsidR="00187D7A" w:rsidRPr="00C01DE6" w:rsidRDefault="00187D7A" w:rsidP="008E62BE">
            <w:pPr>
              <w:numPr>
                <w:ilvl w:val="0"/>
                <w:numId w:val="6"/>
              </w:numPr>
              <w:ind w:left="158" w:hanging="187"/>
            </w:pPr>
            <w:r w:rsidRPr="00C01DE6">
              <w:t xml:space="preserve">that the claimant may have overlooked, and </w:t>
            </w:r>
          </w:p>
          <w:p w14:paraId="2272A8DE" w14:textId="77777777" w:rsidR="00821C07" w:rsidRPr="00C01DE6" w:rsidRDefault="00187D7A" w:rsidP="008E62BE">
            <w:pPr>
              <w:numPr>
                <w:ilvl w:val="0"/>
                <w:numId w:val="7"/>
              </w:numPr>
              <w:ind w:left="158" w:hanging="187"/>
            </w:pPr>
            <w:proofErr w:type="gramStart"/>
            <w:r w:rsidRPr="00C01DE6">
              <w:t>that</w:t>
            </w:r>
            <w:proofErr w:type="gramEnd"/>
            <w:r w:rsidRPr="00C01DE6">
              <w:t xml:space="preserve"> would be advantageous to his/her position.</w:t>
            </w:r>
          </w:p>
        </w:tc>
      </w:tr>
    </w:tbl>
    <w:p w14:paraId="5A433F09" w14:textId="77777777" w:rsidR="00821C07" w:rsidRPr="00C01DE6" w:rsidRDefault="00821C07" w:rsidP="00A842B2">
      <w:pPr>
        <w:pStyle w:val="BlockLine"/>
      </w:pPr>
    </w:p>
    <w:tbl>
      <w:tblPr>
        <w:tblW w:w="0" w:type="auto"/>
        <w:tblLayout w:type="fixed"/>
        <w:tblLook w:val="0000" w:firstRow="0" w:lastRow="0" w:firstColumn="0" w:lastColumn="0" w:noHBand="0" w:noVBand="0"/>
      </w:tblPr>
      <w:tblGrid>
        <w:gridCol w:w="1728"/>
        <w:gridCol w:w="7740"/>
      </w:tblGrid>
      <w:tr w:rsidR="00F6026F" w:rsidRPr="00C01DE6" w14:paraId="4BC1AF83" w14:textId="77777777" w:rsidTr="00F6026F">
        <w:tc>
          <w:tcPr>
            <w:tcW w:w="1728" w:type="dxa"/>
            <w:shd w:val="clear" w:color="auto" w:fill="auto"/>
          </w:tcPr>
          <w:p w14:paraId="60D6106A" w14:textId="77777777" w:rsidR="00F6026F" w:rsidRPr="00C01DE6" w:rsidRDefault="00F6026F" w:rsidP="00F6026F">
            <w:pPr>
              <w:pStyle w:val="Heading5"/>
            </w:pPr>
            <w:proofErr w:type="gramStart"/>
            <w:r w:rsidRPr="00C01DE6">
              <w:t>d.  Prohibition</w:t>
            </w:r>
            <w:proofErr w:type="gramEnd"/>
            <w:r w:rsidRPr="00C01DE6">
              <w:t xml:space="preserve"> Against Conveying an “Expected” Decision during a Hearing</w:t>
            </w:r>
          </w:p>
        </w:tc>
        <w:tc>
          <w:tcPr>
            <w:tcW w:w="7740" w:type="dxa"/>
            <w:shd w:val="clear" w:color="auto" w:fill="auto"/>
          </w:tcPr>
          <w:p w14:paraId="0F408BAD" w14:textId="77777777" w:rsidR="00F6026F" w:rsidRPr="00C01DE6" w:rsidRDefault="00F6026F" w:rsidP="00F6026F">
            <w:pPr>
              <w:pStyle w:val="BlockText"/>
            </w:pPr>
            <w:r w:rsidRPr="00C01DE6">
              <w:t xml:space="preserve">The hearing official must not communicate a planned, anticipated or expected decision, or imply that a decision has been reached during the hearing. </w:t>
            </w:r>
          </w:p>
          <w:p w14:paraId="3A3B252B" w14:textId="77777777" w:rsidR="00F6026F" w:rsidRPr="00C01DE6" w:rsidRDefault="00F6026F" w:rsidP="00F6026F">
            <w:pPr>
              <w:pStyle w:val="BlockText"/>
            </w:pPr>
          </w:p>
          <w:p w14:paraId="0A0DBABE" w14:textId="77777777" w:rsidR="00F6026F" w:rsidRPr="00C01DE6" w:rsidRDefault="00F6026F" w:rsidP="00F6026F">
            <w:pPr>
              <w:pStyle w:val="BlockText"/>
            </w:pPr>
            <w:r w:rsidRPr="00C01DE6">
              <w:t>If the claimant/beneficiary, representative, or other hearing attendee asks what the decision will be, the hearing officer may say only that the decision will be communicated in writing after all the evidence is obtained and considered</w:t>
            </w:r>
            <w:r w:rsidR="007141CE" w:rsidRPr="00C01DE6">
              <w:t>.</w:t>
            </w:r>
          </w:p>
        </w:tc>
      </w:tr>
    </w:tbl>
    <w:p w14:paraId="60772009" w14:textId="77777777" w:rsidR="00F6026F" w:rsidRPr="00C01DE6" w:rsidRDefault="00F6026F" w:rsidP="00F6026F">
      <w:pPr>
        <w:pStyle w:val="BlockLine"/>
      </w:pPr>
    </w:p>
    <w:tbl>
      <w:tblPr>
        <w:tblW w:w="0" w:type="auto"/>
        <w:tblLayout w:type="fixed"/>
        <w:tblLook w:val="0000" w:firstRow="0" w:lastRow="0" w:firstColumn="0" w:lastColumn="0" w:noHBand="0" w:noVBand="0"/>
      </w:tblPr>
      <w:tblGrid>
        <w:gridCol w:w="1728"/>
        <w:gridCol w:w="7740"/>
      </w:tblGrid>
      <w:tr w:rsidR="00A842B2" w:rsidRPr="00C01DE6" w14:paraId="4B82E08C" w14:textId="77777777" w:rsidTr="00A842B2">
        <w:tc>
          <w:tcPr>
            <w:tcW w:w="1728" w:type="dxa"/>
            <w:shd w:val="clear" w:color="auto" w:fill="auto"/>
          </w:tcPr>
          <w:p w14:paraId="5514E53E" w14:textId="77777777" w:rsidR="00A842B2" w:rsidRPr="00C01DE6" w:rsidRDefault="00A842B2" w:rsidP="00BA4AF5">
            <w:pPr>
              <w:pStyle w:val="Heading5"/>
            </w:pPr>
            <w:proofErr w:type="gramStart"/>
            <w:r w:rsidRPr="00C01DE6">
              <w:t>e.</w:t>
            </w:r>
            <w:r w:rsidR="00681D45" w:rsidRPr="00C01DE6">
              <w:t xml:space="preserve">  </w:t>
            </w:r>
            <w:r w:rsidR="00BA4AF5" w:rsidRPr="00C01DE6">
              <w:t>Inappropriate</w:t>
            </w:r>
            <w:proofErr w:type="gramEnd"/>
            <w:r w:rsidRPr="00C01DE6">
              <w:t xml:space="preserve"> </w:t>
            </w:r>
            <w:r w:rsidR="00BA4AF5" w:rsidRPr="00C01DE6">
              <w:t>Behavior by Hearing Attendees</w:t>
            </w:r>
          </w:p>
        </w:tc>
        <w:tc>
          <w:tcPr>
            <w:tcW w:w="7740" w:type="dxa"/>
            <w:shd w:val="clear" w:color="auto" w:fill="auto"/>
          </w:tcPr>
          <w:p w14:paraId="1DAB4B8D" w14:textId="77777777" w:rsidR="00A842B2" w:rsidRPr="00C01DE6" w:rsidRDefault="00D30C6D" w:rsidP="00A842B2">
            <w:pPr>
              <w:pStyle w:val="BlockText"/>
            </w:pPr>
            <w:r w:rsidRPr="00C01DE6">
              <w:t>The hearing official has discretion to terminate a hearing for i</w:t>
            </w:r>
            <w:r w:rsidR="00BA4AF5" w:rsidRPr="00C01DE6">
              <w:t>nappropriate</w:t>
            </w:r>
            <w:r w:rsidR="00590A9D" w:rsidRPr="00C01DE6">
              <w:t xml:space="preserve"> (</w:t>
            </w:r>
            <w:r w:rsidR="00BA4AF5" w:rsidRPr="00C01DE6">
              <w:t>a</w:t>
            </w:r>
            <w:r w:rsidR="00A842B2" w:rsidRPr="00C01DE6">
              <w:t>busive, disrespectful, aggressive or violent</w:t>
            </w:r>
            <w:r w:rsidR="00590A9D" w:rsidRPr="00C01DE6">
              <w:t>)</w:t>
            </w:r>
            <w:r w:rsidR="005A6258" w:rsidRPr="00C01DE6">
              <w:t xml:space="preserve"> behavior by </w:t>
            </w:r>
            <w:r w:rsidR="00BA4AF5" w:rsidRPr="00C01DE6">
              <w:t>hearing attendees.  Such behavior includes</w:t>
            </w:r>
            <w:r w:rsidR="00590A9D" w:rsidRPr="00C01DE6">
              <w:t>, but is not limited to</w:t>
            </w:r>
            <w:r w:rsidR="00A842B2" w:rsidRPr="00C01DE6">
              <w:t xml:space="preserve"> </w:t>
            </w:r>
          </w:p>
          <w:p w14:paraId="4F7E1366" w14:textId="77777777" w:rsidR="00D30C6D" w:rsidRPr="00C01DE6" w:rsidRDefault="00D30C6D" w:rsidP="00A842B2">
            <w:pPr>
              <w:pStyle w:val="BlockText"/>
            </w:pPr>
          </w:p>
          <w:p w14:paraId="32BB0C38" w14:textId="77777777" w:rsidR="00BA4AF5" w:rsidRPr="00C01DE6" w:rsidRDefault="00BA4AF5" w:rsidP="00BA4AF5">
            <w:pPr>
              <w:pStyle w:val="BulletText1"/>
            </w:pPr>
            <w:r w:rsidRPr="00C01DE6">
              <w:t>repeated interruption of the hearing official</w:t>
            </w:r>
          </w:p>
          <w:p w14:paraId="4CD083DB" w14:textId="77777777" w:rsidR="00BA4AF5" w:rsidRPr="00C01DE6" w:rsidRDefault="00BA4AF5" w:rsidP="00BA4AF5">
            <w:pPr>
              <w:pStyle w:val="BulletText1"/>
            </w:pPr>
            <w:r w:rsidRPr="00C01DE6">
              <w:t>yelling</w:t>
            </w:r>
          </w:p>
          <w:p w14:paraId="765F3548" w14:textId="77777777" w:rsidR="00BA4AF5" w:rsidRPr="00C01DE6" w:rsidRDefault="00BA4AF5" w:rsidP="00BA4AF5">
            <w:pPr>
              <w:pStyle w:val="BulletText1"/>
            </w:pPr>
            <w:r w:rsidRPr="00C01DE6">
              <w:lastRenderedPageBreak/>
              <w:t>i</w:t>
            </w:r>
            <w:r w:rsidR="00A842B2" w:rsidRPr="00C01DE6">
              <w:t>nsults</w:t>
            </w:r>
            <w:r w:rsidRPr="00C01DE6">
              <w:t xml:space="preserve"> or </w:t>
            </w:r>
            <w:r w:rsidR="00A842B2" w:rsidRPr="00C01DE6">
              <w:t>demeaning</w:t>
            </w:r>
            <w:r w:rsidRPr="00C01DE6">
              <w:t>/disrespectful</w:t>
            </w:r>
            <w:r w:rsidR="00A842B2" w:rsidRPr="00C01DE6">
              <w:t xml:space="preserve"> comments</w:t>
            </w:r>
            <w:r w:rsidRPr="00C01DE6">
              <w:t xml:space="preserve"> directed at the hearing official or any other hearing participant</w:t>
            </w:r>
          </w:p>
          <w:p w14:paraId="3D8C0B5C" w14:textId="1EDA6A89" w:rsidR="00A842B2" w:rsidRPr="00C01DE6" w:rsidRDefault="00A842B2" w:rsidP="00E22EFD">
            <w:pPr>
              <w:pStyle w:val="BulletText1"/>
            </w:pPr>
            <w:r w:rsidRPr="00C01DE6">
              <w:t xml:space="preserve">sexual comments </w:t>
            </w:r>
            <w:r w:rsidR="00BA4AF5" w:rsidRPr="00C01DE6">
              <w:t xml:space="preserve">directed at the hearing official or any other hearing participant or that does not bear on </w:t>
            </w:r>
            <w:r w:rsidRPr="00C01DE6">
              <w:t>the issues</w:t>
            </w:r>
            <w:r w:rsidR="00CF2275" w:rsidRPr="00C01DE6">
              <w:t xml:space="preserve"> (for example a sexual assault </w:t>
            </w:r>
            <w:r w:rsidR="005E26A7" w:rsidRPr="00C01DE6">
              <w:t>posttraumatic stress disorder (</w:t>
            </w:r>
            <w:r w:rsidR="00CF2275" w:rsidRPr="00C01DE6">
              <w:t>PTSD</w:t>
            </w:r>
            <w:r w:rsidR="005E26A7" w:rsidRPr="00C01DE6">
              <w:t>)</w:t>
            </w:r>
            <w:r w:rsidR="00CF2275" w:rsidRPr="00C01DE6">
              <w:t xml:space="preserve"> issue)</w:t>
            </w:r>
          </w:p>
          <w:p w14:paraId="409C9A2B" w14:textId="77777777" w:rsidR="00BA4AF5" w:rsidRPr="00C01DE6" w:rsidRDefault="00BA4AF5" w:rsidP="00BA4AF5">
            <w:pPr>
              <w:pStyle w:val="BulletText1"/>
            </w:pPr>
            <w:r w:rsidRPr="00C01DE6">
              <w:t>threatening/menacing behavior</w:t>
            </w:r>
            <w:r w:rsidR="007141CE" w:rsidRPr="00C01DE6">
              <w:t>, and/or</w:t>
            </w:r>
          </w:p>
          <w:p w14:paraId="52D343FA" w14:textId="77777777" w:rsidR="00E22EFD" w:rsidRPr="00C01DE6" w:rsidRDefault="00A842B2" w:rsidP="00E22EFD">
            <w:pPr>
              <w:pStyle w:val="BulletText1"/>
            </w:pPr>
            <w:proofErr w:type="gramStart"/>
            <w:r w:rsidRPr="00C01DE6">
              <w:t>inappropriate</w:t>
            </w:r>
            <w:proofErr w:type="gramEnd"/>
            <w:r w:rsidRPr="00C01DE6">
              <w:t xml:space="preserve"> touching</w:t>
            </w:r>
            <w:r w:rsidR="00E22EFD" w:rsidRPr="00C01DE6">
              <w:t>,</w:t>
            </w:r>
            <w:r w:rsidR="005A6258" w:rsidRPr="00C01DE6">
              <w:t xml:space="preserve"> </w:t>
            </w:r>
            <w:r w:rsidR="00E22EFD" w:rsidRPr="00C01DE6">
              <w:t>assault or battery</w:t>
            </w:r>
            <w:r w:rsidR="007141CE" w:rsidRPr="00C01DE6">
              <w:t>.</w:t>
            </w:r>
          </w:p>
          <w:p w14:paraId="0DE3BE4B" w14:textId="77777777" w:rsidR="00BA4AF5" w:rsidRPr="00C01DE6" w:rsidRDefault="00BA4AF5" w:rsidP="00A842B2">
            <w:pPr>
              <w:pStyle w:val="BlockText"/>
            </w:pPr>
          </w:p>
          <w:p w14:paraId="7507E902" w14:textId="77777777" w:rsidR="00BA4AF5" w:rsidRPr="00C01DE6" w:rsidRDefault="005A6258" w:rsidP="005A6258">
            <w:pPr>
              <w:pStyle w:val="BlockText"/>
            </w:pPr>
            <w:r w:rsidRPr="00C01DE6">
              <w:t xml:space="preserve">The table below provides guidance on how the hearing official should </w:t>
            </w:r>
            <w:r w:rsidR="001810B9" w:rsidRPr="00C01DE6">
              <w:t>respond to inappropriate behavior</w:t>
            </w:r>
            <w:r w:rsidRPr="00C01DE6">
              <w:t xml:space="preserve"> by hearing attendees.</w:t>
            </w:r>
          </w:p>
        </w:tc>
      </w:tr>
    </w:tbl>
    <w:p w14:paraId="76ED2735" w14:textId="77777777" w:rsidR="00A842B2" w:rsidRPr="00C01DE6" w:rsidRDefault="00A842B2" w:rsidP="001810B9"/>
    <w:tbl>
      <w:tblPr>
        <w:tblW w:w="7646"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7"/>
        <w:gridCol w:w="4659"/>
      </w:tblGrid>
      <w:tr w:rsidR="001810B9" w:rsidRPr="00C01DE6" w14:paraId="7BDBB699" w14:textId="77777777" w:rsidTr="00337638">
        <w:tc>
          <w:tcPr>
            <w:tcW w:w="1953" w:type="pct"/>
            <w:shd w:val="clear" w:color="auto" w:fill="auto"/>
          </w:tcPr>
          <w:p w14:paraId="03061FFB" w14:textId="77777777" w:rsidR="001810B9" w:rsidRPr="00C01DE6" w:rsidRDefault="001810B9" w:rsidP="001810B9">
            <w:pPr>
              <w:pStyle w:val="TableHeaderText"/>
              <w:jc w:val="left"/>
            </w:pPr>
            <w:r w:rsidRPr="00C01DE6">
              <w:t>If ...</w:t>
            </w:r>
          </w:p>
        </w:tc>
        <w:tc>
          <w:tcPr>
            <w:tcW w:w="3047" w:type="pct"/>
            <w:shd w:val="clear" w:color="auto" w:fill="auto"/>
          </w:tcPr>
          <w:p w14:paraId="1D05A01A" w14:textId="77777777" w:rsidR="001810B9" w:rsidRPr="00C01DE6" w:rsidRDefault="001810B9" w:rsidP="001810B9">
            <w:pPr>
              <w:pStyle w:val="TableHeaderText"/>
              <w:jc w:val="left"/>
            </w:pPr>
            <w:r w:rsidRPr="00C01DE6">
              <w:t>Then ...</w:t>
            </w:r>
          </w:p>
        </w:tc>
      </w:tr>
      <w:tr w:rsidR="001810B9" w:rsidRPr="00C01DE6" w14:paraId="00A7552F" w14:textId="77777777" w:rsidTr="00337638">
        <w:tc>
          <w:tcPr>
            <w:tcW w:w="1953" w:type="pct"/>
            <w:shd w:val="clear" w:color="auto" w:fill="auto"/>
          </w:tcPr>
          <w:p w14:paraId="36F9026B" w14:textId="77777777" w:rsidR="001810B9" w:rsidRPr="00C01DE6" w:rsidRDefault="001810B9" w:rsidP="001810B9">
            <w:pPr>
              <w:pStyle w:val="TableText"/>
            </w:pPr>
            <w:r w:rsidRPr="00C01DE6">
              <w:t>there is any perceived risk of violence/harm to any hearing attendee</w:t>
            </w:r>
          </w:p>
        </w:tc>
        <w:tc>
          <w:tcPr>
            <w:tcW w:w="3047" w:type="pct"/>
            <w:shd w:val="clear" w:color="auto" w:fill="auto"/>
          </w:tcPr>
          <w:p w14:paraId="09DE9FDC" w14:textId="77777777" w:rsidR="001C7ED2" w:rsidRPr="00C01DE6" w:rsidRDefault="001810B9" w:rsidP="008E62BE">
            <w:pPr>
              <w:numPr>
                <w:ilvl w:val="0"/>
                <w:numId w:val="12"/>
              </w:numPr>
              <w:ind w:left="158" w:hanging="187"/>
            </w:pPr>
            <w:proofErr w:type="gramStart"/>
            <w:r w:rsidRPr="00C01DE6">
              <w:rPr>
                <w:b/>
                <w:i/>
              </w:rPr>
              <w:t>follow</w:t>
            </w:r>
            <w:proofErr w:type="gramEnd"/>
            <w:r w:rsidRPr="00C01DE6">
              <w:rPr>
                <w:b/>
                <w:i/>
              </w:rPr>
              <w:t xml:space="preserve"> local office emergency/security procedures</w:t>
            </w:r>
            <w:r w:rsidRPr="00C01DE6">
              <w:t xml:space="preserve">.  </w:t>
            </w:r>
          </w:p>
          <w:p w14:paraId="3CA77E5C" w14:textId="77777777" w:rsidR="001C7ED2" w:rsidRPr="00C01DE6" w:rsidRDefault="004531E2" w:rsidP="0023714C">
            <w:pPr>
              <w:numPr>
                <w:ilvl w:val="0"/>
                <w:numId w:val="13"/>
              </w:numPr>
              <w:ind w:left="158" w:hanging="187"/>
            </w:pPr>
            <w:r w:rsidRPr="00C01DE6">
              <w:t>In emergent circumstances, the hearing official is not expected to notify the hearing attendees that the hearing is being terminated.</w:t>
            </w:r>
          </w:p>
        </w:tc>
      </w:tr>
      <w:tr w:rsidR="00F6026F" w:rsidRPr="00C01DE6" w14:paraId="1455C0C1" w14:textId="77777777" w:rsidTr="00337638">
        <w:tc>
          <w:tcPr>
            <w:tcW w:w="1953" w:type="pct"/>
            <w:shd w:val="clear" w:color="auto" w:fill="auto"/>
          </w:tcPr>
          <w:p w14:paraId="2E7BA3AC" w14:textId="77777777" w:rsidR="00F6026F" w:rsidRPr="00C01DE6" w:rsidRDefault="00F6026F" w:rsidP="00F6026F">
            <w:pPr>
              <w:pStyle w:val="TableText"/>
            </w:pPr>
            <w:r w:rsidRPr="00C01DE6">
              <w:t xml:space="preserve">behavior from a hearing attendee is </w:t>
            </w:r>
          </w:p>
          <w:p w14:paraId="5842CEC8" w14:textId="77777777" w:rsidR="00F6026F" w:rsidRPr="00C01DE6" w:rsidRDefault="00F6026F" w:rsidP="00F6026F">
            <w:pPr>
              <w:pStyle w:val="BulletText1"/>
            </w:pPr>
            <w:r w:rsidRPr="00C01DE6">
              <w:t>grossly inappropriate, or</w:t>
            </w:r>
          </w:p>
          <w:p w14:paraId="1603B712" w14:textId="77777777" w:rsidR="00F6026F" w:rsidRPr="00C01DE6" w:rsidRDefault="00F6026F" w:rsidP="00F6026F">
            <w:pPr>
              <w:pStyle w:val="BulletText1"/>
            </w:pPr>
            <w:r w:rsidRPr="00C01DE6">
              <w:t>repeatedly inappropriate</w:t>
            </w:r>
          </w:p>
          <w:p w14:paraId="2792F8B2" w14:textId="77777777" w:rsidR="00F6026F" w:rsidRPr="00C01DE6" w:rsidRDefault="00F6026F" w:rsidP="001810B9">
            <w:pPr>
              <w:pStyle w:val="TableText"/>
            </w:pPr>
          </w:p>
        </w:tc>
        <w:tc>
          <w:tcPr>
            <w:tcW w:w="3047" w:type="pct"/>
            <w:shd w:val="clear" w:color="auto" w:fill="auto"/>
          </w:tcPr>
          <w:p w14:paraId="4C5B7F42" w14:textId="77777777" w:rsidR="00F6026F" w:rsidRPr="00C01DE6" w:rsidRDefault="00F6026F" w:rsidP="00F6026F">
            <w:pPr>
              <w:pStyle w:val="BulletText1"/>
            </w:pPr>
            <w:proofErr w:type="gramStart"/>
            <w:r w:rsidRPr="00C01DE6">
              <w:rPr>
                <w:b/>
                <w:i/>
              </w:rPr>
              <w:t>follow</w:t>
            </w:r>
            <w:proofErr w:type="gramEnd"/>
            <w:r w:rsidRPr="00C01DE6">
              <w:rPr>
                <w:b/>
                <w:i/>
              </w:rPr>
              <w:t xml:space="preserve"> local office emergency/security procedures if warranted by the facts</w:t>
            </w:r>
            <w:r w:rsidRPr="00C01DE6">
              <w:t>.</w:t>
            </w:r>
          </w:p>
          <w:p w14:paraId="6D2DE276" w14:textId="77777777" w:rsidR="00F6026F" w:rsidRPr="00C01DE6" w:rsidRDefault="00F6026F" w:rsidP="00F6026F">
            <w:pPr>
              <w:pStyle w:val="BulletText1"/>
              <w:rPr>
                <w:b/>
                <w:i/>
              </w:rPr>
            </w:pPr>
            <w:r w:rsidRPr="00C01DE6">
              <w:t>In non-emergent circumstances, inform the hearing attendees that the hearing is being terminated for inappropriate conduct.</w:t>
            </w:r>
          </w:p>
        </w:tc>
      </w:tr>
      <w:tr w:rsidR="001810B9" w:rsidRPr="00C01DE6" w14:paraId="1E9FC530" w14:textId="77777777" w:rsidTr="00337638">
        <w:tc>
          <w:tcPr>
            <w:tcW w:w="1953" w:type="pct"/>
            <w:shd w:val="clear" w:color="auto" w:fill="auto"/>
          </w:tcPr>
          <w:p w14:paraId="38D07791" w14:textId="77777777" w:rsidR="001810B9" w:rsidRPr="00C01DE6" w:rsidRDefault="001810B9" w:rsidP="005A6258">
            <w:pPr>
              <w:pStyle w:val="TableText"/>
            </w:pPr>
            <w:r w:rsidRPr="00C01DE6">
              <w:t xml:space="preserve">inappropriate conduct is not violent or </w:t>
            </w:r>
            <w:r w:rsidR="004531E2" w:rsidRPr="00C01DE6">
              <w:t xml:space="preserve">not </w:t>
            </w:r>
            <w:r w:rsidRPr="00C01DE6">
              <w:t>otherwise grossly inappropriate</w:t>
            </w:r>
          </w:p>
        </w:tc>
        <w:tc>
          <w:tcPr>
            <w:tcW w:w="3047" w:type="pct"/>
            <w:shd w:val="clear" w:color="auto" w:fill="auto"/>
          </w:tcPr>
          <w:p w14:paraId="3087CC25" w14:textId="77777777" w:rsidR="005A6258" w:rsidRPr="00C01DE6" w:rsidRDefault="005A6258" w:rsidP="005A6258">
            <w:pPr>
              <w:pStyle w:val="BulletText1"/>
            </w:pPr>
            <w:proofErr w:type="gramStart"/>
            <w:r w:rsidRPr="00C01DE6">
              <w:t>consider</w:t>
            </w:r>
            <w:proofErr w:type="gramEnd"/>
            <w:r w:rsidRPr="00C01DE6">
              <w:t xml:space="preserve"> giving a warning before terminating the hearing.</w:t>
            </w:r>
            <w:r w:rsidR="004531E2" w:rsidRPr="00C01DE6">
              <w:t xml:space="preserve">  </w:t>
            </w:r>
          </w:p>
          <w:p w14:paraId="64AF7271" w14:textId="77777777" w:rsidR="004531E2" w:rsidRPr="00C01DE6" w:rsidRDefault="004531E2" w:rsidP="005A6258">
            <w:pPr>
              <w:pStyle w:val="BulletText1"/>
            </w:pPr>
            <w:r w:rsidRPr="00C01DE6">
              <w:t>Inform the hearing attendees in a courteous manner that</w:t>
            </w:r>
          </w:p>
          <w:p w14:paraId="39C6526F" w14:textId="77777777" w:rsidR="005A6258" w:rsidRPr="00C01DE6" w:rsidRDefault="00CF2275" w:rsidP="005A6258">
            <w:pPr>
              <w:pStyle w:val="BulletText2"/>
            </w:pPr>
            <w:r w:rsidRPr="00C01DE6">
              <w:t xml:space="preserve">the </w:t>
            </w:r>
            <w:r w:rsidR="001810B9" w:rsidRPr="00C01DE6">
              <w:t>behavior is inappropriate</w:t>
            </w:r>
            <w:r w:rsidRPr="00C01DE6">
              <w:t xml:space="preserve">, and </w:t>
            </w:r>
          </w:p>
          <w:p w14:paraId="0855500F" w14:textId="77777777" w:rsidR="001810B9" w:rsidRPr="00C01DE6" w:rsidRDefault="001810B9" w:rsidP="005A6258">
            <w:pPr>
              <w:pStyle w:val="BulletText2"/>
            </w:pPr>
            <w:proofErr w:type="gramStart"/>
            <w:r w:rsidRPr="00C01DE6">
              <w:t>further</w:t>
            </w:r>
            <w:proofErr w:type="gramEnd"/>
            <w:r w:rsidRPr="00C01DE6">
              <w:t xml:space="preserve"> instances of inappropriate behavior will result in the hearing being terminated. </w:t>
            </w:r>
          </w:p>
          <w:p w14:paraId="5D3A3F6B" w14:textId="528EC86E" w:rsidR="005A6258" w:rsidRPr="00C01DE6" w:rsidRDefault="005A6258" w:rsidP="002F0252">
            <w:pPr>
              <w:pStyle w:val="BulletText1"/>
            </w:pPr>
            <w:r w:rsidRPr="00C01DE6">
              <w:t>If in the judgment of the hearing officer termination is warranted</w:t>
            </w:r>
            <w:r w:rsidR="002F0252" w:rsidRPr="00C01DE6">
              <w:t xml:space="preserve">, </w:t>
            </w:r>
            <w:r w:rsidRPr="00C01DE6">
              <w:t>inform the hearing attendees in a courteous manner that the hearing is terminated for inappropriate conduct.</w:t>
            </w:r>
          </w:p>
        </w:tc>
      </w:tr>
    </w:tbl>
    <w:p w14:paraId="725C89B1" w14:textId="77777777" w:rsidR="001810B9" w:rsidRPr="00C01DE6" w:rsidRDefault="001810B9" w:rsidP="005A6258"/>
    <w:tbl>
      <w:tblPr>
        <w:tblW w:w="7732" w:type="dxa"/>
        <w:tblInd w:w="1728" w:type="dxa"/>
        <w:tblLayout w:type="fixed"/>
        <w:tblLook w:val="0000" w:firstRow="0" w:lastRow="0" w:firstColumn="0" w:lastColumn="0" w:noHBand="0" w:noVBand="0"/>
      </w:tblPr>
      <w:tblGrid>
        <w:gridCol w:w="7732"/>
      </w:tblGrid>
      <w:tr w:rsidR="005A6258" w:rsidRPr="00C01DE6" w14:paraId="5C0DF5F0" w14:textId="77777777" w:rsidTr="005A6258">
        <w:tc>
          <w:tcPr>
            <w:tcW w:w="5000" w:type="pct"/>
            <w:shd w:val="clear" w:color="auto" w:fill="auto"/>
          </w:tcPr>
          <w:p w14:paraId="631B4189" w14:textId="77777777" w:rsidR="001C7ED2" w:rsidRPr="00C01DE6" w:rsidRDefault="005A6258" w:rsidP="005A6258">
            <w:pPr>
              <w:pStyle w:val="BlockText"/>
            </w:pPr>
            <w:r w:rsidRPr="00C01DE6">
              <w:rPr>
                <w:b/>
                <w:i/>
              </w:rPr>
              <w:t>Note</w:t>
            </w:r>
            <w:r w:rsidR="001C7ED2" w:rsidRPr="00C01DE6">
              <w:rPr>
                <w:b/>
                <w:i/>
              </w:rPr>
              <w:t>s</w:t>
            </w:r>
            <w:r w:rsidRPr="00C01DE6">
              <w:t xml:space="preserve">:  </w:t>
            </w:r>
          </w:p>
          <w:p w14:paraId="27AE16BD" w14:textId="77777777" w:rsidR="005A6258" w:rsidRPr="00C01DE6" w:rsidRDefault="001C7ED2" w:rsidP="001C7ED2">
            <w:pPr>
              <w:pStyle w:val="BulletText1"/>
            </w:pPr>
            <w:r w:rsidRPr="00C01DE6">
              <w:t>In exercising discretion over whether to terminate the hearing where inappropriate behavior does not rise to the level of an emergency, the hearing official should k</w:t>
            </w:r>
            <w:r w:rsidR="005A6258" w:rsidRPr="00C01DE6">
              <w:t xml:space="preserve">eep in mind that for many individuals a hearing is their only exposure to an actual VA employee involved in their claim or appeal.  </w:t>
            </w:r>
            <w:r w:rsidR="00F6026F" w:rsidRPr="00C01DE6">
              <w:t>It is understandable that t</w:t>
            </w:r>
            <w:r w:rsidR="005A6258" w:rsidRPr="00C01DE6">
              <w:t>hey may be frustrated or angry</w:t>
            </w:r>
            <w:r w:rsidR="00F6026F" w:rsidRPr="00C01DE6">
              <w:t xml:space="preserve"> at the claim process or a decision they have received.</w:t>
            </w:r>
            <w:r w:rsidR="005A6258" w:rsidRPr="00C01DE6">
              <w:t xml:space="preserve">  They may </w:t>
            </w:r>
            <w:r w:rsidR="00F6026F" w:rsidRPr="00C01DE6">
              <w:t xml:space="preserve">also </w:t>
            </w:r>
            <w:r w:rsidR="005A6258" w:rsidRPr="00C01DE6">
              <w:t xml:space="preserve">have </w:t>
            </w:r>
            <w:r w:rsidR="00F6026F" w:rsidRPr="00C01DE6">
              <w:t xml:space="preserve">serious </w:t>
            </w:r>
            <w:r w:rsidR="00CF2275" w:rsidRPr="00C01DE6">
              <w:t>disabilities</w:t>
            </w:r>
            <w:r w:rsidR="00E925F0" w:rsidRPr="00C01DE6">
              <w:t>,</w:t>
            </w:r>
            <w:r w:rsidR="00F6026F" w:rsidRPr="00C01DE6">
              <w:t xml:space="preserve"> such as </w:t>
            </w:r>
            <w:r w:rsidR="00366F7F" w:rsidRPr="00C01DE6">
              <w:t xml:space="preserve">a mental disorder </w:t>
            </w:r>
            <w:r w:rsidR="00F6026F" w:rsidRPr="00C01DE6">
              <w:t>or traumatic brain injury,</w:t>
            </w:r>
            <w:r w:rsidR="00366F7F" w:rsidRPr="00C01DE6">
              <w:t xml:space="preserve"> manifested by social impairment, diminished impulse control</w:t>
            </w:r>
            <w:r w:rsidR="00D153D9" w:rsidRPr="00C01DE6">
              <w:t>,</w:t>
            </w:r>
            <w:r w:rsidR="00366F7F" w:rsidRPr="00C01DE6">
              <w:t xml:space="preserve"> or anger</w:t>
            </w:r>
            <w:r w:rsidR="00F6026F" w:rsidRPr="00C01DE6">
              <w:t xml:space="preserve"> that predispose</w:t>
            </w:r>
            <w:r w:rsidR="00E925F0" w:rsidRPr="00C01DE6">
              <w:t>s</w:t>
            </w:r>
            <w:r w:rsidR="00F6026F" w:rsidRPr="00C01DE6">
              <w:t xml:space="preserve"> them to inappropriate behavior.</w:t>
            </w:r>
            <w:r w:rsidR="005A6258" w:rsidRPr="00C01DE6">
              <w:t xml:space="preserve">  </w:t>
            </w:r>
          </w:p>
          <w:p w14:paraId="5CAB0EB3" w14:textId="77777777" w:rsidR="00F6026F" w:rsidRPr="00C01DE6" w:rsidRDefault="00F6026F" w:rsidP="001C7ED2">
            <w:pPr>
              <w:pStyle w:val="BulletText1"/>
            </w:pPr>
            <w:r w:rsidRPr="00C01DE6">
              <w:t>In any cases where a hearing is terminated for inappropriate behavior</w:t>
            </w:r>
            <w:r w:rsidR="00331930" w:rsidRPr="00C01DE6">
              <w:t>,</w:t>
            </w:r>
            <w:r w:rsidRPr="00C01DE6">
              <w:t xml:space="preserve"> annotate the </w:t>
            </w:r>
            <w:r w:rsidR="00CD1A9F" w:rsidRPr="00C01DE6">
              <w:t>claims folder</w:t>
            </w:r>
            <w:r w:rsidRPr="00C01DE6">
              <w:t xml:space="preserve"> and applicable systems. </w:t>
            </w:r>
          </w:p>
          <w:p w14:paraId="295FD227" w14:textId="6C25E2F8" w:rsidR="001C7ED2" w:rsidRPr="00C01DE6" w:rsidRDefault="001C7ED2" w:rsidP="000437F3">
            <w:pPr>
              <w:pStyle w:val="BulletText1"/>
            </w:pPr>
            <w:r w:rsidRPr="00C01DE6">
              <w:lastRenderedPageBreak/>
              <w:t>In any case where a hearing is terminated for inappropriate behavior</w:t>
            </w:r>
            <w:r w:rsidR="00331930" w:rsidRPr="00C01DE6">
              <w:t>,</w:t>
            </w:r>
            <w:r w:rsidRPr="00C01DE6">
              <w:t xml:space="preserve"> rescheduling will be permitted only upon </w:t>
            </w:r>
            <w:r w:rsidR="000437F3" w:rsidRPr="00C01DE6">
              <w:t xml:space="preserve">RO </w:t>
            </w:r>
            <w:r w:rsidR="00366F7F" w:rsidRPr="00C01DE6">
              <w:t>discretion</w:t>
            </w:r>
            <w:r w:rsidR="00331930" w:rsidRPr="00C01DE6">
              <w:t>,</w:t>
            </w:r>
            <w:r w:rsidR="00366F7F" w:rsidRPr="00C01DE6">
              <w:t xml:space="preserve"> </w:t>
            </w:r>
            <w:r w:rsidRPr="00C01DE6">
              <w:t xml:space="preserve">and rescheduling may be conditioned on </w:t>
            </w:r>
            <w:r w:rsidR="00366F7F" w:rsidRPr="00C01DE6">
              <w:t xml:space="preserve">the availability of additional </w:t>
            </w:r>
            <w:r w:rsidRPr="00C01DE6">
              <w:t>security</w:t>
            </w:r>
            <w:r w:rsidR="00366F7F" w:rsidRPr="00C01DE6">
              <w:t xml:space="preserve"> for the hearing</w:t>
            </w:r>
            <w:r w:rsidRPr="00C01DE6">
              <w:t>.</w:t>
            </w:r>
          </w:p>
        </w:tc>
      </w:tr>
    </w:tbl>
    <w:p w14:paraId="1EA0D4E0" w14:textId="77777777" w:rsidR="005A6258" w:rsidRPr="00C01DE6" w:rsidRDefault="005A6258" w:rsidP="005A6258">
      <w:pPr>
        <w:pStyle w:val="BlockLine"/>
      </w:pPr>
    </w:p>
    <w:p w14:paraId="1B13634E" w14:textId="77777777" w:rsidR="00821C07" w:rsidRPr="00C01DE6" w:rsidRDefault="00821C07">
      <w:pPr>
        <w:pStyle w:val="Heading4"/>
      </w:pPr>
      <w:r w:rsidRPr="00C01DE6">
        <w:br w:type="page"/>
      </w:r>
      <w:r w:rsidRPr="00C01DE6">
        <w:lastRenderedPageBreak/>
        <w:t>3.  Scheduling and Preparing for the Hearing</w:t>
      </w:r>
    </w:p>
    <w:p w14:paraId="51D55737"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05225330" w14:textId="77777777">
        <w:trPr>
          <w:cantSplit/>
        </w:trPr>
        <w:tc>
          <w:tcPr>
            <w:tcW w:w="1728" w:type="dxa"/>
          </w:tcPr>
          <w:p w14:paraId="007FB572" w14:textId="77777777" w:rsidR="00821C07" w:rsidRPr="00C01DE6" w:rsidRDefault="00821C07">
            <w:pPr>
              <w:pStyle w:val="Heading5"/>
            </w:pPr>
            <w:r w:rsidRPr="00C01DE6">
              <w:t>Introduction</w:t>
            </w:r>
          </w:p>
        </w:tc>
        <w:tc>
          <w:tcPr>
            <w:tcW w:w="7740" w:type="dxa"/>
          </w:tcPr>
          <w:p w14:paraId="3E608F6F" w14:textId="77777777" w:rsidR="00821C07" w:rsidRPr="00C01DE6" w:rsidRDefault="00821C07">
            <w:pPr>
              <w:pStyle w:val="BlockText"/>
            </w:pPr>
            <w:r w:rsidRPr="00C01DE6">
              <w:t>This topic contains information on</w:t>
            </w:r>
          </w:p>
          <w:p w14:paraId="196B77EF" w14:textId="77777777" w:rsidR="00821C07" w:rsidRPr="00C01DE6" w:rsidRDefault="00821C07">
            <w:pPr>
              <w:pStyle w:val="BlockText"/>
            </w:pPr>
          </w:p>
          <w:p w14:paraId="2EBCB229" w14:textId="77777777" w:rsidR="001D1373" w:rsidRPr="00C01DE6" w:rsidRDefault="00755FDE">
            <w:pPr>
              <w:pStyle w:val="BulletText1"/>
            </w:pPr>
            <w:r w:rsidRPr="00C01DE6">
              <w:t>timely scheduling of</w:t>
            </w:r>
            <w:r w:rsidR="00821C07" w:rsidRPr="00C01DE6">
              <w:t xml:space="preserve"> hearing</w:t>
            </w:r>
            <w:r w:rsidRPr="00C01DE6">
              <w:t>s</w:t>
            </w:r>
          </w:p>
          <w:p w14:paraId="4AE4CC43" w14:textId="46CFD3E4" w:rsidR="00821C07" w:rsidRPr="00C01DE6" w:rsidRDefault="001D1373">
            <w:pPr>
              <w:pStyle w:val="BulletText1"/>
            </w:pPr>
            <w:r w:rsidRPr="00C01DE6">
              <w:t>providing advanced notice of hearing</w:t>
            </w:r>
            <w:r w:rsidR="00FA4EE2" w:rsidRPr="00C01DE6">
              <w:t>, and</w:t>
            </w:r>
          </w:p>
          <w:p w14:paraId="45B3286A" w14:textId="77777777" w:rsidR="00821C07" w:rsidRPr="00C01DE6" w:rsidRDefault="00821C07">
            <w:pPr>
              <w:pStyle w:val="BulletText1"/>
            </w:pPr>
            <w:proofErr w:type="gramStart"/>
            <w:r w:rsidRPr="00C01DE6">
              <w:t>preparing</w:t>
            </w:r>
            <w:proofErr w:type="gramEnd"/>
            <w:r w:rsidRPr="00C01DE6">
              <w:t xml:space="preserve"> for the hearing.</w:t>
            </w:r>
          </w:p>
        </w:tc>
      </w:tr>
    </w:tbl>
    <w:p w14:paraId="10DE0267"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4AD47D6B" w14:textId="77777777">
        <w:trPr>
          <w:cantSplit/>
        </w:trPr>
        <w:tc>
          <w:tcPr>
            <w:tcW w:w="1728" w:type="dxa"/>
          </w:tcPr>
          <w:p w14:paraId="300ED21B" w14:textId="77777777" w:rsidR="00821C07" w:rsidRPr="00C01DE6" w:rsidRDefault="00821C07">
            <w:pPr>
              <w:pStyle w:val="Heading5"/>
            </w:pPr>
            <w:r w:rsidRPr="00C01DE6">
              <w:t>Change Date</w:t>
            </w:r>
          </w:p>
        </w:tc>
        <w:tc>
          <w:tcPr>
            <w:tcW w:w="7740" w:type="dxa"/>
          </w:tcPr>
          <w:p w14:paraId="439F217C" w14:textId="048128E0" w:rsidR="00821C07" w:rsidRPr="00C01DE6" w:rsidRDefault="000437F3">
            <w:pPr>
              <w:pStyle w:val="BlockText"/>
            </w:pPr>
            <w:r w:rsidRPr="00C01DE6">
              <w:t>March 1, 2016</w:t>
            </w:r>
          </w:p>
        </w:tc>
      </w:tr>
    </w:tbl>
    <w:p w14:paraId="54DC56E0"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7F493505" w14:textId="77777777">
        <w:trPr>
          <w:cantSplit/>
        </w:trPr>
        <w:tc>
          <w:tcPr>
            <w:tcW w:w="1728" w:type="dxa"/>
          </w:tcPr>
          <w:p w14:paraId="23FDA386" w14:textId="77777777" w:rsidR="00821C07" w:rsidRPr="00C01DE6" w:rsidRDefault="00821C07" w:rsidP="00755FDE">
            <w:pPr>
              <w:pStyle w:val="Heading5"/>
            </w:pPr>
            <w:proofErr w:type="gramStart"/>
            <w:r w:rsidRPr="00C01DE6">
              <w:t xml:space="preserve">a. </w:t>
            </w:r>
            <w:r w:rsidR="00755FDE" w:rsidRPr="00C01DE6">
              <w:t xml:space="preserve"> Timely</w:t>
            </w:r>
            <w:proofErr w:type="gramEnd"/>
            <w:r w:rsidR="00755FDE" w:rsidRPr="00C01DE6">
              <w:t xml:space="preserve"> Scheduling of Hearings</w:t>
            </w:r>
          </w:p>
        </w:tc>
        <w:tc>
          <w:tcPr>
            <w:tcW w:w="7740" w:type="dxa"/>
          </w:tcPr>
          <w:p w14:paraId="5476FE7B" w14:textId="1EE0B4CE" w:rsidR="00821C07" w:rsidRPr="00C01DE6" w:rsidRDefault="00755FDE" w:rsidP="009B47C1">
            <w:pPr>
              <w:pStyle w:val="BlockText"/>
            </w:pPr>
            <w:r w:rsidRPr="00C01DE6">
              <w:t>S</w:t>
            </w:r>
            <w:r w:rsidR="00821C07" w:rsidRPr="00C01DE6">
              <w:t>chedule hearings within a reasonable amount of time from the date the request is received.</w:t>
            </w:r>
            <w:r w:rsidR="001D1373" w:rsidRPr="00C01DE6">
              <w:t xml:space="preserve">  For predetermination hearings, schedule the hearing for the earliest possible date (if possible, for no later than 30 days after receipt of the request).</w:t>
            </w:r>
          </w:p>
          <w:p w14:paraId="740D945D" w14:textId="77777777" w:rsidR="009B47C1" w:rsidRPr="00C01DE6" w:rsidRDefault="009B47C1" w:rsidP="009B47C1">
            <w:pPr>
              <w:pStyle w:val="BlockText"/>
            </w:pPr>
          </w:p>
          <w:p w14:paraId="4801B244" w14:textId="1C0860B5" w:rsidR="00E9655B" w:rsidRPr="00C01DE6" w:rsidRDefault="00755FDE" w:rsidP="006D332B">
            <w:pPr>
              <w:pStyle w:val="BlockText"/>
            </w:pPr>
            <w:r w:rsidRPr="00C01DE6">
              <w:rPr>
                <w:b/>
                <w:i/>
              </w:rPr>
              <w:t>Note</w:t>
            </w:r>
            <w:r w:rsidR="009B47C1" w:rsidRPr="00C01DE6">
              <w:t>:</w:t>
            </w:r>
            <w:r w:rsidR="000437F3" w:rsidRPr="00C01DE6">
              <w:t xml:space="preserve"> </w:t>
            </w:r>
            <w:r w:rsidR="009B47C1" w:rsidRPr="00C01DE6">
              <w:t xml:space="preserve"> </w:t>
            </w:r>
            <w:r w:rsidRPr="00C01DE6">
              <w:t>For appeal hearings</w:t>
            </w:r>
            <w:r w:rsidR="00331930" w:rsidRPr="00C01DE6">
              <w:t>,</w:t>
            </w:r>
            <w:r w:rsidRPr="00C01DE6">
              <w:t xml:space="preserve"> </w:t>
            </w:r>
            <w:r w:rsidR="00E9655B" w:rsidRPr="00C01DE6">
              <w:t>the following are all relevant to whether a hearing is scheduled in a reasonable amount of time</w:t>
            </w:r>
            <w:r w:rsidR="000437F3" w:rsidRPr="00C01DE6">
              <w:t>:</w:t>
            </w:r>
          </w:p>
          <w:p w14:paraId="75076123" w14:textId="77777777" w:rsidR="00AA7D5F" w:rsidRPr="00C01DE6" w:rsidRDefault="00AA7D5F" w:rsidP="006D332B">
            <w:pPr>
              <w:pStyle w:val="BlockText"/>
            </w:pPr>
          </w:p>
          <w:p w14:paraId="0420A58F" w14:textId="77777777" w:rsidR="00E9655B" w:rsidRPr="00C01DE6" w:rsidRDefault="00755FDE" w:rsidP="00690385">
            <w:pPr>
              <w:pStyle w:val="BulletText1"/>
            </w:pPr>
            <w:r w:rsidRPr="00C01DE6">
              <w:t xml:space="preserve">the stage that the appeal is in (NOD or substantive appeal) </w:t>
            </w:r>
          </w:p>
          <w:p w14:paraId="737C2408" w14:textId="77777777" w:rsidR="00E9655B" w:rsidRPr="00C01DE6" w:rsidRDefault="00755FDE" w:rsidP="00690385">
            <w:pPr>
              <w:pStyle w:val="BulletText1"/>
            </w:pPr>
            <w:r w:rsidRPr="00C01DE6">
              <w:t>the average pende</w:t>
            </w:r>
            <w:r w:rsidR="002D7C29" w:rsidRPr="00C01DE6">
              <w:t>ncy of appeals in the stage</w:t>
            </w:r>
          </w:p>
          <w:p w14:paraId="7C7F32E0" w14:textId="77777777" w:rsidR="00E9655B" w:rsidRPr="00C01DE6" w:rsidRDefault="00755FDE" w:rsidP="00690385">
            <w:pPr>
              <w:pStyle w:val="BulletText1"/>
            </w:pPr>
            <w:r w:rsidRPr="00C01DE6">
              <w:t xml:space="preserve">the </w:t>
            </w:r>
            <w:r w:rsidR="002D7C29" w:rsidRPr="00C01DE6">
              <w:t>individual’s</w:t>
            </w:r>
            <w:r w:rsidR="009B47C1" w:rsidRPr="00C01DE6">
              <w:t xml:space="preserve"> </w:t>
            </w:r>
            <w:r w:rsidRPr="00C01DE6">
              <w:t>appellate caseload</w:t>
            </w:r>
            <w:r w:rsidR="002D7C29" w:rsidRPr="00C01DE6">
              <w:t xml:space="preserve">, </w:t>
            </w:r>
            <w:r w:rsidR="00924F58" w:rsidRPr="00C01DE6">
              <w:t>or</w:t>
            </w:r>
          </w:p>
          <w:p w14:paraId="36CFB1D6" w14:textId="77777777" w:rsidR="006D332B" w:rsidRPr="00C01DE6" w:rsidRDefault="002D7C29" w:rsidP="0062788A">
            <w:pPr>
              <w:numPr>
                <w:ilvl w:val="0"/>
                <w:numId w:val="23"/>
              </w:numPr>
              <w:ind w:left="158" w:hanging="187"/>
            </w:pPr>
            <w:proofErr w:type="gramStart"/>
            <w:r w:rsidRPr="00C01DE6">
              <w:t>the</w:t>
            </w:r>
            <w:proofErr w:type="gramEnd"/>
            <w:r w:rsidRPr="00C01DE6">
              <w:t xml:space="preserve"> existence of older and priority hearing requests to satisfy</w:t>
            </w:r>
            <w:r w:rsidR="0023714C" w:rsidRPr="00C01DE6">
              <w:t>.</w:t>
            </w:r>
            <w:r w:rsidR="00755FDE" w:rsidRPr="00C01DE6">
              <w:t xml:space="preserve"> </w:t>
            </w:r>
            <w:r w:rsidRPr="00C01DE6">
              <w:t xml:space="preserve"> </w:t>
            </w:r>
          </w:p>
          <w:p w14:paraId="58E63F53" w14:textId="77777777" w:rsidR="006D332B" w:rsidRPr="00C01DE6" w:rsidRDefault="006D332B" w:rsidP="006D332B">
            <w:pPr>
              <w:pStyle w:val="BlockText"/>
            </w:pPr>
          </w:p>
          <w:p w14:paraId="222D07A9" w14:textId="77777777" w:rsidR="009B47C1" w:rsidRPr="00C01DE6" w:rsidRDefault="006D332B" w:rsidP="00755FDE">
            <w:pPr>
              <w:pStyle w:val="BlockText"/>
            </w:pPr>
            <w:r w:rsidRPr="00C01DE6">
              <w:rPr>
                <w:b/>
                <w:i/>
              </w:rPr>
              <w:t>Important</w:t>
            </w:r>
            <w:r w:rsidRPr="00C01DE6">
              <w:t xml:space="preserve">: </w:t>
            </w:r>
            <w:r w:rsidR="001D1373" w:rsidRPr="00C01DE6">
              <w:t xml:space="preserve"> </w:t>
            </w:r>
            <w:r w:rsidRPr="00C01DE6">
              <w:t xml:space="preserve">Expedite scheduling of hearings for all cases entitled to priority handling. </w:t>
            </w:r>
            <w:r w:rsidR="002D7C29" w:rsidRPr="00C01DE6">
              <w:t xml:space="preserve"> </w:t>
            </w:r>
          </w:p>
          <w:p w14:paraId="348B910C" w14:textId="77777777" w:rsidR="001E3BCC" w:rsidRPr="00C01DE6" w:rsidRDefault="001E3BCC" w:rsidP="00755FDE">
            <w:pPr>
              <w:pStyle w:val="BlockText"/>
            </w:pPr>
          </w:p>
          <w:p w14:paraId="1418322A" w14:textId="69484B1B" w:rsidR="001E3BCC" w:rsidRPr="00C01DE6" w:rsidRDefault="001E3BCC" w:rsidP="00755FDE">
            <w:pPr>
              <w:pStyle w:val="BlockText"/>
            </w:pPr>
            <w:r w:rsidRPr="00C01DE6">
              <w:rPr>
                <w:b/>
                <w:i/>
              </w:rPr>
              <w:t>Reference</w:t>
            </w:r>
            <w:r w:rsidRPr="00C01DE6">
              <w:t>:  For more information on scheduling BVA hearings, see M21-1, Part I, 5.H.</w:t>
            </w:r>
          </w:p>
        </w:tc>
      </w:tr>
    </w:tbl>
    <w:p w14:paraId="3B4B97C9" w14:textId="4494091D" w:rsidR="00821C07" w:rsidRPr="00C01DE6" w:rsidRDefault="00821C07">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11B88" w:rsidRPr="00C01DE6" w14:paraId="7948B5D3" w14:textId="77777777" w:rsidTr="00911B88">
        <w:tc>
          <w:tcPr>
            <w:tcW w:w="1728" w:type="dxa"/>
            <w:shd w:val="clear" w:color="auto" w:fill="auto"/>
          </w:tcPr>
          <w:p w14:paraId="3129B26D" w14:textId="08A00920" w:rsidR="00911B88" w:rsidRPr="00C01DE6" w:rsidRDefault="001D1373" w:rsidP="001D1373">
            <w:pPr>
              <w:rPr>
                <w:b/>
                <w:sz w:val="22"/>
              </w:rPr>
            </w:pPr>
            <w:bookmarkStart w:id="0" w:name="Topic3b"/>
            <w:bookmarkEnd w:id="0"/>
            <w:r w:rsidRPr="00C01DE6">
              <w:rPr>
                <w:b/>
                <w:sz w:val="22"/>
              </w:rPr>
              <w:t>b.  Providing Advanced Notice of Hearing</w:t>
            </w:r>
          </w:p>
        </w:tc>
        <w:tc>
          <w:tcPr>
            <w:tcW w:w="7740" w:type="dxa"/>
            <w:shd w:val="clear" w:color="auto" w:fill="auto"/>
          </w:tcPr>
          <w:p w14:paraId="5CE65709" w14:textId="40B57BBA" w:rsidR="00911B88" w:rsidRPr="00C01DE6" w:rsidRDefault="001D1373" w:rsidP="001D1373">
            <w:r w:rsidRPr="00C01DE6">
              <w:t>When a beneficiary timely requests a hearing</w:t>
            </w:r>
            <w:r w:rsidR="001E3BCC" w:rsidRPr="00C01DE6">
              <w:t xml:space="preserve"> in response to a notice of proposed adverse action</w:t>
            </w:r>
            <w:r w:rsidRPr="00C01DE6">
              <w:t xml:space="preserve">, </w:t>
            </w:r>
            <w:hyperlink r:id="rId20" w:history="1">
              <w:r w:rsidRPr="00C01DE6">
                <w:rPr>
                  <w:rStyle w:val="Hyperlink"/>
                </w:rPr>
                <w:t>38 CFR 3.10</w:t>
              </w:r>
              <w:r w:rsidR="003C1A08" w:rsidRPr="00C01DE6">
                <w:rPr>
                  <w:rStyle w:val="Hyperlink"/>
                </w:rPr>
                <w:t>5</w:t>
              </w:r>
              <w:r w:rsidRPr="00C01DE6">
                <w:rPr>
                  <w:rStyle w:val="Hyperlink"/>
                </w:rPr>
                <w:t>(</w:t>
              </w:r>
              <w:proofErr w:type="spellStart"/>
              <w:r w:rsidRPr="00C01DE6">
                <w:rPr>
                  <w:rStyle w:val="Hyperlink"/>
                </w:rPr>
                <w:t>i</w:t>
              </w:r>
              <w:proofErr w:type="spellEnd"/>
              <w:r w:rsidRPr="00C01DE6">
                <w:rPr>
                  <w:rStyle w:val="Hyperlink"/>
                </w:rPr>
                <w:t>)(1)</w:t>
              </w:r>
            </w:hyperlink>
            <w:r w:rsidRPr="00C01DE6">
              <w:t xml:space="preserve"> requires VA to notify the beneficiary in writing of the time and place of the hearing at least 10 days in advance of the scheduled hearing date.</w:t>
            </w:r>
          </w:p>
          <w:p w14:paraId="762B13F3" w14:textId="77777777" w:rsidR="001D1373" w:rsidRPr="00C01DE6" w:rsidRDefault="001D1373" w:rsidP="001D1373"/>
          <w:p w14:paraId="786DDDB2" w14:textId="77777777" w:rsidR="001D1373" w:rsidRPr="00C01DE6" w:rsidRDefault="001D1373" w:rsidP="001D1373">
            <w:r w:rsidRPr="00C01DE6">
              <w:rPr>
                <w:b/>
                <w:i/>
              </w:rPr>
              <w:t>Note</w:t>
            </w:r>
            <w:r w:rsidRPr="00C01DE6">
              <w:t>:  A waiver of the 10-day advance notice is permissible by mutual agreement between VA and the beneficiary, and/or his/her representative (if any).</w:t>
            </w:r>
          </w:p>
          <w:p w14:paraId="29DEE47C" w14:textId="77777777" w:rsidR="001E3BCC" w:rsidRPr="00C01DE6" w:rsidRDefault="001E3BCC" w:rsidP="001D1373"/>
          <w:p w14:paraId="27AED5B1" w14:textId="4C4B8A00" w:rsidR="001E3BCC" w:rsidRPr="00C01DE6" w:rsidRDefault="001E3BCC" w:rsidP="001E3BCC">
            <w:r w:rsidRPr="00C01DE6">
              <w:rPr>
                <w:b/>
                <w:i/>
              </w:rPr>
              <w:t>Reference</w:t>
            </w:r>
            <w:r w:rsidRPr="00C01DE6">
              <w:t xml:space="preserve">:  For more information on the time limit to request a hearing, see M21-1, Part I, 2.C.3.  </w:t>
            </w:r>
          </w:p>
        </w:tc>
      </w:tr>
    </w:tbl>
    <w:p w14:paraId="20E321CA" w14:textId="0BA5E411" w:rsidR="00911B88" w:rsidRPr="00C01DE6" w:rsidRDefault="00911B88" w:rsidP="00911B88">
      <w:pPr>
        <w:tabs>
          <w:tab w:val="left" w:pos="9360"/>
        </w:tabs>
        <w:ind w:left="1714"/>
      </w:pPr>
      <w:r w:rsidRPr="00C01DE6">
        <w:rPr>
          <w:u w:val="single"/>
        </w:rPr>
        <w:tab/>
      </w:r>
    </w:p>
    <w:p w14:paraId="3B46768E" w14:textId="77777777" w:rsidR="00911B88" w:rsidRPr="00C01DE6" w:rsidRDefault="00911B88" w:rsidP="00911B88"/>
    <w:tbl>
      <w:tblPr>
        <w:tblW w:w="0" w:type="auto"/>
        <w:tblLayout w:type="fixed"/>
        <w:tblLook w:val="0000" w:firstRow="0" w:lastRow="0" w:firstColumn="0" w:lastColumn="0" w:noHBand="0" w:noVBand="0"/>
      </w:tblPr>
      <w:tblGrid>
        <w:gridCol w:w="1728"/>
        <w:gridCol w:w="7740"/>
      </w:tblGrid>
      <w:tr w:rsidR="00821C07" w:rsidRPr="00C01DE6" w14:paraId="7C3ABBDB" w14:textId="77777777">
        <w:trPr>
          <w:cantSplit/>
        </w:trPr>
        <w:tc>
          <w:tcPr>
            <w:tcW w:w="1728" w:type="dxa"/>
          </w:tcPr>
          <w:p w14:paraId="5E0ABBCE" w14:textId="6A09D8B0" w:rsidR="00821C07" w:rsidRPr="00C01DE6" w:rsidRDefault="001D1373">
            <w:pPr>
              <w:pStyle w:val="Heading5"/>
            </w:pPr>
            <w:proofErr w:type="gramStart"/>
            <w:r w:rsidRPr="00C01DE6">
              <w:lastRenderedPageBreak/>
              <w:t>c</w:t>
            </w:r>
            <w:r w:rsidR="00821C07" w:rsidRPr="00C01DE6">
              <w:t>.  Preparing</w:t>
            </w:r>
            <w:proofErr w:type="gramEnd"/>
            <w:r w:rsidR="00821C07" w:rsidRPr="00C01DE6">
              <w:t xml:space="preserve"> for the Hearing</w:t>
            </w:r>
          </w:p>
        </w:tc>
        <w:tc>
          <w:tcPr>
            <w:tcW w:w="7740" w:type="dxa"/>
          </w:tcPr>
          <w:p w14:paraId="5CD3BA1B" w14:textId="77777777" w:rsidR="00821C07" w:rsidRPr="00C01DE6" w:rsidRDefault="00821C07">
            <w:pPr>
              <w:pStyle w:val="BlockText"/>
            </w:pPr>
            <w:r w:rsidRPr="00C01DE6">
              <w:t>To prepare for the hearing, review all of the issues and evidence.</w:t>
            </w:r>
          </w:p>
          <w:p w14:paraId="419789B5" w14:textId="77777777" w:rsidR="00821C07" w:rsidRPr="00C01DE6" w:rsidRDefault="00821C07">
            <w:pPr>
              <w:pStyle w:val="BlockText"/>
            </w:pPr>
          </w:p>
          <w:p w14:paraId="6D8AADCE" w14:textId="77777777" w:rsidR="00821C07" w:rsidRPr="00C01DE6" w:rsidRDefault="00821C07">
            <w:pPr>
              <w:pStyle w:val="BlockText"/>
            </w:pPr>
            <w:r w:rsidRPr="00C01DE6">
              <w:t>Use the table below to determine how to conduct the review.</w:t>
            </w:r>
          </w:p>
        </w:tc>
      </w:tr>
    </w:tbl>
    <w:p w14:paraId="7445C2B5" w14:textId="77777777" w:rsidR="00821C07" w:rsidRPr="00C01DE6" w:rsidRDefault="00821C07"/>
    <w:tbl>
      <w:tblPr>
        <w:tblW w:w="0" w:type="auto"/>
        <w:tblInd w:w="1800" w:type="dxa"/>
        <w:tblLayout w:type="fixed"/>
        <w:tblCellMar>
          <w:left w:w="80" w:type="dxa"/>
          <w:right w:w="80" w:type="dxa"/>
        </w:tblCellMar>
        <w:tblLook w:val="0000" w:firstRow="0" w:lastRow="0" w:firstColumn="0" w:lastColumn="0" w:noHBand="0" w:noVBand="0"/>
      </w:tblPr>
      <w:tblGrid>
        <w:gridCol w:w="3140"/>
        <w:gridCol w:w="4420"/>
      </w:tblGrid>
      <w:tr w:rsidR="00821C07" w:rsidRPr="00C01DE6" w14:paraId="62E4C671" w14:textId="77777777" w:rsidTr="0069452E">
        <w:tc>
          <w:tcPr>
            <w:tcW w:w="3140" w:type="dxa"/>
            <w:tcBorders>
              <w:top w:val="single" w:sz="6" w:space="0" w:color="auto"/>
              <w:left w:val="single" w:sz="6" w:space="0" w:color="auto"/>
              <w:bottom w:val="single" w:sz="6" w:space="0" w:color="auto"/>
              <w:right w:val="single" w:sz="6" w:space="0" w:color="auto"/>
            </w:tcBorders>
          </w:tcPr>
          <w:p w14:paraId="334B873A" w14:textId="77777777" w:rsidR="00821C07" w:rsidRPr="00C01DE6" w:rsidRDefault="00821C07">
            <w:pPr>
              <w:pStyle w:val="TableHeaderText"/>
              <w:jc w:val="left"/>
            </w:pPr>
            <w:r w:rsidRPr="00C01DE6">
              <w:t xml:space="preserve">If </w:t>
            </w:r>
            <w:r w:rsidR="00B549C1" w:rsidRPr="00C01DE6">
              <w:t>the review disclosed</w:t>
            </w:r>
            <w:r w:rsidRPr="00C01DE6">
              <w:t>…</w:t>
            </w:r>
          </w:p>
        </w:tc>
        <w:tc>
          <w:tcPr>
            <w:tcW w:w="4420" w:type="dxa"/>
            <w:tcBorders>
              <w:top w:val="single" w:sz="6" w:space="0" w:color="auto"/>
              <w:left w:val="single" w:sz="6" w:space="0" w:color="auto"/>
              <w:bottom w:val="single" w:sz="6" w:space="0" w:color="auto"/>
              <w:right w:val="single" w:sz="6" w:space="0" w:color="auto"/>
            </w:tcBorders>
          </w:tcPr>
          <w:p w14:paraId="738F7E14" w14:textId="77777777" w:rsidR="00821C07" w:rsidRPr="00C01DE6" w:rsidRDefault="00821C07">
            <w:pPr>
              <w:pStyle w:val="TableHeaderText"/>
              <w:jc w:val="left"/>
            </w:pPr>
            <w:r w:rsidRPr="00C01DE6">
              <w:t>Then …</w:t>
            </w:r>
          </w:p>
        </w:tc>
      </w:tr>
      <w:tr w:rsidR="00821C07" w:rsidRPr="00C01DE6" w14:paraId="53703040" w14:textId="77777777" w:rsidTr="0069452E">
        <w:tc>
          <w:tcPr>
            <w:tcW w:w="3140" w:type="dxa"/>
            <w:tcBorders>
              <w:top w:val="single" w:sz="6" w:space="0" w:color="auto"/>
              <w:left w:val="single" w:sz="6" w:space="0" w:color="auto"/>
              <w:bottom w:val="single" w:sz="6" w:space="0" w:color="auto"/>
              <w:right w:val="single" w:sz="6" w:space="0" w:color="auto"/>
            </w:tcBorders>
          </w:tcPr>
          <w:p w14:paraId="7D9DBC95" w14:textId="77777777" w:rsidR="00821C07" w:rsidRPr="00C01DE6" w:rsidRDefault="00821C07" w:rsidP="00B549C1">
            <w:pPr>
              <w:pStyle w:val="TableText"/>
            </w:pPr>
            <w:r w:rsidRPr="00C01DE6">
              <w:t>a need for additional evidence from a third-party or another issue that should be considered</w:t>
            </w:r>
          </w:p>
        </w:tc>
        <w:tc>
          <w:tcPr>
            <w:tcW w:w="4420" w:type="dxa"/>
            <w:tcBorders>
              <w:top w:val="single" w:sz="6" w:space="0" w:color="auto"/>
              <w:left w:val="single" w:sz="6" w:space="0" w:color="auto"/>
              <w:bottom w:val="single" w:sz="6" w:space="0" w:color="auto"/>
              <w:right w:val="single" w:sz="6" w:space="0" w:color="auto"/>
            </w:tcBorders>
          </w:tcPr>
          <w:p w14:paraId="275890AC" w14:textId="77777777" w:rsidR="00821C07" w:rsidRPr="00C01DE6" w:rsidRDefault="00821C07">
            <w:pPr>
              <w:pStyle w:val="BulletText1"/>
            </w:pPr>
            <w:r w:rsidRPr="00C01DE6">
              <w:t>request the additional evidence</w:t>
            </w:r>
          </w:p>
          <w:p w14:paraId="0BB2E995" w14:textId="77777777" w:rsidR="00821C07" w:rsidRPr="00C01DE6" w:rsidRDefault="00821C07">
            <w:pPr>
              <w:pStyle w:val="BulletText1"/>
            </w:pPr>
            <w:r w:rsidRPr="00C01DE6">
              <w:t>address the other issue, and</w:t>
            </w:r>
          </w:p>
          <w:p w14:paraId="69B7BD76" w14:textId="77777777" w:rsidR="00821C07" w:rsidRPr="00C01DE6" w:rsidRDefault="00821C07">
            <w:pPr>
              <w:pStyle w:val="BulletText1"/>
            </w:pPr>
            <w:proofErr w:type="gramStart"/>
            <w:r w:rsidRPr="00C01DE6">
              <w:t>refer</w:t>
            </w:r>
            <w:proofErr w:type="gramEnd"/>
            <w:r w:rsidRPr="00C01DE6">
              <w:t xml:space="preserve"> the issue to the appropriate activity for development.</w:t>
            </w:r>
          </w:p>
          <w:p w14:paraId="48EC4AE2" w14:textId="77777777" w:rsidR="00821C07" w:rsidRPr="00C01DE6" w:rsidRDefault="00821C07">
            <w:pPr>
              <w:pStyle w:val="TableText"/>
            </w:pPr>
          </w:p>
          <w:p w14:paraId="2C0192F9" w14:textId="77777777" w:rsidR="00821C07" w:rsidRPr="00C01DE6" w:rsidRDefault="00821C07">
            <w:pPr>
              <w:pStyle w:val="TableText"/>
            </w:pPr>
            <w:r w:rsidRPr="00C01DE6">
              <w:rPr>
                <w:b/>
                <w:i/>
              </w:rPr>
              <w:t>Note</w:t>
            </w:r>
            <w:r w:rsidRPr="00C01DE6">
              <w:t xml:space="preserve">:  Do </w:t>
            </w:r>
            <w:r w:rsidRPr="00C01DE6">
              <w:rPr>
                <w:i/>
              </w:rPr>
              <w:t>not</w:t>
            </w:r>
            <w:r w:rsidRPr="00C01DE6">
              <w:t xml:space="preserve"> postpone a hearing for receipt of evidence.</w:t>
            </w:r>
          </w:p>
        </w:tc>
      </w:tr>
      <w:tr w:rsidR="00821C07" w:rsidRPr="00C01DE6" w14:paraId="14BA126B" w14:textId="77777777" w:rsidTr="0069452E">
        <w:tc>
          <w:tcPr>
            <w:tcW w:w="3140" w:type="dxa"/>
            <w:tcBorders>
              <w:top w:val="single" w:sz="6" w:space="0" w:color="auto"/>
              <w:left w:val="single" w:sz="6" w:space="0" w:color="auto"/>
              <w:bottom w:val="single" w:sz="6" w:space="0" w:color="auto"/>
              <w:right w:val="single" w:sz="6" w:space="0" w:color="auto"/>
            </w:tcBorders>
          </w:tcPr>
          <w:p w14:paraId="11F7E045" w14:textId="77777777" w:rsidR="00821C07" w:rsidRPr="00C01DE6" w:rsidRDefault="00B549C1" w:rsidP="00B549C1">
            <w:pPr>
              <w:pStyle w:val="TableText"/>
            </w:pPr>
            <w:r w:rsidRPr="00C01DE6">
              <w:t>non-receipt of</w:t>
            </w:r>
            <w:r w:rsidR="00821C07" w:rsidRPr="00C01DE6">
              <w:t xml:space="preserve"> the evidence requested </w:t>
            </w:r>
          </w:p>
        </w:tc>
        <w:tc>
          <w:tcPr>
            <w:tcW w:w="4420" w:type="dxa"/>
            <w:tcBorders>
              <w:top w:val="single" w:sz="6" w:space="0" w:color="auto"/>
              <w:left w:val="single" w:sz="6" w:space="0" w:color="auto"/>
              <w:bottom w:val="single" w:sz="6" w:space="0" w:color="auto"/>
              <w:right w:val="single" w:sz="6" w:space="0" w:color="auto"/>
            </w:tcBorders>
          </w:tcPr>
          <w:p w14:paraId="6D636273" w14:textId="77777777" w:rsidR="00821C07" w:rsidRPr="00C01DE6" w:rsidRDefault="00821C07">
            <w:pPr>
              <w:pStyle w:val="TableText"/>
            </w:pPr>
            <w:proofErr w:type="gramStart"/>
            <w:r w:rsidRPr="00C01DE6">
              <w:t>provide</w:t>
            </w:r>
            <w:proofErr w:type="gramEnd"/>
            <w:r w:rsidRPr="00C01DE6">
              <w:t xml:space="preserve"> the claimant with the standard notification that the evidence was not received.</w:t>
            </w:r>
          </w:p>
          <w:p w14:paraId="18C4B623" w14:textId="77777777" w:rsidR="00821C07" w:rsidRPr="00C01DE6" w:rsidRDefault="00821C07">
            <w:pPr>
              <w:pStyle w:val="TableText"/>
            </w:pPr>
          </w:p>
          <w:p w14:paraId="4D8C26D2" w14:textId="77777777" w:rsidR="00821C07" w:rsidRPr="00C01DE6" w:rsidRDefault="00821C07" w:rsidP="00EE6595">
            <w:pPr>
              <w:pStyle w:val="TableText"/>
            </w:pPr>
            <w:r w:rsidRPr="00C01DE6">
              <w:rPr>
                <w:b/>
                <w:i/>
              </w:rPr>
              <w:t>Reference</w:t>
            </w:r>
            <w:r w:rsidRPr="00C01DE6">
              <w:t xml:space="preserve">:  For more information on </w:t>
            </w:r>
            <w:r w:rsidR="005109E1" w:rsidRPr="00C01DE6">
              <w:t>requesting evidence</w:t>
            </w:r>
            <w:r w:rsidR="00EE6595" w:rsidRPr="00C01DE6">
              <w:t xml:space="preserve"> from the claimant and controlling responses</w:t>
            </w:r>
            <w:r w:rsidRPr="00C01DE6">
              <w:t xml:space="preserve">, see </w:t>
            </w:r>
            <w:r w:rsidR="008F53BD" w:rsidRPr="00C01DE6">
              <w:t xml:space="preserve">M21-1, Part </w:t>
            </w:r>
            <w:r w:rsidR="00EE6595" w:rsidRPr="00C01DE6">
              <w:t>II</w:t>
            </w:r>
            <w:r w:rsidR="008F53BD" w:rsidRPr="00C01DE6">
              <w:t xml:space="preserve">I, </w:t>
            </w:r>
            <w:r w:rsidR="00977A79" w:rsidRPr="00C01DE6">
              <w:t xml:space="preserve">Subpart iii, </w:t>
            </w:r>
            <w:r w:rsidR="00EE6595" w:rsidRPr="00C01DE6">
              <w:t>1.B</w:t>
            </w:r>
            <w:r w:rsidRPr="00C01DE6">
              <w:t>.</w:t>
            </w:r>
          </w:p>
        </w:tc>
      </w:tr>
    </w:tbl>
    <w:p w14:paraId="41615B54" w14:textId="77777777" w:rsidR="00821C07" w:rsidRPr="00C01DE6" w:rsidRDefault="00821C07" w:rsidP="00EE6595">
      <w:pPr>
        <w:pStyle w:val="BlockLine"/>
        <w:pBdr>
          <w:top w:val="single" w:sz="6" w:space="7" w:color="000000"/>
        </w:pBdr>
      </w:pPr>
    </w:p>
    <w:p w14:paraId="4EF971CB" w14:textId="77777777" w:rsidR="00821C07" w:rsidRPr="00C01DE6" w:rsidRDefault="00821C07">
      <w:pPr>
        <w:pStyle w:val="Heading4"/>
      </w:pPr>
      <w:r w:rsidRPr="00C01DE6">
        <w:br w:type="page"/>
      </w:r>
      <w:r w:rsidRPr="00C01DE6">
        <w:lastRenderedPageBreak/>
        <w:t>4.  Conducting the Hearing</w:t>
      </w:r>
    </w:p>
    <w:p w14:paraId="528F4F23"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666BF361" w14:textId="77777777">
        <w:trPr>
          <w:cantSplit/>
        </w:trPr>
        <w:tc>
          <w:tcPr>
            <w:tcW w:w="1728" w:type="dxa"/>
          </w:tcPr>
          <w:p w14:paraId="5EDBDC1D" w14:textId="77777777" w:rsidR="00821C07" w:rsidRPr="00C01DE6" w:rsidRDefault="00821C07">
            <w:pPr>
              <w:pStyle w:val="Heading5"/>
            </w:pPr>
            <w:r w:rsidRPr="00C01DE6">
              <w:t>Introduction</w:t>
            </w:r>
          </w:p>
        </w:tc>
        <w:tc>
          <w:tcPr>
            <w:tcW w:w="7740" w:type="dxa"/>
          </w:tcPr>
          <w:p w14:paraId="33981BAE" w14:textId="77777777" w:rsidR="00821C07" w:rsidRPr="00C01DE6" w:rsidRDefault="00821C07">
            <w:pPr>
              <w:pStyle w:val="BlockText"/>
            </w:pPr>
            <w:r w:rsidRPr="00C01DE6">
              <w:t>This topic contains information on</w:t>
            </w:r>
          </w:p>
          <w:p w14:paraId="6D6A9F33" w14:textId="77777777" w:rsidR="00821C07" w:rsidRPr="00C01DE6" w:rsidRDefault="00821C07">
            <w:pPr>
              <w:pStyle w:val="BlockText"/>
            </w:pPr>
          </w:p>
          <w:p w14:paraId="2E6A6230" w14:textId="77777777" w:rsidR="00821C07" w:rsidRPr="00C01DE6" w:rsidRDefault="00821C07">
            <w:pPr>
              <w:pStyle w:val="BulletText1"/>
            </w:pPr>
            <w:r w:rsidRPr="00C01DE6">
              <w:t>explaining the proceedings</w:t>
            </w:r>
          </w:p>
          <w:p w14:paraId="42458C40" w14:textId="77777777" w:rsidR="00821C07" w:rsidRPr="00C01DE6" w:rsidRDefault="00821C07">
            <w:pPr>
              <w:pStyle w:val="BulletText1"/>
            </w:pPr>
            <w:r w:rsidRPr="00C01DE6">
              <w:t>presence of an attorney</w:t>
            </w:r>
          </w:p>
          <w:p w14:paraId="012251AA" w14:textId="77777777" w:rsidR="00821C07" w:rsidRPr="00C01DE6" w:rsidRDefault="00821C07">
            <w:pPr>
              <w:pStyle w:val="BulletText1"/>
            </w:pPr>
            <w:r w:rsidRPr="00C01DE6">
              <w:t>advising the claimant of his/her right to a representative</w:t>
            </w:r>
          </w:p>
          <w:p w14:paraId="1CA39524" w14:textId="77777777" w:rsidR="00821C07" w:rsidRPr="00C01DE6" w:rsidRDefault="00821C07">
            <w:pPr>
              <w:pStyle w:val="BulletText1"/>
            </w:pPr>
            <w:r w:rsidRPr="00C01DE6">
              <w:t>statement of the issue</w:t>
            </w:r>
            <w:r w:rsidR="00EE6595" w:rsidRPr="00C01DE6">
              <w:t>(</w:t>
            </w:r>
            <w:r w:rsidRPr="00C01DE6">
              <w:t>s</w:t>
            </w:r>
            <w:r w:rsidR="00EE6595" w:rsidRPr="00C01DE6">
              <w:t>)</w:t>
            </w:r>
          </w:p>
          <w:p w14:paraId="4A9D4A44" w14:textId="77777777" w:rsidR="00821C07" w:rsidRPr="00C01DE6" w:rsidRDefault="00821C07">
            <w:pPr>
              <w:pStyle w:val="BulletText1"/>
            </w:pPr>
            <w:r w:rsidRPr="00C01DE6">
              <w:t>administering the oath or affirmation</w:t>
            </w:r>
          </w:p>
          <w:p w14:paraId="0F36DCEC" w14:textId="77777777" w:rsidR="00821C07" w:rsidRPr="00C01DE6" w:rsidRDefault="00821C07">
            <w:pPr>
              <w:pStyle w:val="BulletText1"/>
            </w:pPr>
            <w:r w:rsidRPr="00C01DE6">
              <w:t>starting the hearing</w:t>
            </w:r>
          </w:p>
          <w:p w14:paraId="46C60D2B" w14:textId="77777777" w:rsidR="00821C07" w:rsidRPr="00C01DE6" w:rsidRDefault="00821C07">
            <w:pPr>
              <w:pStyle w:val="BulletText1"/>
            </w:pPr>
            <w:r w:rsidRPr="00C01DE6">
              <w:t>gathering testimony and asking questions</w:t>
            </w:r>
          </w:p>
          <w:p w14:paraId="36F416BE" w14:textId="77777777" w:rsidR="00821C07" w:rsidRPr="00C01DE6" w:rsidRDefault="00821C07">
            <w:pPr>
              <w:pStyle w:val="BulletText1"/>
            </w:pPr>
            <w:r w:rsidRPr="00C01DE6">
              <w:t>alternate order of testimony and questioning</w:t>
            </w:r>
          </w:p>
          <w:p w14:paraId="4D1954FC" w14:textId="77777777" w:rsidR="00821C07" w:rsidRPr="00C01DE6" w:rsidRDefault="00821C07">
            <w:pPr>
              <w:pStyle w:val="BulletText1"/>
            </w:pPr>
            <w:r w:rsidRPr="00C01DE6">
              <w:t xml:space="preserve">conduct during the </w:t>
            </w:r>
            <w:r w:rsidR="000431C5" w:rsidRPr="00C01DE6">
              <w:t>testimony</w:t>
            </w:r>
            <w:r w:rsidRPr="00C01DE6">
              <w:t>, and</w:t>
            </w:r>
          </w:p>
          <w:p w14:paraId="5FDE18D8" w14:textId="77777777" w:rsidR="00821C07" w:rsidRPr="00C01DE6" w:rsidRDefault="00821C07">
            <w:pPr>
              <w:pStyle w:val="BulletText1"/>
            </w:pPr>
            <w:proofErr w:type="gramStart"/>
            <w:r w:rsidRPr="00C01DE6">
              <w:t>ending</w:t>
            </w:r>
            <w:proofErr w:type="gramEnd"/>
            <w:r w:rsidRPr="00C01DE6">
              <w:t xml:space="preserve"> the hearing.</w:t>
            </w:r>
          </w:p>
        </w:tc>
      </w:tr>
    </w:tbl>
    <w:p w14:paraId="5664B311"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5545C666" w14:textId="77777777">
        <w:trPr>
          <w:cantSplit/>
        </w:trPr>
        <w:tc>
          <w:tcPr>
            <w:tcW w:w="1728" w:type="dxa"/>
          </w:tcPr>
          <w:p w14:paraId="7036836A" w14:textId="77777777" w:rsidR="00821C07" w:rsidRPr="00C01DE6" w:rsidRDefault="00821C07">
            <w:pPr>
              <w:pStyle w:val="Heading5"/>
            </w:pPr>
            <w:r w:rsidRPr="00C01DE6">
              <w:t>Change Date</w:t>
            </w:r>
          </w:p>
        </w:tc>
        <w:tc>
          <w:tcPr>
            <w:tcW w:w="7740" w:type="dxa"/>
          </w:tcPr>
          <w:p w14:paraId="765C7D74" w14:textId="77777777" w:rsidR="00821C07" w:rsidRPr="00C01DE6" w:rsidRDefault="001648EE">
            <w:pPr>
              <w:pStyle w:val="BlockText"/>
            </w:pPr>
            <w:r w:rsidRPr="00C01DE6">
              <w:t>January 9, 2015</w:t>
            </w:r>
          </w:p>
        </w:tc>
      </w:tr>
    </w:tbl>
    <w:p w14:paraId="70D90940" w14:textId="77777777" w:rsidR="00821C07" w:rsidRPr="00C01DE6" w:rsidRDefault="00821C07" w:rsidP="00564DA3">
      <w:pPr>
        <w:pStyle w:val="BlockLine"/>
      </w:pPr>
    </w:p>
    <w:tbl>
      <w:tblPr>
        <w:tblW w:w="0" w:type="auto"/>
        <w:tblLayout w:type="fixed"/>
        <w:tblLook w:val="0000" w:firstRow="0" w:lastRow="0" w:firstColumn="0" w:lastColumn="0" w:noHBand="0" w:noVBand="0"/>
      </w:tblPr>
      <w:tblGrid>
        <w:gridCol w:w="1728"/>
        <w:gridCol w:w="7740"/>
      </w:tblGrid>
      <w:tr w:rsidR="00821C07" w:rsidRPr="00C01DE6" w14:paraId="77F48363" w14:textId="77777777">
        <w:trPr>
          <w:cantSplit/>
        </w:trPr>
        <w:tc>
          <w:tcPr>
            <w:tcW w:w="1728" w:type="dxa"/>
          </w:tcPr>
          <w:p w14:paraId="5144C00E" w14:textId="77777777" w:rsidR="00821C07" w:rsidRPr="00C01DE6" w:rsidRDefault="00821C07">
            <w:pPr>
              <w:pStyle w:val="Heading5"/>
            </w:pPr>
            <w:proofErr w:type="gramStart"/>
            <w:r w:rsidRPr="00C01DE6">
              <w:t>a.  Explaining</w:t>
            </w:r>
            <w:proofErr w:type="gramEnd"/>
            <w:r w:rsidRPr="00C01DE6">
              <w:t xml:space="preserve"> the Proceedings</w:t>
            </w:r>
          </w:p>
        </w:tc>
        <w:tc>
          <w:tcPr>
            <w:tcW w:w="7740" w:type="dxa"/>
          </w:tcPr>
          <w:p w14:paraId="5588B0D3" w14:textId="77777777" w:rsidR="00821C07" w:rsidRPr="00C01DE6" w:rsidRDefault="00821C07">
            <w:pPr>
              <w:pStyle w:val="BlockText"/>
              <w:rPr>
                <w:b/>
              </w:rPr>
            </w:pPr>
            <w:r w:rsidRPr="00C01DE6">
              <w:t>Follow the steps in the table below to greet the appellant and explain the proceedings.</w:t>
            </w:r>
          </w:p>
        </w:tc>
      </w:tr>
    </w:tbl>
    <w:p w14:paraId="7A616D04" w14:textId="77777777" w:rsidR="00821C07" w:rsidRPr="00C01DE6" w:rsidRDefault="00821C07"/>
    <w:tbl>
      <w:tblPr>
        <w:tblW w:w="0" w:type="auto"/>
        <w:tblInd w:w="1829" w:type="dxa"/>
        <w:tblLayout w:type="fixed"/>
        <w:tblLook w:val="0000" w:firstRow="0" w:lastRow="0" w:firstColumn="0" w:lastColumn="0" w:noHBand="0" w:noVBand="0"/>
      </w:tblPr>
      <w:tblGrid>
        <w:gridCol w:w="878"/>
        <w:gridCol w:w="6670"/>
      </w:tblGrid>
      <w:tr w:rsidR="00821C07" w:rsidRPr="00C01DE6" w14:paraId="3D7F9ECC" w14:textId="77777777" w:rsidTr="0069452E">
        <w:tc>
          <w:tcPr>
            <w:tcW w:w="878" w:type="dxa"/>
            <w:tcBorders>
              <w:top w:val="single" w:sz="6" w:space="0" w:color="auto"/>
              <w:left w:val="single" w:sz="6" w:space="0" w:color="auto"/>
              <w:bottom w:val="single" w:sz="6" w:space="0" w:color="auto"/>
              <w:right w:val="single" w:sz="6" w:space="0" w:color="auto"/>
            </w:tcBorders>
          </w:tcPr>
          <w:p w14:paraId="06A01CA1" w14:textId="77777777" w:rsidR="00821C07" w:rsidRPr="00C01DE6" w:rsidRDefault="00821C07">
            <w:pPr>
              <w:pStyle w:val="TableHeaderText"/>
            </w:pPr>
            <w:r w:rsidRPr="00C01DE6">
              <w:t>Step</w:t>
            </w:r>
          </w:p>
        </w:tc>
        <w:tc>
          <w:tcPr>
            <w:tcW w:w="6670" w:type="dxa"/>
            <w:tcBorders>
              <w:top w:val="single" w:sz="6" w:space="0" w:color="auto"/>
              <w:bottom w:val="single" w:sz="6" w:space="0" w:color="auto"/>
              <w:right w:val="single" w:sz="6" w:space="0" w:color="auto"/>
            </w:tcBorders>
          </w:tcPr>
          <w:p w14:paraId="47770ECD" w14:textId="77777777" w:rsidR="00821C07" w:rsidRPr="00C01DE6" w:rsidRDefault="00821C07">
            <w:pPr>
              <w:pStyle w:val="TableHeaderText"/>
            </w:pPr>
            <w:r w:rsidRPr="00C01DE6">
              <w:t>Action</w:t>
            </w:r>
          </w:p>
        </w:tc>
      </w:tr>
      <w:tr w:rsidR="00821C07" w:rsidRPr="00C01DE6" w14:paraId="6FCA1BF1" w14:textId="77777777" w:rsidTr="0069452E">
        <w:tc>
          <w:tcPr>
            <w:tcW w:w="878" w:type="dxa"/>
            <w:tcBorders>
              <w:top w:val="single" w:sz="6" w:space="0" w:color="auto"/>
              <w:left w:val="single" w:sz="6" w:space="0" w:color="auto"/>
              <w:bottom w:val="single" w:sz="6" w:space="0" w:color="auto"/>
              <w:right w:val="single" w:sz="6" w:space="0" w:color="auto"/>
            </w:tcBorders>
          </w:tcPr>
          <w:p w14:paraId="63FBC728" w14:textId="77777777" w:rsidR="00821C07" w:rsidRPr="00C01DE6" w:rsidRDefault="00821C07">
            <w:pPr>
              <w:pStyle w:val="TableText"/>
              <w:jc w:val="center"/>
            </w:pPr>
            <w:r w:rsidRPr="00C01DE6">
              <w:t>1</w:t>
            </w:r>
          </w:p>
        </w:tc>
        <w:tc>
          <w:tcPr>
            <w:tcW w:w="6670" w:type="dxa"/>
            <w:tcBorders>
              <w:top w:val="single" w:sz="6" w:space="0" w:color="auto"/>
              <w:bottom w:val="single" w:sz="6" w:space="0" w:color="auto"/>
              <w:right w:val="single" w:sz="6" w:space="0" w:color="auto"/>
            </w:tcBorders>
          </w:tcPr>
          <w:p w14:paraId="4D143B92" w14:textId="77777777" w:rsidR="00821C07" w:rsidRPr="00C01DE6" w:rsidRDefault="00821C07">
            <w:pPr>
              <w:pStyle w:val="BulletText1"/>
            </w:pPr>
            <w:r w:rsidRPr="00C01DE6">
              <w:t>Escort the claimant, witnesses, and his/her representative to the hearing room or appropriate waiting area</w:t>
            </w:r>
            <w:r w:rsidR="00331930" w:rsidRPr="00C01DE6">
              <w:t>.</w:t>
            </w:r>
          </w:p>
          <w:p w14:paraId="1C3E3B6A" w14:textId="77777777" w:rsidR="0023714C" w:rsidRPr="00C01DE6" w:rsidRDefault="0071360A">
            <w:pPr>
              <w:pStyle w:val="BulletText1"/>
            </w:pPr>
            <w:r w:rsidRPr="00C01DE6">
              <w:t>Where witnesses will be present at the hearing</w:t>
            </w:r>
            <w:r w:rsidR="00EE6595" w:rsidRPr="00C01DE6">
              <w:t>,</w:t>
            </w:r>
            <w:r w:rsidRPr="00C01DE6">
              <w:t xml:space="preserve"> ensure that</w:t>
            </w:r>
            <w:r w:rsidR="006D332B" w:rsidRPr="00C01DE6">
              <w:t xml:space="preserve"> </w:t>
            </w:r>
            <w:r w:rsidR="005756CC" w:rsidRPr="00C01DE6">
              <w:rPr>
                <w:i/>
              </w:rPr>
              <w:t>VA Form 5571</w:t>
            </w:r>
            <w:r w:rsidR="005756CC" w:rsidRPr="00C01DE6">
              <w:t xml:space="preserve">, </w:t>
            </w:r>
            <w:r w:rsidR="005756CC" w:rsidRPr="00C01DE6">
              <w:rPr>
                <w:i/>
              </w:rPr>
              <w:t>Authorization to Disclose a Record in the Presence of a Third Party</w:t>
            </w:r>
            <w:r w:rsidRPr="00C01DE6">
              <w:t xml:space="preserve"> or</w:t>
            </w:r>
            <w:r w:rsidR="005756CC" w:rsidRPr="00C01DE6">
              <w:rPr>
                <w:i/>
              </w:rPr>
              <w:t xml:space="preserve"> VA Form 21-0589</w:t>
            </w:r>
            <w:r w:rsidR="005756CC" w:rsidRPr="00C01DE6">
              <w:t>,</w:t>
            </w:r>
            <w:r w:rsidR="005756CC" w:rsidRPr="00C01DE6">
              <w:rPr>
                <w:i/>
              </w:rPr>
              <w:t xml:space="preserve"> Authorization to Disclose a Record in the Presence of a Third Party</w:t>
            </w:r>
            <w:r w:rsidRPr="00C01DE6">
              <w:t xml:space="preserve"> </w:t>
            </w:r>
            <w:r w:rsidR="00B301C1" w:rsidRPr="00C01DE6">
              <w:t xml:space="preserve">(as appropriate) </w:t>
            </w:r>
            <w:r w:rsidRPr="00C01DE6">
              <w:t xml:space="preserve">is completed.  </w:t>
            </w:r>
          </w:p>
          <w:p w14:paraId="1A7A1027" w14:textId="77777777" w:rsidR="00821C07" w:rsidRPr="00C01DE6" w:rsidRDefault="00331930" w:rsidP="0023714C">
            <w:pPr>
              <w:pStyle w:val="BulletText1"/>
            </w:pPr>
            <w:r w:rsidRPr="00C01DE6">
              <w:t>I</w:t>
            </w:r>
            <w:r w:rsidR="00821C07" w:rsidRPr="00C01DE6">
              <w:t>ntroduce yourself and other VA personnel present, and</w:t>
            </w:r>
            <w:r w:rsidR="0023714C" w:rsidRPr="00C01DE6">
              <w:t xml:space="preserve"> </w:t>
            </w:r>
            <w:r w:rsidR="00821C07" w:rsidRPr="00C01DE6">
              <w:t>begin the hearing without delay.</w:t>
            </w:r>
          </w:p>
          <w:p w14:paraId="57CA55F3" w14:textId="77777777" w:rsidR="00821C07" w:rsidRPr="00C01DE6" w:rsidRDefault="00821C07">
            <w:pPr>
              <w:pStyle w:val="TableText"/>
            </w:pPr>
          </w:p>
          <w:p w14:paraId="08502472" w14:textId="77777777" w:rsidR="0071360A" w:rsidRPr="00C01DE6" w:rsidRDefault="00821C07">
            <w:pPr>
              <w:pStyle w:val="TableText"/>
            </w:pPr>
            <w:r w:rsidRPr="00C01DE6">
              <w:rPr>
                <w:b/>
                <w:i/>
              </w:rPr>
              <w:t>Note</w:t>
            </w:r>
            <w:r w:rsidR="0071360A" w:rsidRPr="00C01DE6">
              <w:rPr>
                <w:b/>
                <w:i/>
              </w:rPr>
              <w:t>s</w:t>
            </w:r>
            <w:r w:rsidRPr="00C01DE6">
              <w:t xml:space="preserve">:  </w:t>
            </w:r>
          </w:p>
          <w:p w14:paraId="0592E2BD" w14:textId="77777777" w:rsidR="00821C07" w:rsidRPr="00C01DE6" w:rsidRDefault="00821C07" w:rsidP="0071360A">
            <w:pPr>
              <w:pStyle w:val="BulletText1"/>
            </w:pPr>
            <w:r w:rsidRPr="00C01DE6">
              <w:t>Listen carefully to the correct pronunciation of names.</w:t>
            </w:r>
          </w:p>
          <w:p w14:paraId="6F111E69" w14:textId="77777777" w:rsidR="0023714C" w:rsidRPr="00C01DE6" w:rsidRDefault="0071360A" w:rsidP="00842DCA">
            <w:pPr>
              <w:pStyle w:val="BulletText1"/>
            </w:pPr>
            <w:r w:rsidRPr="00C01DE6">
              <w:rPr>
                <w:i/>
              </w:rPr>
              <w:t>VA Form 55</w:t>
            </w:r>
            <w:r w:rsidR="00564DA3" w:rsidRPr="00C01DE6">
              <w:rPr>
                <w:i/>
              </w:rPr>
              <w:t xml:space="preserve">71 </w:t>
            </w:r>
            <w:r w:rsidRPr="00C01DE6">
              <w:t>authorizes VA under the Privacy Act</w:t>
            </w:r>
            <w:r w:rsidR="00564DA3" w:rsidRPr="00C01DE6">
              <w:t xml:space="preserve"> of 1974</w:t>
            </w:r>
            <w:r w:rsidRPr="00C01DE6">
              <w:t xml:space="preserve"> to review and discuss VA records on a specified topic relating to the Veteran </w:t>
            </w:r>
            <w:r w:rsidR="000E63BB" w:rsidRPr="00C01DE6">
              <w:t xml:space="preserve">or claimant </w:t>
            </w:r>
            <w:r w:rsidRPr="00C01DE6">
              <w:t xml:space="preserve">in the presence of an accompanying person.  </w:t>
            </w:r>
          </w:p>
          <w:p w14:paraId="7EC8935C" w14:textId="77777777" w:rsidR="0071360A" w:rsidRPr="00C01DE6" w:rsidRDefault="00842DCA" w:rsidP="0023714C">
            <w:pPr>
              <w:pStyle w:val="BulletText1"/>
            </w:pPr>
            <w:r w:rsidRPr="00C01DE6">
              <w:rPr>
                <w:i/>
              </w:rPr>
              <w:t>VA Form 21-0589</w:t>
            </w:r>
            <w:r w:rsidRPr="00C01DE6">
              <w:t xml:space="preserve"> permits VA to review and discuss records containing medical treatment for </w:t>
            </w:r>
            <w:r w:rsidR="00AC5001" w:rsidRPr="00C01DE6">
              <w:t xml:space="preserve">specified </w:t>
            </w:r>
            <w:r w:rsidRPr="00C01DE6">
              <w:t xml:space="preserve">conditions in front of named persons.  The claimant can include or </w:t>
            </w:r>
            <w:r w:rsidR="00171223" w:rsidRPr="00C01DE6">
              <w:t xml:space="preserve">exclude </w:t>
            </w:r>
            <w:r w:rsidRPr="00C01DE6">
              <w:t xml:space="preserve">information on drug abuse, alcoholism or alcohol abuse, human immunodeficiency virus or sickle cell anemia.  </w:t>
            </w:r>
          </w:p>
        </w:tc>
      </w:tr>
      <w:tr w:rsidR="00821C07" w:rsidRPr="00C01DE6" w14:paraId="7FAD7E98" w14:textId="77777777" w:rsidTr="0069452E">
        <w:tc>
          <w:tcPr>
            <w:tcW w:w="878" w:type="dxa"/>
            <w:tcBorders>
              <w:top w:val="single" w:sz="6" w:space="0" w:color="auto"/>
              <w:left w:val="single" w:sz="6" w:space="0" w:color="auto"/>
              <w:bottom w:val="single" w:sz="6" w:space="0" w:color="auto"/>
              <w:right w:val="single" w:sz="6" w:space="0" w:color="auto"/>
            </w:tcBorders>
          </w:tcPr>
          <w:p w14:paraId="379EDF91" w14:textId="77777777" w:rsidR="00821C07" w:rsidRPr="00C01DE6" w:rsidRDefault="00821C07">
            <w:pPr>
              <w:pStyle w:val="TableText"/>
              <w:jc w:val="center"/>
            </w:pPr>
            <w:r w:rsidRPr="00C01DE6">
              <w:t>2</w:t>
            </w:r>
          </w:p>
        </w:tc>
        <w:tc>
          <w:tcPr>
            <w:tcW w:w="6670" w:type="dxa"/>
            <w:tcBorders>
              <w:top w:val="single" w:sz="6" w:space="0" w:color="auto"/>
              <w:bottom w:val="single" w:sz="6" w:space="0" w:color="auto"/>
              <w:right w:val="single" w:sz="6" w:space="0" w:color="auto"/>
            </w:tcBorders>
          </w:tcPr>
          <w:p w14:paraId="64F3909F" w14:textId="77777777" w:rsidR="00821C07" w:rsidRPr="00C01DE6" w:rsidRDefault="00821C07">
            <w:pPr>
              <w:pStyle w:val="TableText"/>
            </w:pPr>
            <w:r w:rsidRPr="00C01DE6">
              <w:t>Explain the</w:t>
            </w:r>
          </w:p>
          <w:p w14:paraId="6F000085" w14:textId="77777777" w:rsidR="00821C07" w:rsidRPr="00C01DE6" w:rsidRDefault="00821C07">
            <w:pPr>
              <w:pStyle w:val="BulletText1"/>
            </w:pPr>
            <w:r w:rsidRPr="00C01DE6">
              <w:t>nature and purpose of the hearing, and</w:t>
            </w:r>
          </w:p>
          <w:p w14:paraId="6E20E992" w14:textId="77777777" w:rsidR="00821C07" w:rsidRPr="00C01DE6" w:rsidRDefault="00821C07">
            <w:pPr>
              <w:pStyle w:val="BulletText1"/>
            </w:pPr>
            <w:proofErr w:type="gramStart"/>
            <w:r w:rsidRPr="00C01DE6">
              <w:lastRenderedPageBreak/>
              <w:t>necessity</w:t>
            </w:r>
            <w:proofErr w:type="gramEnd"/>
            <w:r w:rsidRPr="00C01DE6">
              <w:t xml:space="preserve"> for and use of recording equipment.</w:t>
            </w:r>
          </w:p>
        </w:tc>
      </w:tr>
      <w:tr w:rsidR="00821C07" w:rsidRPr="00C01DE6" w14:paraId="2CE94385" w14:textId="77777777" w:rsidTr="0069452E">
        <w:tc>
          <w:tcPr>
            <w:tcW w:w="878" w:type="dxa"/>
            <w:tcBorders>
              <w:top w:val="single" w:sz="6" w:space="0" w:color="auto"/>
              <w:left w:val="single" w:sz="6" w:space="0" w:color="auto"/>
              <w:bottom w:val="single" w:sz="6" w:space="0" w:color="auto"/>
              <w:right w:val="single" w:sz="6" w:space="0" w:color="auto"/>
            </w:tcBorders>
          </w:tcPr>
          <w:p w14:paraId="3DDE9776" w14:textId="77777777" w:rsidR="00821C07" w:rsidRPr="00C01DE6" w:rsidRDefault="00821C07">
            <w:pPr>
              <w:pStyle w:val="TableText"/>
              <w:jc w:val="center"/>
            </w:pPr>
            <w:r w:rsidRPr="00C01DE6">
              <w:lastRenderedPageBreak/>
              <w:t>3</w:t>
            </w:r>
          </w:p>
        </w:tc>
        <w:tc>
          <w:tcPr>
            <w:tcW w:w="6670" w:type="dxa"/>
            <w:tcBorders>
              <w:top w:val="single" w:sz="6" w:space="0" w:color="auto"/>
              <w:bottom w:val="single" w:sz="6" w:space="0" w:color="auto"/>
              <w:right w:val="single" w:sz="6" w:space="0" w:color="auto"/>
            </w:tcBorders>
          </w:tcPr>
          <w:p w14:paraId="1F6568A7" w14:textId="77777777" w:rsidR="00821C07" w:rsidRPr="00C01DE6" w:rsidRDefault="00821C07">
            <w:pPr>
              <w:pStyle w:val="TableText"/>
            </w:pPr>
            <w:r w:rsidRPr="00C01DE6">
              <w:t>Tell the claimant that a copy of the transcript is</w:t>
            </w:r>
          </w:p>
          <w:p w14:paraId="106C9FE5" w14:textId="77777777" w:rsidR="00821C07" w:rsidRPr="00C01DE6" w:rsidRDefault="00821C07">
            <w:pPr>
              <w:pStyle w:val="BulletText1"/>
            </w:pPr>
            <w:r w:rsidRPr="00C01DE6">
              <w:t>placed in the claims folder, and</w:t>
            </w:r>
          </w:p>
          <w:p w14:paraId="323EC3C6" w14:textId="77777777" w:rsidR="00821C07" w:rsidRPr="00C01DE6" w:rsidRDefault="00821C07">
            <w:pPr>
              <w:pStyle w:val="BulletText1"/>
            </w:pPr>
            <w:proofErr w:type="gramStart"/>
            <w:r w:rsidRPr="00C01DE6">
              <w:t>sent</w:t>
            </w:r>
            <w:proofErr w:type="gramEnd"/>
            <w:r w:rsidRPr="00C01DE6">
              <w:t xml:space="preserve"> to the claimant, if requested.</w:t>
            </w:r>
          </w:p>
        </w:tc>
      </w:tr>
      <w:tr w:rsidR="00821C07" w:rsidRPr="00C01DE6" w14:paraId="15CF6FEA" w14:textId="77777777" w:rsidTr="0069452E">
        <w:tc>
          <w:tcPr>
            <w:tcW w:w="878" w:type="dxa"/>
            <w:tcBorders>
              <w:top w:val="single" w:sz="6" w:space="0" w:color="auto"/>
              <w:left w:val="single" w:sz="6" w:space="0" w:color="auto"/>
              <w:bottom w:val="single" w:sz="6" w:space="0" w:color="auto"/>
              <w:right w:val="single" w:sz="6" w:space="0" w:color="auto"/>
            </w:tcBorders>
          </w:tcPr>
          <w:p w14:paraId="0BD00ED3" w14:textId="77777777" w:rsidR="00821C07" w:rsidRPr="00C01DE6" w:rsidRDefault="00821C07">
            <w:pPr>
              <w:pStyle w:val="TableText"/>
              <w:jc w:val="center"/>
            </w:pPr>
            <w:r w:rsidRPr="00C01DE6">
              <w:t>4</w:t>
            </w:r>
          </w:p>
        </w:tc>
        <w:tc>
          <w:tcPr>
            <w:tcW w:w="6670" w:type="dxa"/>
            <w:tcBorders>
              <w:top w:val="single" w:sz="6" w:space="0" w:color="auto"/>
              <w:bottom w:val="single" w:sz="6" w:space="0" w:color="auto"/>
              <w:right w:val="single" w:sz="6" w:space="0" w:color="auto"/>
            </w:tcBorders>
          </w:tcPr>
          <w:p w14:paraId="47D56F65" w14:textId="77777777" w:rsidR="00821C07" w:rsidRPr="00C01DE6" w:rsidRDefault="00821C07">
            <w:pPr>
              <w:pStyle w:val="TableText"/>
            </w:pPr>
            <w:r w:rsidRPr="00C01DE6">
              <w:t>Tell the claimant and witnesses that they may “go off the record” to</w:t>
            </w:r>
          </w:p>
          <w:p w14:paraId="621F5F1D" w14:textId="77777777" w:rsidR="00821C07" w:rsidRPr="00C01DE6" w:rsidRDefault="00821C07">
            <w:pPr>
              <w:pStyle w:val="BulletText1"/>
            </w:pPr>
            <w:r w:rsidRPr="00C01DE6">
              <w:t>collect their thoughts, or</w:t>
            </w:r>
          </w:p>
          <w:p w14:paraId="6890CB2D" w14:textId="77777777" w:rsidR="00821C07" w:rsidRPr="00C01DE6" w:rsidRDefault="00821C07">
            <w:pPr>
              <w:pStyle w:val="BulletText1"/>
            </w:pPr>
            <w:proofErr w:type="gramStart"/>
            <w:r w:rsidRPr="00C01DE6">
              <w:t>clarify</w:t>
            </w:r>
            <w:proofErr w:type="gramEnd"/>
            <w:r w:rsidRPr="00C01DE6">
              <w:t xml:space="preserve"> any matter.</w:t>
            </w:r>
          </w:p>
        </w:tc>
      </w:tr>
      <w:tr w:rsidR="00821C07" w:rsidRPr="00C01DE6" w14:paraId="1C46D274" w14:textId="77777777" w:rsidTr="0069452E">
        <w:tc>
          <w:tcPr>
            <w:tcW w:w="878" w:type="dxa"/>
            <w:tcBorders>
              <w:top w:val="single" w:sz="6" w:space="0" w:color="auto"/>
              <w:left w:val="single" w:sz="6" w:space="0" w:color="auto"/>
              <w:bottom w:val="single" w:sz="6" w:space="0" w:color="auto"/>
              <w:right w:val="single" w:sz="6" w:space="0" w:color="auto"/>
            </w:tcBorders>
          </w:tcPr>
          <w:p w14:paraId="5205336E" w14:textId="77777777" w:rsidR="00821C07" w:rsidRPr="00C01DE6" w:rsidRDefault="00821C07">
            <w:pPr>
              <w:pStyle w:val="TableText"/>
              <w:jc w:val="center"/>
            </w:pPr>
            <w:r w:rsidRPr="00C01DE6">
              <w:t>5</w:t>
            </w:r>
          </w:p>
        </w:tc>
        <w:tc>
          <w:tcPr>
            <w:tcW w:w="6670" w:type="dxa"/>
            <w:tcBorders>
              <w:top w:val="single" w:sz="6" w:space="0" w:color="auto"/>
              <w:bottom w:val="single" w:sz="6" w:space="0" w:color="auto"/>
              <w:right w:val="single" w:sz="6" w:space="0" w:color="auto"/>
            </w:tcBorders>
          </w:tcPr>
          <w:p w14:paraId="2C92F17B" w14:textId="77777777" w:rsidR="00821C07" w:rsidRPr="00C01DE6" w:rsidRDefault="00821C07">
            <w:pPr>
              <w:pStyle w:val="TableText"/>
            </w:pPr>
            <w:r w:rsidRPr="00C01DE6">
              <w:t>Explain the necessity of an oath or affirmation.</w:t>
            </w:r>
          </w:p>
        </w:tc>
      </w:tr>
    </w:tbl>
    <w:p w14:paraId="64046CA7" w14:textId="77777777" w:rsidR="006D332B" w:rsidRPr="00C01DE6" w:rsidRDefault="006D332B" w:rsidP="006D332B"/>
    <w:tbl>
      <w:tblPr>
        <w:tblW w:w="7732" w:type="dxa"/>
        <w:tblInd w:w="1728" w:type="dxa"/>
        <w:tblLayout w:type="fixed"/>
        <w:tblLook w:val="0000" w:firstRow="0" w:lastRow="0" w:firstColumn="0" w:lastColumn="0" w:noHBand="0" w:noVBand="0"/>
      </w:tblPr>
      <w:tblGrid>
        <w:gridCol w:w="7732"/>
      </w:tblGrid>
      <w:tr w:rsidR="006D332B" w:rsidRPr="00C01DE6" w14:paraId="78993EE7" w14:textId="77777777" w:rsidTr="006D332B">
        <w:tc>
          <w:tcPr>
            <w:tcW w:w="5000" w:type="pct"/>
            <w:shd w:val="clear" w:color="auto" w:fill="auto"/>
          </w:tcPr>
          <w:p w14:paraId="18C92B92" w14:textId="0872D061" w:rsidR="006D332B" w:rsidRPr="00C01DE6" w:rsidRDefault="006D332B" w:rsidP="00924F58">
            <w:pPr>
              <w:pStyle w:val="NoteText"/>
            </w:pPr>
            <w:r w:rsidRPr="00C01DE6">
              <w:rPr>
                <w:b/>
                <w:i/>
              </w:rPr>
              <w:t>Note</w:t>
            </w:r>
            <w:r w:rsidRPr="00C01DE6">
              <w:t>:</w:t>
            </w:r>
            <w:r w:rsidR="000437F3" w:rsidRPr="00C01DE6">
              <w:t xml:space="preserve"> </w:t>
            </w:r>
            <w:r w:rsidRPr="00C01DE6">
              <w:t xml:space="preserve"> </w:t>
            </w:r>
            <w:r w:rsidR="00924F58" w:rsidRPr="00C01DE6">
              <w:t>The above steps</w:t>
            </w:r>
            <w:r w:rsidRPr="00C01DE6">
              <w:t xml:space="preserve"> may be done before the transcription recording is started.  If so, once on the record</w:t>
            </w:r>
            <w:r w:rsidR="00924F58" w:rsidRPr="00C01DE6">
              <w:t>,</w:t>
            </w:r>
            <w:r w:rsidRPr="00C01DE6">
              <w:t xml:space="preserve"> briefly state that </w:t>
            </w:r>
            <w:r w:rsidR="00924F58" w:rsidRPr="00C01DE6">
              <w:t xml:space="preserve">the </w:t>
            </w:r>
            <w:r w:rsidRPr="00C01DE6">
              <w:t xml:space="preserve">matters </w:t>
            </w:r>
            <w:r w:rsidR="00924F58" w:rsidRPr="00C01DE6">
              <w:t xml:space="preserve">were </w:t>
            </w:r>
            <w:r w:rsidRPr="00C01DE6">
              <w:t xml:space="preserve">discussed beforehand. </w:t>
            </w:r>
          </w:p>
        </w:tc>
      </w:tr>
    </w:tbl>
    <w:p w14:paraId="2A0F0CF8"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333793E7" w14:textId="77777777">
        <w:trPr>
          <w:cantSplit/>
        </w:trPr>
        <w:tc>
          <w:tcPr>
            <w:tcW w:w="1728" w:type="dxa"/>
          </w:tcPr>
          <w:p w14:paraId="1E7152E6" w14:textId="77777777" w:rsidR="00821C07" w:rsidRPr="00C01DE6" w:rsidRDefault="00821C07">
            <w:pPr>
              <w:pStyle w:val="Heading5"/>
            </w:pPr>
            <w:proofErr w:type="gramStart"/>
            <w:r w:rsidRPr="00C01DE6">
              <w:t>b.  Presence</w:t>
            </w:r>
            <w:proofErr w:type="gramEnd"/>
            <w:r w:rsidRPr="00C01DE6">
              <w:t xml:space="preserve"> of an Attorney</w:t>
            </w:r>
          </w:p>
        </w:tc>
        <w:tc>
          <w:tcPr>
            <w:tcW w:w="7740" w:type="dxa"/>
          </w:tcPr>
          <w:p w14:paraId="7C85FBFF" w14:textId="6F7D2BAD" w:rsidR="00821C07" w:rsidRPr="00C01DE6" w:rsidRDefault="00821C07">
            <w:pPr>
              <w:pStyle w:val="BlockText"/>
            </w:pPr>
            <w:r w:rsidRPr="00C01DE6">
              <w:t>When the claimant’s representative is an attorney, emphasize</w:t>
            </w:r>
            <w:r w:rsidR="00B351C5" w:rsidRPr="00C01DE6">
              <w:t xml:space="preserve"> the informal nature of RO hearings, specifically</w:t>
            </w:r>
          </w:p>
          <w:p w14:paraId="5271E5A2" w14:textId="77777777" w:rsidR="00656D24" w:rsidRPr="00C01DE6" w:rsidRDefault="00656D24">
            <w:pPr>
              <w:pStyle w:val="BlockText"/>
            </w:pPr>
          </w:p>
          <w:p w14:paraId="748D477B" w14:textId="02B54A1F" w:rsidR="00821C07" w:rsidRPr="00C01DE6" w:rsidRDefault="00821C07">
            <w:pPr>
              <w:pStyle w:val="BulletText1"/>
            </w:pPr>
            <w:r w:rsidRPr="00C01DE6">
              <w:t>that the</w:t>
            </w:r>
            <w:r w:rsidR="006D332B" w:rsidRPr="00C01DE6">
              <w:t xml:space="preserve"> </w:t>
            </w:r>
            <w:r w:rsidR="002D0434" w:rsidRPr="00C01DE6">
              <w:t>Federal Rules of Evidence</w:t>
            </w:r>
            <w:r w:rsidR="00EB1B9F" w:rsidRPr="00C01DE6">
              <w:t xml:space="preserve"> </w:t>
            </w:r>
            <w:r w:rsidR="006D332B" w:rsidRPr="00C01DE6">
              <w:t>do not apply</w:t>
            </w:r>
          </w:p>
          <w:p w14:paraId="6AFC396F" w14:textId="77777777" w:rsidR="006D332B" w:rsidRPr="00C01DE6" w:rsidRDefault="00821C07">
            <w:pPr>
              <w:pStyle w:val="BulletText1"/>
            </w:pPr>
            <w:r w:rsidRPr="00C01DE6">
              <w:t>that leading questions are permissible</w:t>
            </w:r>
            <w:r w:rsidR="006D332B" w:rsidRPr="00C01DE6">
              <w:t>, and</w:t>
            </w:r>
          </w:p>
          <w:p w14:paraId="69344BFC" w14:textId="77777777" w:rsidR="00821C07" w:rsidRPr="00C01DE6" w:rsidRDefault="006D332B" w:rsidP="006D332B">
            <w:pPr>
              <w:pStyle w:val="BulletText1"/>
            </w:pPr>
            <w:proofErr w:type="gramStart"/>
            <w:r w:rsidRPr="00C01DE6">
              <w:t>that</w:t>
            </w:r>
            <w:proofErr w:type="gramEnd"/>
            <w:r w:rsidRPr="00C01DE6">
              <w:t xml:space="preserve"> the hearing official may ask questions to clarify testimony or ensure that facts important to the legal standard of entitlement are addressed; the questioning will not constitute cross</w:t>
            </w:r>
            <w:r w:rsidR="00331930" w:rsidRPr="00C01DE6">
              <w:t>-</w:t>
            </w:r>
            <w:r w:rsidRPr="00C01DE6">
              <w:t xml:space="preserve">examination. </w:t>
            </w:r>
          </w:p>
          <w:p w14:paraId="1653FBB5" w14:textId="77777777" w:rsidR="006D332B" w:rsidRPr="00C01DE6" w:rsidRDefault="006D332B" w:rsidP="006D332B">
            <w:pPr>
              <w:pStyle w:val="BlockText"/>
            </w:pPr>
          </w:p>
          <w:p w14:paraId="2EEC1D94" w14:textId="31241F4D" w:rsidR="006D332B" w:rsidRPr="00C01DE6" w:rsidRDefault="006D332B" w:rsidP="00F727F3">
            <w:pPr>
              <w:pStyle w:val="BlockText"/>
            </w:pPr>
            <w:r w:rsidRPr="00C01DE6">
              <w:rPr>
                <w:b/>
                <w:i/>
              </w:rPr>
              <w:t>Reference</w:t>
            </w:r>
            <w:r w:rsidRPr="00C01DE6">
              <w:t>:</w:t>
            </w:r>
            <w:r w:rsidR="00AA7D5F" w:rsidRPr="00C01DE6">
              <w:t xml:space="preserve"> </w:t>
            </w:r>
            <w:r w:rsidRPr="00C01DE6">
              <w:t xml:space="preserve"> For more information on </w:t>
            </w:r>
            <w:r w:rsidR="008455A6" w:rsidRPr="00C01DE6">
              <w:t xml:space="preserve">guidelines for evaluating evidence, </w:t>
            </w:r>
            <w:r w:rsidRPr="00C01DE6">
              <w:t xml:space="preserve">see </w:t>
            </w:r>
            <w:r w:rsidR="008F53BD" w:rsidRPr="00C01DE6">
              <w:t>M21-1, Part III, Subpart iv, 5.1</w:t>
            </w:r>
            <w:r w:rsidRPr="00C01DE6">
              <w:t>.</w:t>
            </w:r>
          </w:p>
        </w:tc>
      </w:tr>
    </w:tbl>
    <w:p w14:paraId="7631D64A"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0F68D846" w14:textId="77777777">
        <w:trPr>
          <w:cantSplit/>
        </w:trPr>
        <w:tc>
          <w:tcPr>
            <w:tcW w:w="1728" w:type="dxa"/>
          </w:tcPr>
          <w:p w14:paraId="70F6B8C2" w14:textId="77777777" w:rsidR="00821C07" w:rsidRPr="00C01DE6" w:rsidRDefault="00821C07">
            <w:pPr>
              <w:pStyle w:val="Heading5"/>
            </w:pPr>
            <w:proofErr w:type="gramStart"/>
            <w:r w:rsidRPr="00C01DE6">
              <w:t>c.  Advising</w:t>
            </w:r>
            <w:proofErr w:type="gramEnd"/>
            <w:r w:rsidRPr="00C01DE6">
              <w:t xml:space="preserve"> the Claimant of </w:t>
            </w:r>
            <w:proofErr w:type="spellStart"/>
            <w:r w:rsidRPr="00C01DE6">
              <w:t>His/Her</w:t>
            </w:r>
            <w:proofErr w:type="spellEnd"/>
            <w:r w:rsidRPr="00C01DE6">
              <w:t xml:space="preserve"> Right to a Representative</w:t>
            </w:r>
          </w:p>
        </w:tc>
        <w:tc>
          <w:tcPr>
            <w:tcW w:w="7740" w:type="dxa"/>
          </w:tcPr>
          <w:p w14:paraId="441AEFA0" w14:textId="77777777" w:rsidR="00821C07" w:rsidRPr="00C01DE6" w:rsidRDefault="00821C07">
            <w:pPr>
              <w:pStyle w:val="BlockText"/>
            </w:pPr>
            <w:r w:rsidRPr="00C01DE6">
              <w:t xml:space="preserve">Follow the steps in the table below when the claimant is not represented by an attorney, </w:t>
            </w:r>
            <w:r w:rsidR="00797194" w:rsidRPr="00C01DE6">
              <w:t>VSO</w:t>
            </w:r>
            <w:r w:rsidRPr="00C01DE6">
              <w:t>, agent, or other third party.</w:t>
            </w:r>
          </w:p>
          <w:p w14:paraId="1A357226" w14:textId="28B41F20" w:rsidR="00821C07" w:rsidRPr="00C01DE6" w:rsidRDefault="00821C07" w:rsidP="008455A6">
            <w:pPr>
              <w:pStyle w:val="BlockText"/>
            </w:pPr>
          </w:p>
        </w:tc>
      </w:tr>
    </w:tbl>
    <w:p w14:paraId="443DBF4F" w14:textId="77777777" w:rsidR="00821C07" w:rsidRPr="00C01DE6" w:rsidRDefault="00821C07"/>
    <w:tbl>
      <w:tblPr>
        <w:tblW w:w="0" w:type="auto"/>
        <w:tblInd w:w="1829" w:type="dxa"/>
        <w:tblLayout w:type="fixed"/>
        <w:tblLook w:val="0000" w:firstRow="0" w:lastRow="0" w:firstColumn="0" w:lastColumn="0" w:noHBand="0" w:noVBand="0"/>
      </w:tblPr>
      <w:tblGrid>
        <w:gridCol w:w="878"/>
        <w:gridCol w:w="6670"/>
      </w:tblGrid>
      <w:tr w:rsidR="00821C07" w:rsidRPr="00C01DE6" w14:paraId="48B074C2" w14:textId="77777777" w:rsidTr="00690385">
        <w:trPr>
          <w:cantSplit/>
        </w:trPr>
        <w:tc>
          <w:tcPr>
            <w:tcW w:w="878" w:type="dxa"/>
            <w:tcBorders>
              <w:top w:val="single" w:sz="6" w:space="0" w:color="auto"/>
              <w:left w:val="single" w:sz="6" w:space="0" w:color="auto"/>
              <w:bottom w:val="single" w:sz="6" w:space="0" w:color="auto"/>
              <w:right w:val="single" w:sz="6" w:space="0" w:color="auto"/>
            </w:tcBorders>
          </w:tcPr>
          <w:p w14:paraId="0FE1174A" w14:textId="77777777" w:rsidR="00821C07" w:rsidRPr="00C01DE6" w:rsidRDefault="00821C07">
            <w:pPr>
              <w:pStyle w:val="TableHeaderText"/>
            </w:pPr>
            <w:r w:rsidRPr="00C01DE6">
              <w:t>Step</w:t>
            </w:r>
          </w:p>
        </w:tc>
        <w:tc>
          <w:tcPr>
            <w:tcW w:w="6670" w:type="dxa"/>
            <w:tcBorders>
              <w:top w:val="single" w:sz="6" w:space="0" w:color="auto"/>
              <w:bottom w:val="single" w:sz="6" w:space="0" w:color="auto"/>
              <w:right w:val="single" w:sz="6" w:space="0" w:color="auto"/>
            </w:tcBorders>
          </w:tcPr>
          <w:p w14:paraId="49472057" w14:textId="77777777" w:rsidR="00821C07" w:rsidRPr="00C01DE6" w:rsidRDefault="00821C07">
            <w:pPr>
              <w:pStyle w:val="TableHeaderText"/>
            </w:pPr>
            <w:r w:rsidRPr="00C01DE6">
              <w:t>Action</w:t>
            </w:r>
          </w:p>
        </w:tc>
      </w:tr>
      <w:tr w:rsidR="00821C07" w:rsidRPr="00C01DE6" w14:paraId="247E23E2" w14:textId="77777777" w:rsidTr="00690385">
        <w:trPr>
          <w:cantSplit/>
        </w:trPr>
        <w:tc>
          <w:tcPr>
            <w:tcW w:w="878" w:type="dxa"/>
            <w:tcBorders>
              <w:top w:val="single" w:sz="6" w:space="0" w:color="auto"/>
              <w:left w:val="single" w:sz="6" w:space="0" w:color="auto"/>
              <w:bottom w:val="single" w:sz="6" w:space="0" w:color="auto"/>
              <w:right w:val="single" w:sz="6" w:space="0" w:color="auto"/>
            </w:tcBorders>
          </w:tcPr>
          <w:p w14:paraId="347C176F" w14:textId="77777777" w:rsidR="00821C07" w:rsidRPr="00C01DE6" w:rsidRDefault="00821C07">
            <w:pPr>
              <w:pStyle w:val="TableText"/>
              <w:jc w:val="center"/>
            </w:pPr>
            <w:r w:rsidRPr="00C01DE6">
              <w:t>1</w:t>
            </w:r>
          </w:p>
        </w:tc>
        <w:tc>
          <w:tcPr>
            <w:tcW w:w="6670" w:type="dxa"/>
            <w:tcBorders>
              <w:top w:val="single" w:sz="6" w:space="0" w:color="auto"/>
              <w:bottom w:val="single" w:sz="6" w:space="0" w:color="auto"/>
              <w:right w:val="single" w:sz="6" w:space="0" w:color="auto"/>
            </w:tcBorders>
          </w:tcPr>
          <w:p w14:paraId="179BD8D1" w14:textId="77777777" w:rsidR="00821C07" w:rsidRPr="00C01DE6" w:rsidRDefault="00821C07">
            <w:pPr>
              <w:pStyle w:val="TableText"/>
            </w:pPr>
            <w:r w:rsidRPr="00C01DE6">
              <w:t>Explain the availability of</w:t>
            </w:r>
          </w:p>
          <w:p w14:paraId="4D7FA1AF" w14:textId="77777777" w:rsidR="00560C34" w:rsidRPr="00C01DE6" w:rsidRDefault="00560C34">
            <w:pPr>
              <w:pStyle w:val="TableText"/>
            </w:pPr>
          </w:p>
          <w:p w14:paraId="50D97515" w14:textId="77777777" w:rsidR="00821C07" w:rsidRPr="00C01DE6" w:rsidRDefault="00821C07">
            <w:pPr>
              <w:pStyle w:val="BulletText1"/>
            </w:pPr>
            <w:r w:rsidRPr="00C01DE6">
              <w:t>a representative, or</w:t>
            </w:r>
          </w:p>
          <w:p w14:paraId="416D9872" w14:textId="16CAC470" w:rsidR="00821C07" w:rsidRPr="00C01DE6" w:rsidRDefault="00821C07" w:rsidP="000437F3">
            <w:pPr>
              <w:pStyle w:val="BulletText1"/>
            </w:pPr>
            <w:r w:rsidRPr="00C01DE6">
              <w:t xml:space="preserve">assistance by a member of the </w:t>
            </w:r>
            <w:r w:rsidR="000437F3" w:rsidRPr="00C01DE6">
              <w:t>RO</w:t>
            </w:r>
            <w:r w:rsidRPr="00C01DE6">
              <w:t>.</w:t>
            </w:r>
          </w:p>
        </w:tc>
      </w:tr>
      <w:tr w:rsidR="00821C07" w:rsidRPr="00C01DE6" w14:paraId="4A28E6A4" w14:textId="77777777" w:rsidTr="00690385">
        <w:trPr>
          <w:cantSplit/>
        </w:trPr>
        <w:tc>
          <w:tcPr>
            <w:tcW w:w="878" w:type="dxa"/>
            <w:tcBorders>
              <w:top w:val="single" w:sz="6" w:space="0" w:color="auto"/>
              <w:left w:val="single" w:sz="6" w:space="0" w:color="auto"/>
              <w:bottom w:val="single" w:sz="6" w:space="0" w:color="auto"/>
              <w:right w:val="single" w:sz="6" w:space="0" w:color="auto"/>
            </w:tcBorders>
          </w:tcPr>
          <w:p w14:paraId="1633601C" w14:textId="77777777" w:rsidR="00821C07" w:rsidRPr="00C01DE6" w:rsidRDefault="00821C07">
            <w:pPr>
              <w:pStyle w:val="TableText"/>
              <w:jc w:val="center"/>
            </w:pPr>
            <w:r w:rsidRPr="00C01DE6">
              <w:t>2</w:t>
            </w:r>
          </w:p>
        </w:tc>
        <w:tc>
          <w:tcPr>
            <w:tcW w:w="6670" w:type="dxa"/>
            <w:tcBorders>
              <w:top w:val="single" w:sz="6" w:space="0" w:color="auto"/>
              <w:bottom w:val="single" w:sz="6" w:space="0" w:color="auto"/>
              <w:right w:val="single" w:sz="6" w:space="0" w:color="auto"/>
            </w:tcBorders>
          </w:tcPr>
          <w:p w14:paraId="4BFABED4" w14:textId="77777777" w:rsidR="00821C07" w:rsidRPr="00C01DE6" w:rsidRDefault="00821C07">
            <w:pPr>
              <w:pStyle w:val="BulletText1"/>
            </w:pPr>
            <w:r w:rsidRPr="00C01DE6">
              <w:t>Inform the claimant that there is</w:t>
            </w:r>
          </w:p>
          <w:p w14:paraId="346AA758" w14:textId="77777777" w:rsidR="00560C34" w:rsidRPr="00C01DE6" w:rsidRDefault="00560C34" w:rsidP="00560C34">
            <w:pPr>
              <w:pStyle w:val="BulletText1"/>
              <w:numPr>
                <w:ilvl w:val="0"/>
                <w:numId w:val="0"/>
              </w:numPr>
              <w:ind w:left="173"/>
            </w:pPr>
          </w:p>
          <w:p w14:paraId="6D77AEBE" w14:textId="77777777" w:rsidR="00821C07" w:rsidRPr="00C01DE6" w:rsidRDefault="00821C07">
            <w:pPr>
              <w:pStyle w:val="BulletText2"/>
            </w:pPr>
            <w:r w:rsidRPr="00C01DE6">
              <w:t>no obligation to join a VSO</w:t>
            </w:r>
          </w:p>
          <w:p w14:paraId="2377A629" w14:textId="77777777" w:rsidR="00821C07" w:rsidRPr="00C01DE6" w:rsidRDefault="00821C07">
            <w:pPr>
              <w:pStyle w:val="BulletText2"/>
            </w:pPr>
            <w:r w:rsidRPr="00C01DE6">
              <w:t>no charge for representation, and</w:t>
            </w:r>
          </w:p>
          <w:p w14:paraId="402E4564" w14:textId="77777777" w:rsidR="00821C07" w:rsidRPr="00C01DE6" w:rsidRDefault="00821C07" w:rsidP="008E62BE">
            <w:pPr>
              <w:numPr>
                <w:ilvl w:val="0"/>
                <w:numId w:val="8"/>
              </w:numPr>
              <w:ind w:left="346" w:hanging="187"/>
            </w:pPr>
            <w:proofErr w:type="gramStart"/>
            <w:r w:rsidRPr="00C01DE6">
              <w:t>advise</w:t>
            </w:r>
            <w:proofErr w:type="gramEnd"/>
            <w:r w:rsidRPr="00C01DE6">
              <w:t xml:space="preserve"> the claimant that representation is not mandatory.</w:t>
            </w:r>
          </w:p>
        </w:tc>
      </w:tr>
      <w:tr w:rsidR="00821C07" w:rsidRPr="00C01DE6" w14:paraId="6B7F8FC5" w14:textId="77777777">
        <w:trPr>
          <w:cantSplit/>
        </w:trPr>
        <w:tc>
          <w:tcPr>
            <w:tcW w:w="878" w:type="dxa"/>
            <w:tcBorders>
              <w:top w:val="single" w:sz="6" w:space="0" w:color="auto"/>
              <w:left w:val="single" w:sz="6" w:space="0" w:color="auto"/>
              <w:bottom w:val="single" w:sz="6" w:space="0" w:color="auto"/>
              <w:right w:val="single" w:sz="6" w:space="0" w:color="auto"/>
            </w:tcBorders>
          </w:tcPr>
          <w:p w14:paraId="1E250F33" w14:textId="77777777" w:rsidR="00821C07" w:rsidRPr="00C01DE6" w:rsidRDefault="00821C07">
            <w:pPr>
              <w:pStyle w:val="TableText"/>
              <w:jc w:val="center"/>
            </w:pPr>
            <w:r w:rsidRPr="00C01DE6">
              <w:lastRenderedPageBreak/>
              <w:t>3</w:t>
            </w:r>
          </w:p>
        </w:tc>
        <w:tc>
          <w:tcPr>
            <w:tcW w:w="6670" w:type="dxa"/>
            <w:tcBorders>
              <w:top w:val="single" w:sz="6" w:space="0" w:color="auto"/>
              <w:bottom w:val="single" w:sz="6" w:space="0" w:color="auto"/>
              <w:right w:val="single" w:sz="6" w:space="0" w:color="auto"/>
            </w:tcBorders>
          </w:tcPr>
          <w:p w14:paraId="0EC4E767" w14:textId="77777777" w:rsidR="00821C07" w:rsidRPr="00C01DE6" w:rsidRDefault="00821C07">
            <w:pPr>
              <w:pStyle w:val="TableText"/>
            </w:pPr>
            <w:r w:rsidRPr="00C01DE6">
              <w:t>Did the claimant request a representative?</w:t>
            </w:r>
          </w:p>
          <w:p w14:paraId="51D19C19" w14:textId="77777777" w:rsidR="00AA7D5F" w:rsidRPr="00C01DE6" w:rsidRDefault="00AA7D5F">
            <w:pPr>
              <w:pStyle w:val="TableText"/>
            </w:pPr>
          </w:p>
          <w:p w14:paraId="32EE2606" w14:textId="28F55B6C" w:rsidR="00821C07" w:rsidRPr="00C01DE6" w:rsidRDefault="00821C07">
            <w:pPr>
              <w:pStyle w:val="BulletText1"/>
            </w:pPr>
            <w:r w:rsidRPr="00C01DE6">
              <w:t xml:space="preserve">If </w:t>
            </w:r>
            <w:r w:rsidRPr="00C01DE6">
              <w:rPr>
                <w:i/>
              </w:rPr>
              <w:t>yes</w:t>
            </w:r>
            <w:r w:rsidR="000437F3" w:rsidRPr="00C01DE6">
              <w:rPr>
                <w:i/>
              </w:rPr>
              <w:t>,</w:t>
            </w:r>
          </w:p>
          <w:p w14:paraId="75357238" w14:textId="77777777" w:rsidR="00821C07" w:rsidRPr="00C01DE6" w:rsidRDefault="00821C07">
            <w:pPr>
              <w:pStyle w:val="BulletText2"/>
            </w:pPr>
            <w:r w:rsidRPr="00C01DE6">
              <w:t>take the claimant and his/her witnesses to the chosen representative</w:t>
            </w:r>
          </w:p>
          <w:p w14:paraId="1E6BB778" w14:textId="77777777" w:rsidR="00821C07" w:rsidRPr="00C01DE6" w:rsidRDefault="00821C07">
            <w:pPr>
              <w:pStyle w:val="BulletText2"/>
            </w:pPr>
            <w:r w:rsidRPr="00C01DE6">
              <w:t>explain the situation to the representative, and</w:t>
            </w:r>
          </w:p>
          <w:p w14:paraId="256A4A71" w14:textId="77777777" w:rsidR="00821C07" w:rsidRPr="00C01DE6" w:rsidRDefault="00821C07">
            <w:pPr>
              <w:pStyle w:val="BulletText2"/>
            </w:pPr>
            <w:proofErr w:type="gramStart"/>
            <w:r w:rsidRPr="00C01DE6">
              <w:t>go</w:t>
            </w:r>
            <w:proofErr w:type="gramEnd"/>
            <w:r w:rsidRPr="00C01DE6">
              <w:t xml:space="preserve"> to Step 4.</w:t>
            </w:r>
          </w:p>
          <w:p w14:paraId="79B68E57" w14:textId="77777777" w:rsidR="00821C07" w:rsidRPr="00C01DE6" w:rsidRDefault="00821C07">
            <w:pPr>
              <w:pStyle w:val="BulletText1"/>
            </w:pPr>
            <w:r w:rsidRPr="00C01DE6">
              <w:t xml:space="preserve">If </w:t>
            </w:r>
            <w:r w:rsidRPr="00C01DE6">
              <w:rPr>
                <w:i/>
              </w:rPr>
              <w:t>no</w:t>
            </w:r>
            <w:r w:rsidRPr="00C01DE6">
              <w:t>, proceed with the hearing.</w:t>
            </w:r>
          </w:p>
        </w:tc>
      </w:tr>
      <w:tr w:rsidR="00821C07" w:rsidRPr="00C01DE6" w14:paraId="6D50C0D2" w14:textId="77777777">
        <w:trPr>
          <w:cantSplit/>
        </w:trPr>
        <w:tc>
          <w:tcPr>
            <w:tcW w:w="878" w:type="dxa"/>
            <w:tcBorders>
              <w:top w:val="single" w:sz="6" w:space="0" w:color="auto"/>
              <w:left w:val="single" w:sz="6" w:space="0" w:color="auto"/>
              <w:bottom w:val="single" w:sz="6" w:space="0" w:color="auto"/>
              <w:right w:val="single" w:sz="6" w:space="0" w:color="auto"/>
            </w:tcBorders>
          </w:tcPr>
          <w:p w14:paraId="17BB75A0" w14:textId="77777777" w:rsidR="00821C07" w:rsidRPr="00C01DE6" w:rsidRDefault="00821C07">
            <w:pPr>
              <w:pStyle w:val="TableText"/>
              <w:jc w:val="center"/>
            </w:pPr>
            <w:r w:rsidRPr="00C01DE6">
              <w:t>4</w:t>
            </w:r>
          </w:p>
        </w:tc>
        <w:tc>
          <w:tcPr>
            <w:tcW w:w="6670" w:type="dxa"/>
            <w:tcBorders>
              <w:top w:val="single" w:sz="6" w:space="0" w:color="auto"/>
              <w:bottom w:val="single" w:sz="6" w:space="0" w:color="auto"/>
              <w:right w:val="single" w:sz="6" w:space="0" w:color="auto"/>
            </w:tcBorders>
          </w:tcPr>
          <w:p w14:paraId="0D9C34C0" w14:textId="77777777" w:rsidR="00821C07" w:rsidRPr="00C01DE6" w:rsidRDefault="00821C07">
            <w:pPr>
              <w:pStyle w:val="BulletText1"/>
            </w:pPr>
            <w:r w:rsidRPr="00C01DE6">
              <w:t>Set a new time for the hearing to begin, and</w:t>
            </w:r>
          </w:p>
          <w:p w14:paraId="3CA05103" w14:textId="77777777" w:rsidR="00821C07" w:rsidRPr="00C01DE6" w:rsidRDefault="00821C07">
            <w:pPr>
              <w:pStyle w:val="BulletText1"/>
            </w:pPr>
            <w:proofErr w:type="gramStart"/>
            <w:r w:rsidRPr="00C01DE6">
              <w:t>allow</w:t>
            </w:r>
            <w:proofErr w:type="gramEnd"/>
            <w:r w:rsidRPr="00C01DE6">
              <w:t xml:space="preserve"> adequate time for the representative to review the evidence.</w:t>
            </w:r>
          </w:p>
        </w:tc>
      </w:tr>
    </w:tbl>
    <w:p w14:paraId="4E02253C" w14:textId="37272AEB" w:rsidR="00821C07" w:rsidRPr="00C01DE6" w:rsidRDefault="00821C07" w:rsidP="005F3784"/>
    <w:tbl>
      <w:tblPr>
        <w:tblW w:w="7600" w:type="dxa"/>
        <w:tblInd w:w="1872" w:type="dxa"/>
        <w:tblLayout w:type="fixed"/>
        <w:tblLook w:val="0000" w:firstRow="0" w:lastRow="0" w:firstColumn="0" w:lastColumn="0" w:noHBand="0" w:noVBand="0"/>
      </w:tblPr>
      <w:tblGrid>
        <w:gridCol w:w="7600"/>
      </w:tblGrid>
      <w:tr w:rsidR="005F3784" w:rsidRPr="00C01DE6" w14:paraId="62E7E6D4" w14:textId="77777777" w:rsidTr="005F3784">
        <w:tc>
          <w:tcPr>
            <w:tcW w:w="5000" w:type="pct"/>
            <w:shd w:val="clear" w:color="auto" w:fill="auto"/>
          </w:tcPr>
          <w:p w14:paraId="71A85C40" w14:textId="593566B7" w:rsidR="005F3784" w:rsidRPr="00C01DE6" w:rsidRDefault="00B26924" w:rsidP="00B26924">
            <w:pPr>
              <w:pStyle w:val="NoteText"/>
            </w:pPr>
            <w:r w:rsidRPr="00C01DE6">
              <w:rPr>
                <w:b/>
                <w:i/>
              </w:rPr>
              <w:t>Reference</w:t>
            </w:r>
            <w:r w:rsidRPr="00C01DE6">
              <w:t>:  For more information on requirements for representation, see M21-1, Part I, 3.A.</w:t>
            </w:r>
          </w:p>
        </w:tc>
      </w:tr>
    </w:tbl>
    <w:p w14:paraId="287A738B" w14:textId="77777777" w:rsidR="005F3784" w:rsidRPr="00C01DE6" w:rsidRDefault="005F3784" w:rsidP="005F3784">
      <w:pPr>
        <w:pStyle w:val="BlockLine"/>
      </w:pPr>
    </w:p>
    <w:tbl>
      <w:tblPr>
        <w:tblW w:w="0" w:type="auto"/>
        <w:tblLayout w:type="fixed"/>
        <w:tblLook w:val="0000" w:firstRow="0" w:lastRow="0" w:firstColumn="0" w:lastColumn="0" w:noHBand="0" w:noVBand="0"/>
      </w:tblPr>
      <w:tblGrid>
        <w:gridCol w:w="1728"/>
        <w:gridCol w:w="7740"/>
      </w:tblGrid>
      <w:tr w:rsidR="00821C07" w:rsidRPr="00C01DE6" w14:paraId="6BE19EB2" w14:textId="77777777">
        <w:trPr>
          <w:cantSplit/>
        </w:trPr>
        <w:tc>
          <w:tcPr>
            <w:tcW w:w="1728" w:type="dxa"/>
          </w:tcPr>
          <w:p w14:paraId="435B4CAF" w14:textId="77777777" w:rsidR="00821C07" w:rsidRPr="00C01DE6" w:rsidRDefault="00821C07">
            <w:pPr>
              <w:pStyle w:val="Heading5"/>
            </w:pPr>
            <w:proofErr w:type="gramStart"/>
            <w:r w:rsidRPr="00C01DE6">
              <w:t>d.  Statement</w:t>
            </w:r>
            <w:proofErr w:type="gramEnd"/>
            <w:r w:rsidRPr="00C01DE6">
              <w:t xml:space="preserve"> of the Issue(s)</w:t>
            </w:r>
          </w:p>
        </w:tc>
        <w:tc>
          <w:tcPr>
            <w:tcW w:w="7740" w:type="dxa"/>
          </w:tcPr>
          <w:p w14:paraId="20999FE8" w14:textId="77777777" w:rsidR="00821C07" w:rsidRPr="00C01DE6" w:rsidRDefault="00821C07">
            <w:pPr>
              <w:pStyle w:val="BlockText"/>
            </w:pPr>
            <w:r w:rsidRPr="00C01DE6">
              <w:t>State the issue(s) in detail before testimony begins.  This will not be used to limit the scope of the relevant issue(s) or indicate to the claimant that testimony is to be curtailed.</w:t>
            </w:r>
          </w:p>
          <w:p w14:paraId="409841F3" w14:textId="77777777" w:rsidR="00821C07" w:rsidRPr="00C01DE6" w:rsidRDefault="00821C07">
            <w:pPr>
              <w:pStyle w:val="BlockText"/>
            </w:pPr>
          </w:p>
          <w:p w14:paraId="2C26E9BC" w14:textId="77777777" w:rsidR="00821C07" w:rsidRPr="00C01DE6" w:rsidRDefault="00821C07">
            <w:pPr>
              <w:pStyle w:val="BlockText"/>
            </w:pPr>
            <w:r w:rsidRPr="00C01DE6">
              <w:t>Ask the claimant and his/her representative if this is their understanding of the issue(s) and clarify any misunderstandings at this time.</w:t>
            </w:r>
          </w:p>
        </w:tc>
      </w:tr>
    </w:tbl>
    <w:p w14:paraId="499204DB"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02158324" w14:textId="77777777">
        <w:trPr>
          <w:cantSplit/>
        </w:trPr>
        <w:tc>
          <w:tcPr>
            <w:tcW w:w="1728" w:type="dxa"/>
          </w:tcPr>
          <w:p w14:paraId="01D11882" w14:textId="77777777" w:rsidR="00821C07" w:rsidRPr="00C01DE6" w:rsidRDefault="00821C07">
            <w:pPr>
              <w:pStyle w:val="Heading5"/>
            </w:pPr>
            <w:proofErr w:type="gramStart"/>
            <w:r w:rsidRPr="00C01DE6">
              <w:t>e.  Administering</w:t>
            </w:r>
            <w:proofErr w:type="gramEnd"/>
            <w:r w:rsidRPr="00C01DE6">
              <w:t xml:space="preserve"> the Oath or Affirmation</w:t>
            </w:r>
          </w:p>
        </w:tc>
        <w:tc>
          <w:tcPr>
            <w:tcW w:w="7740" w:type="dxa"/>
          </w:tcPr>
          <w:p w14:paraId="4DA5E9A0" w14:textId="77777777" w:rsidR="00821C07" w:rsidRPr="00C01DE6" w:rsidRDefault="00821C07">
            <w:pPr>
              <w:pStyle w:val="BlockText"/>
            </w:pPr>
            <w:r w:rsidRPr="00C01DE6">
              <w:t xml:space="preserve">All hearing testimony is to be given under oath or affirmation.  Administer the oath or affirmation </w:t>
            </w:r>
            <w:r w:rsidRPr="00C01DE6">
              <w:rPr>
                <w:i/>
              </w:rPr>
              <w:t>before</w:t>
            </w:r>
            <w:r w:rsidRPr="00C01DE6">
              <w:t xml:space="preserve"> recording begins.</w:t>
            </w:r>
          </w:p>
          <w:p w14:paraId="71007405" w14:textId="77777777" w:rsidR="00821C07" w:rsidRPr="00C01DE6" w:rsidRDefault="00821C07">
            <w:pPr>
              <w:pStyle w:val="BlockText"/>
            </w:pPr>
          </w:p>
          <w:p w14:paraId="396FCCF1" w14:textId="77777777" w:rsidR="00821C07" w:rsidRPr="00C01DE6" w:rsidRDefault="00821C07">
            <w:pPr>
              <w:pStyle w:val="BlockText"/>
            </w:pPr>
            <w:r w:rsidRPr="00C01DE6">
              <w:rPr>
                <w:b/>
                <w:i/>
              </w:rPr>
              <w:t>Note</w:t>
            </w:r>
            <w:r w:rsidRPr="00C01DE6">
              <w:t xml:space="preserve">:  The DRO or presiding member of the hearing panel has the authority to administer oaths and certify documents as evidenced by </w:t>
            </w:r>
            <w:r w:rsidRPr="00C01DE6">
              <w:rPr>
                <w:i/>
              </w:rPr>
              <w:t>VA Form 4505</w:t>
            </w:r>
            <w:r w:rsidR="00C962F7" w:rsidRPr="00C01DE6">
              <w:rPr>
                <w:i/>
              </w:rPr>
              <w:t>, Identification Card-Delegation of Authority</w:t>
            </w:r>
            <w:r w:rsidRPr="00C01DE6">
              <w:t>.</w:t>
            </w:r>
          </w:p>
          <w:p w14:paraId="11160D66" w14:textId="77777777" w:rsidR="00821C07" w:rsidRPr="00C01DE6" w:rsidRDefault="00821C07">
            <w:pPr>
              <w:pStyle w:val="BlockText"/>
            </w:pPr>
          </w:p>
          <w:p w14:paraId="160CBF59" w14:textId="77777777" w:rsidR="00821C07" w:rsidRPr="00C01DE6" w:rsidRDefault="00821C07">
            <w:pPr>
              <w:pStyle w:val="BlockText"/>
            </w:pPr>
            <w:r w:rsidRPr="00C01DE6">
              <w:t>Follow the steps in the table below to administer the oath or affirmation.</w:t>
            </w:r>
          </w:p>
        </w:tc>
      </w:tr>
    </w:tbl>
    <w:p w14:paraId="0E54AC56" w14:textId="77777777" w:rsidR="00821C07" w:rsidRPr="00C01DE6" w:rsidRDefault="00821C07"/>
    <w:tbl>
      <w:tblPr>
        <w:tblW w:w="0" w:type="auto"/>
        <w:tblInd w:w="1829" w:type="dxa"/>
        <w:tblLayout w:type="fixed"/>
        <w:tblLook w:val="0000" w:firstRow="0" w:lastRow="0" w:firstColumn="0" w:lastColumn="0" w:noHBand="0" w:noVBand="0"/>
      </w:tblPr>
      <w:tblGrid>
        <w:gridCol w:w="878"/>
        <w:gridCol w:w="6670"/>
      </w:tblGrid>
      <w:tr w:rsidR="00821C07" w:rsidRPr="00C01DE6" w14:paraId="16A698F4" w14:textId="77777777" w:rsidTr="00690385">
        <w:trPr>
          <w:cantSplit/>
        </w:trPr>
        <w:tc>
          <w:tcPr>
            <w:tcW w:w="878" w:type="dxa"/>
            <w:tcBorders>
              <w:top w:val="single" w:sz="6" w:space="0" w:color="auto"/>
              <w:left w:val="single" w:sz="6" w:space="0" w:color="auto"/>
              <w:bottom w:val="single" w:sz="6" w:space="0" w:color="auto"/>
              <w:right w:val="single" w:sz="6" w:space="0" w:color="auto"/>
            </w:tcBorders>
          </w:tcPr>
          <w:p w14:paraId="616411D2" w14:textId="77777777" w:rsidR="00821C07" w:rsidRPr="00C01DE6" w:rsidRDefault="00821C07">
            <w:pPr>
              <w:pStyle w:val="TableHeaderText"/>
            </w:pPr>
            <w:r w:rsidRPr="00C01DE6">
              <w:t>Step</w:t>
            </w:r>
          </w:p>
        </w:tc>
        <w:tc>
          <w:tcPr>
            <w:tcW w:w="6670" w:type="dxa"/>
            <w:tcBorders>
              <w:top w:val="single" w:sz="6" w:space="0" w:color="auto"/>
              <w:bottom w:val="single" w:sz="6" w:space="0" w:color="auto"/>
              <w:right w:val="single" w:sz="6" w:space="0" w:color="auto"/>
            </w:tcBorders>
          </w:tcPr>
          <w:p w14:paraId="570C8712" w14:textId="77777777" w:rsidR="00821C07" w:rsidRPr="00C01DE6" w:rsidRDefault="00821C07">
            <w:pPr>
              <w:pStyle w:val="TableHeaderText"/>
            </w:pPr>
            <w:r w:rsidRPr="00C01DE6">
              <w:t>Action</w:t>
            </w:r>
          </w:p>
        </w:tc>
      </w:tr>
      <w:tr w:rsidR="00821C07" w:rsidRPr="00C01DE6" w14:paraId="03E78CC2" w14:textId="77777777" w:rsidTr="00690385">
        <w:trPr>
          <w:cantSplit/>
        </w:trPr>
        <w:tc>
          <w:tcPr>
            <w:tcW w:w="878" w:type="dxa"/>
            <w:tcBorders>
              <w:top w:val="single" w:sz="6" w:space="0" w:color="auto"/>
              <w:left w:val="single" w:sz="6" w:space="0" w:color="auto"/>
              <w:bottom w:val="single" w:sz="6" w:space="0" w:color="auto"/>
              <w:right w:val="single" w:sz="6" w:space="0" w:color="auto"/>
            </w:tcBorders>
          </w:tcPr>
          <w:p w14:paraId="10469333" w14:textId="77777777" w:rsidR="00821C07" w:rsidRPr="00C01DE6" w:rsidRDefault="00821C07">
            <w:pPr>
              <w:pStyle w:val="TableText"/>
              <w:jc w:val="center"/>
            </w:pPr>
            <w:r w:rsidRPr="00C01DE6">
              <w:t>1</w:t>
            </w:r>
          </w:p>
        </w:tc>
        <w:tc>
          <w:tcPr>
            <w:tcW w:w="6670" w:type="dxa"/>
            <w:tcBorders>
              <w:top w:val="single" w:sz="6" w:space="0" w:color="auto"/>
              <w:bottom w:val="single" w:sz="6" w:space="0" w:color="auto"/>
              <w:right w:val="single" w:sz="6" w:space="0" w:color="auto"/>
            </w:tcBorders>
          </w:tcPr>
          <w:p w14:paraId="7E89B4BC" w14:textId="77777777" w:rsidR="00821C07" w:rsidRPr="00C01DE6" w:rsidRDefault="00821C07">
            <w:pPr>
              <w:pStyle w:val="TableText"/>
            </w:pPr>
            <w:r w:rsidRPr="00C01DE6">
              <w:t>Ask the claimant and his/her witnesses to stand and raise their right hand.</w:t>
            </w:r>
          </w:p>
        </w:tc>
      </w:tr>
      <w:tr w:rsidR="00821C07" w:rsidRPr="00C01DE6" w14:paraId="2282818E" w14:textId="77777777">
        <w:trPr>
          <w:cantSplit/>
        </w:trPr>
        <w:tc>
          <w:tcPr>
            <w:tcW w:w="878" w:type="dxa"/>
            <w:tcBorders>
              <w:top w:val="single" w:sz="6" w:space="0" w:color="auto"/>
              <w:left w:val="single" w:sz="6" w:space="0" w:color="auto"/>
              <w:bottom w:val="single" w:sz="6" w:space="0" w:color="auto"/>
              <w:right w:val="single" w:sz="6" w:space="0" w:color="auto"/>
            </w:tcBorders>
          </w:tcPr>
          <w:p w14:paraId="650F96B6" w14:textId="77777777" w:rsidR="00821C07" w:rsidRPr="00C01DE6" w:rsidRDefault="00821C07">
            <w:pPr>
              <w:pStyle w:val="TableText"/>
              <w:jc w:val="center"/>
            </w:pPr>
            <w:r w:rsidRPr="00C01DE6">
              <w:t>2</w:t>
            </w:r>
          </w:p>
        </w:tc>
        <w:tc>
          <w:tcPr>
            <w:tcW w:w="6670" w:type="dxa"/>
            <w:tcBorders>
              <w:top w:val="single" w:sz="6" w:space="0" w:color="auto"/>
              <w:bottom w:val="single" w:sz="6" w:space="0" w:color="auto"/>
              <w:right w:val="single" w:sz="6" w:space="0" w:color="auto"/>
            </w:tcBorders>
          </w:tcPr>
          <w:p w14:paraId="2215B2B7" w14:textId="77777777" w:rsidR="00821C07" w:rsidRPr="00C01DE6" w:rsidRDefault="00821C07">
            <w:pPr>
              <w:pStyle w:val="TableText"/>
            </w:pPr>
            <w:r w:rsidRPr="00C01DE6">
              <w:t>Administer the oath substantially as follows:</w:t>
            </w:r>
          </w:p>
          <w:p w14:paraId="3575CDDA" w14:textId="77777777" w:rsidR="00821C07" w:rsidRPr="00C01DE6" w:rsidRDefault="00821C07">
            <w:pPr>
              <w:pStyle w:val="TableText"/>
            </w:pPr>
          </w:p>
          <w:p w14:paraId="036706F4" w14:textId="77777777" w:rsidR="00821C07" w:rsidRPr="00C01DE6" w:rsidRDefault="00821C07" w:rsidP="00F727F3">
            <w:pPr>
              <w:pStyle w:val="TableText"/>
            </w:pPr>
            <w:r w:rsidRPr="00C01DE6">
              <w:t>“Do you swear (or affirm) the testimony you are about to give will be the truth and nothing but the truth?”</w:t>
            </w:r>
          </w:p>
        </w:tc>
      </w:tr>
    </w:tbl>
    <w:p w14:paraId="03B0DFEF"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237663FE" w14:textId="77777777" w:rsidTr="007B28DA">
        <w:tc>
          <w:tcPr>
            <w:tcW w:w="1728" w:type="dxa"/>
          </w:tcPr>
          <w:p w14:paraId="338B81E8" w14:textId="77777777" w:rsidR="00821C07" w:rsidRPr="00C01DE6" w:rsidRDefault="00821C07">
            <w:pPr>
              <w:pStyle w:val="Heading5"/>
            </w:pPr>
            <w:proofErr w:type="gramStart"/>
            <w:r w:rsidRPr="00C01DE6">
              <w:t>f.  Starting</w:t>
            </w:r>
            <w:proofErr w:type="gramEnd"/>
            <w:r w:rsidRPr="00C01DE6">
              <w:t xml:space="preserve"> the Hearing</w:t>
            </w:r>
          </w:p>
        </w:tc>
        <w:tc>
          <w:tcPr>
            <w:tcW w:w="7740" w:type="dxa"/>
          </w:tcPr>
          <w:p w14:paraId="0A036FF6" w14:textId="77777777" w:rsidR="00821C07" w:rsidRPr="00C01DE6" w:rsidRDefault="00821C07">
            <w:pPr>
              <w:pStyle w:val="BlockText"/>
            </w:pPr>
            <w:r w:rsidRPr="00C01DE6">
              <w:t xml:space="preserve">The </w:t>
            </w:r>
            <w:r w:rsidR="007B14D1" w:rsidRPr="00C01DE6">
              <w:t xml:space="preserve">hearing official </w:t>
            </w:r>
            <w:r w:rsidRPr="00C01DE6">
              <w:t>starts recording the hearing with the op</w:t>
            </w:r>
            <w:r w:rsidR="00375223" w:rsidRPr="00C01DE6">
              <w:t>ening statement which includes</w:t>
            </w:r>
          </w:p>
          <w:p w14:paraId="40EAD934" w14:textId="77777777" w:rsidR="00821C07" w:rsidRPr="00C01DE6" w:rsidRDefault="00821C07">
            <w:pPr>
              <w:pStyle w:val="BlockText"/>
            </w:pPr>
          </w:p>
          <w:p w14:paraId="0C9B7982" w14:textId="77777777" w:rsidR="00821C07" w:rsidRPr="00C01DE6" w:rsidRDefault="00375223">
            <w:pPr>
              <w:pStyle w:val="BulletText1"/>
            </w:pPr>
            <w:r w:rsidRPr="00C01DE6">
              <w:t xml:space="preserve">the </w:t>
            </w:r>
            <w:r w:rsidR="00821C07" w:rsidRPr="00C01DE6">
              <w:t>fact that a hearing is being held</w:t>
            </w:r>
          </w:p>
          <w:p w14:paraId="43912CFE" w14:textId="77777777" w:rsidR="00821C07" w:rsidRPr="00C01DE6" w:rsidRDefault="00375223">
            <w:pPr>
              <w:pStyle w:val="BulletText1"/>
            </w:pPr>
            <w:r w:rsidRPr="00C01DE6">
              <w:t xml:space="preserve">the </w:t>
            </w:r>
            <w:r w:rsidR="00821C07" w:rsidRPr="00C01DE6">
              <w:t>date and time of commencement of the hearing</w:t>
            </w:r>
          </w:p>
          <w:p w14:paraId="3377F207" w14:textId="77777777" w:rsidR="00821C07" w:rsidRPr="00C01DE6" w:rsidRDefault="00375223">
            <w:pPr>
              <w:pStyle w:val="BulletText1"/>
            </w:pPr>
            <w:r w:rsidRPr="00C01DE6">
              <w:t xml:space="preserve">the </w:t>
            </w:r>
            <w:r w:rsidR="00821C07" w:rsidRPr="00C01DE6">
              <w:t xml:space="preserve">name of the </w:t>
            </w:r>
            <w:r w:rsidRPr="00C01DE6">
              <w:t>hearing official</w:t>
            </w:r>
          </w:p>
          <w:p w14:paraId="1B8CC3A6" w14:textId="77777777" w:rsidR="00375223" w:rsidRPr="00C01DE6" w:rsidRDefault="00375223">
            <w:pPr>
              <w:pStyle w:val="BulletText1"/>
            </w:pPr>
            <w:r w:rsidRPr="00C01DE6">
              <w:lastRenderedPageBreak/>
              <w:t xml:space="preserve">the names of the claimant/beneficiary and any other witnesses who will testify </w:t>
            </w:r>
          </w:p>
          <w:p w14:paraId="023A6743" w14:textId="77777777" w:rsidR="00375223" w:rsidRPr="00C01DE6" w:rsidRDefault="00375223">
            <w:pPr>
              <w:pStyle w:val="BulletText1"/>
            </w:pPr>
            <w:r w:rsidRPr="00C01DE6">
              <w:t>the name of the representative (as applicable)</w:t>
            </w:r>
          </w:p>
          <w:p w14:paraId="15983269" w14:textId="77777777" w:rsidR="00821C07" w:rsidRPr="00C01DE6" w:rsidRDefault="00375223">
            <w:pPr>
              <w:pStyle w:val="BulletText1"/>
            </w:pPr>
            <w:r w:rsidRPr="00C01DE6">
              <w:t xml:space="preserve">the </w:t>
            </w:r>
            <w:r w:rsidR="00821C07" w:rsidRPr="00C01DE6">
              <w:t>file number</w:t>
            </w:r>
          </w:p>
          <w:p w14:paraId="0AD29B0D" w14:textId="77777777" w:rsidR="00821C07" w:rsidRPr="00C01DE6" w:rsidRDefault="00375223">
            <w:pPr>
              <w:pStyle w:val="BulletText1"/>
            </w:pPr>
            <w:r w:rsidRPr="00C01DE6">
              <w:t xml:space="preserve">the </w:t>
            </w:r>
            <w:r w:rsidR="00821C07" w:rsidRPr="00C01DE6">
              <w:t>fact that the claimant and any</w:t>
            </w:r>
            <w:r w:rsidRPr="00C01DE6">
              <w:t xml:space="preserve"> witnesses have been duly sworn</w:t>
            </w:r>
          </w:p>
          <w:p w14:paraId="4C92EEFB" w14:textId="77777777" w:rsidR="00821C07" w:rsidRPr="00C01DE6" w:rsidRDefault="00375223" w:rsidP="00375223">
            <w:pPr>
              <w:pStyle w:val="BulletText1"/>
            </w:pPr>
            <w:r w:rsidRPr="00C01DE6">
              <w:t xml:space="preserve">a </w:t>
            </w:r>
            <w:r w:rsidR="00821C07" w:rsidRPr="00C01DE6">
              <w:t>brief statement of issue(s)</w:t>
            </w:r>
            <w:r w:rsidRPr="00C01DE6">
              <w:t>, and</w:t>
            </w:r>
          </w:p>
          <w:p w14:paraId="3BE6E1EF" w14:textId="77777777" w:rsidR="00375223" w:rsidRPr="00C01DE6" w:rsidRDefault="00375223" w:rsidP="00375223">
            <w:pPr>
              <w:pStyle w:val="BulletText1"/>
            </w:pPr>
            <w:proofErr w:type="gramStart"/>
            <w:r w:rsidRPr="00C01DE6">
              <w:t>a</w:t>
            </w:r>
            <w:proofErr w:type="gramEnd"/>
            <w:r w:rsidRPr="00C01DE6">
              <w:t xml:space="preserve"> brief summary of matters discussed before going on the record such as the informal and non-adversarial nature of the proceedings, that the Federal Rules of Evidence do not apply, that the hearing official may ask questions but the</w:t>
            </w:r>
            <w:r w:rsidR="002B2A13" w:rsidRPr="00C01DE6">
              <w:t>r</w:t>
            </w:r>
            <w:r w:rsidRPr="00C01DE6">
              <w:t>e will be no cross</w:t>
            </w:r>
            <w:r w:rsidR="00343A9D" w:rsidRPr="00C01DE6">
              <w:t>-</w:t>
            </w:r>
            <w:r w:rsidRPr="00C01DE6">
              <w:t xml:space="preserve">examination, or that an unrepresented claimant/beneficiary was advised of the right of representation.  </w:t>
            </w:r>
          </w:p>
        </w:tc>
      </w:tr>
    </w:tbl>
    <w:p w14:paraId="0FE6DCC5" w14:textId="77777777" w:rsidR="00821C07" w:rsidRPr="00C01DE6" w:rsidRDefault="00821C07" w:rsidP="00375223">
      <w:pPr>
        <w:pStyle w:val="BlockLine"/>
      </w:pPr>
    </w:p>
    <w:tbl>
      <w:tblPr>
        <w:tblW w:w="0" w:type="auto"/>
        <w:tblLayout w:type="fixed"/>
        <w:tblLook w:val="0000" w:firstRow="0" w:lastRow="0" w:firstColumn="0" w:lastColumn="0" w:noHBand="0" w:noVBand="0"/>
      </w:tblPr>
      <w:tblGrid>
        <w:gridCol w:w="1728"/>
        <w:gridCol w:w="7740"/>
      </w:tblGrid>
      <w:tr w:rsidR="00821C07" w:rsidRPr="00C01DE6" w14:paraId="2D2B1D68" w14:textId="77777777">
        <w:trPr>
          <w:cantSplit/>
        </w:trPr>
        <w:tc>
          <w:tcPr>
            <w:tcW w:w="1728" w:type="dxa"/>
          </w:tcPr>
          <w:p w14:paraId="26B02EB6" w14:textId="77777777" w:rsidR="00821C07" w:rsidRPr="00C01DE6" w:rsidRDefault="00821C07">
            <w:pPr>
              <w:pStyle w:val="Heading5"/>
            </w:pPr>
            <w:proofErr w:type="gramStart"/>
            <w:r w:rsidRPr="00C01DE6">
              <w:t>g.  Gathering</w:t>
            </w:r>
            <w:proofErr w:type="gramEnd"/>
            <w:r w:rsidRPr="00C01DE6">
              <w:t xml:space="preserve"> Testimony and Asking Questions</w:t>
            </w:r>
          </w:p>
        </w:tc>
        <w:tc>
          <w:tcPr>
            <w:tcW w:w="7740" w:type="dxa"/>
          </w:tcPr>
          <w:p w14:paraId="4FFCB7FC" w14:textId="77777777" w:rsidR="00821C07" w:rsidRPr="00C01DE6" w:rsidRDefault="00821C07" w:rsidP="00375223">
            <w:pPr>
              <w:pStyle w:val="BlockText"/>
            </w:pPr>
            <w:r w:rsidRPr="00C01DE6">
              <w:t>The table below describes how to</w:t>
            </w:r>
            <w:r w:rsidR="00375223" w:rsidRPr="00C01DE6">
              <w:t xml:space="preserve"> elicit</w:t>
            </w:r>
            <w:r w:rsidRPr="00C01DE6">
              <w:t xml:space="preserve"> testimony and ask questions.</w:t>
            </w:r>
          </w:p>
        </w:tc>
      </w:tr>
    </w:tbl>
    <w:p w14:paraId="6A13F6F8" w14:textId="77777777" w:rsidR="00821C07" w:rsidRPr="00C01DE6" w:rsidRDefault="00821C07"/>
    <w:tbl>
      <w:tblPr>
        <w:tblW w:w="0" w:type="auto"/>
        <w:tblInd w:w="1800" w:type="dxa"/>
        <w:tblLayout w:type="fixed"/>
        <w:tblCellMar>
          <w:left w:w="80" w:type="dxa"/>
          <w:right w:w="80" w:type="dxa"/>
        </w:tblCellMar>
        <w:tblLook w:val="0000" w:firstRow="0" w:lastRow="0" w:firstColumn="0" w:lastColumn="0" w:noHBand="0" w:noVBand="0"/>
      </w:tblPr>
      <w:tblGrid>
        <w:gridCol w:w="890"/>
        <w:gridCol w:w="1710"/>
        <w:gridCol w:w="4960"/>
      </w:tblGrid>
      <w:tr w:rsidR="00821C07" w:rsidRPr="00C01DE6" w14:paraId="7D37BF63" w14:textId="77777777" w:rsidTr="00690385">
        <w:trPr>
          <w:cantSplit/>
        </w:trPr>
        <w:tc>
          <w:tcPr>
            <w:tcW w:w="890" w:type="dxa"/>
            <w:tcBorders>
              <w:top w:val="single" w:sz="6" w:space="0" w:color="auto"/>
              <w:left w:val="single" w:sz="6" w:space="0" w:color="auto"/>
              <w:bottom w:val="single" w:sz="6" w:space="0" w:color="auto"/>
              <w:right w:val="single" w:sz="6" w:space="0" w:color="auto"/>
            </w:tcBorders>
          </w:tcPr>
          <w:p w14:paraId="1AF68048" w14:textId="77777777" w:rsidR="00821C07" w:rsidRPr="00C01DE6" w:rsidRDefault="00821C07">
            <w:pPr>
              <w:pStyle w:val="TableHeaderText"/>
            </w:pPr>
            <w:r w:rsidRPr="00C01DE6">
              <w:t>Stage</w:t>
            </w:r>
          </w:p>
        </w:tc>
        <w:tc>
          <w:tcPr>
            <w:tcW w:w="1710" w:type="dxa"/>
            <w:tcBorders>
              <w:top w:val="single" w:sz="6" w:space="0" w:color="auto"/>
              <w:left w:val="single" w:sz="6" w:space="0" w:color="auto"/>
              <w:bottom w:val="single" w:sz="6" w:space="0" w:color="auto"/>
              <w:right w:val="single" w:sz="6" w:space="0" w:color="auto"/>
            </w:tcBorders>
          </w:tcPr>
          <w:p w14:paraId="7DA40B1E" w14:textId="77777777" w:rsidR="00821C07" w:rsidRPr="00C01DE6" w:rsidRDefault="00821C07">
            <w:pPr>
              <w:pStyle w:val="TableHeaderText"/>
            </w:pPr>
            <w:r w:rsidRPr="00C01DE6">
              <w:t>Who is Responsible</w:t>
            </w:r>
          </w:p>
        </w:tc>
        <w:tc>
          <w:tcPr>
            <w:tcW w:w="4960" w:type="dxa"/>
            <w:tcBorders>
              <w:top w:val="single" w:sz="6" w:space="0" w:color="auto"/>
              <w:left w:val="single" w:sz="6" w:space="0" w:color="auto"/>
              <w:bottom w:val="single" w:sz="6" w:space="0" w:color="auto"/>
              <w:right w:val="single" w:sz="6" w:space="0" w:color="auto"/>
            </w:tcBorders>
          </w:tcPr>
          <w:p w14:paraId="194B6A3F" w14:textId="77777777" w:rsidR="00821C07" w:rsidRPr="00C01DE6" w:rsidRDefault="00821C07">
            <w:pPr>
              <w:pStyle w:val="TableHeaderText"/>
            </w:pPr>
            <w:r w:rsidRPr="00C01DE6">
              <w:t>Action</w:t>
            </w:r>
          </w:p>
        </w:tc>
      </w:tr>
      <w:tr w:rsidR="00821C07" w:rsidRPr="00C01DE6" w14:paraId="3CD18AEB" w14:textId="77777777" w:rsidTr="00690385">
        <w:trPr>
          <w:cantSplit/>
        </w:trPr>
        <w:tc>
          <w:tcPr>
            <w:tcW w:w="890" w:type="dxa"/>
            <w:tcBorders>
              <w:top w:val="single" w:sz="6" w:space="0" w:color="auto"/>
              <w:left w:val="single" w:sz="6" w:space="0" w:color="auto"/>
              <w:bottom w:val="single" w:sz="6" w:space="0" w:color="auto"/>
              <w:right w:val="single" w:sz="6" w:space="0" w:color="auto"/>
            </w:tcBorders>
          </w:tcPr>
          <w:p w14:paraId="5EB62443" w14:textId="77777777" w:rsidR="00821C07" w:rsidRPr="00C01DE6" w:rsidRDefault="00821C07">
            <w:pPr>
              <w:pStyle w:val="TableText"/>
              <w:jc w:val="center"/>
            </w:pPr>
            <w:r w:rsidRPr="00C01DE6">
              <w:t>1</w:t>
            </w:r>
          </w:p>
        </w:tc>
        <w:tc>
          <w:tcPr>
            <w:tcW w:w="1710" w:type="dxa"/>
            <w:tcBorders>
              <w:top w:val="single" w:sz="6" w:space="0" w:color="auto"/>
              <w:left w:val="single" w:sz="6" w:space="0" w:color="auto"/>
              <w:bottom w:val="single" w:sz="6" w:space="0" w:color="auto"/>
              <w:right w:val="single" w:sz="6" w:space="0" w:color="auto"/>
            </w:tcBorders>
          </w:tcPr>
          <w:p w14:paraId="0C99FC61" w14:textId="77777777" w:rsidR="00821C07" w:rsidRPr="00C01DE6" w:rsidRDefault="00B87F05" w:rsidP="004B18B0">
            <w:pPr>
              <w:pStyle w:val="TableText"/>
            </w:pPr>
            <w:r w:rsidRPr="00C01DE6">
              <w:t>H</w:t>
            </w:r>
            <w:r w:rsidR="007B14D1" w:rsidRPr="00C01DE6">
              <w:t xml:space="preserve">earing </w:t>
            </w:r>
            <w:r w:rsidRPr="00C01DE6">
              <w:t>O</w:t>
            </w:r>
            <w:r w:rsidR="007B14D1" w:rsidRPr="00C01DE6">
              <w:t>fficial</w:t>
            </w:r>
          </w:p>
        </w:tc>
        <w:tc>
          <w:tcPr>
            <w:tcW w:w="4960" w:type="dxa"/>
            <w:tcBorders>
              <w:top w:val="single" w:sz="6" w:space="0" w:color="auto"/>
              <w:left w:val="single" w:sz="6" w:space="0" w:color="auto"/>
              <w:bottom w:val="single" w:sz="6" w:space="0" w:color="auto"/>
              <w:right w:val="single" w:sz="6" w:space="0" w:color="auto"/>
            </w:tcBorders>
          </w:tcPr>
          <w:p w14:paraId="0A73C725" w14:textId="77777777" w:rsidR="00821C07" w:rsidRPr="00C01DE6" w:rsidRDefault="00821C07" w:rsidP="00681D45">
            <w:r w:rsidRPr="00C01DE6">
              <w:t xml:space="preserve">Asks the representative, if present, </w:t>
            </w:r>
            <w:r w:rsidR="00681D45" w:rsidRPr="00C01DE6">
              <w:t xml:space="preserve">and/or claimant </w:t>
            </w:r>
            <w:r w:rsidRPr="00C01DE6">
              <w:t>if he/she desires to make an opening statement.</w:t>
            </w:r>
          </w:p>
          <w:p w14:paraId="16AB88DF" w14:textId="77777777" w:rsidR="00821C07" w:rsidRPr="00C01DE6" w:rsidRDefault="00821C07">
            <w:pPr>
              <w:pStyle w:val="TableText"/>
            </w:pPr>
          </w:p>
          <w:p w14:paraId="4DAE8FDA" w14:textId="77777777" w:rsidR="00821C07" w:rsidRPr="00C01DE6" w:rsidRDefault="00821C07" w:rsidP="00CF29C0">
            <w:pPr>
              <w:pStyle w:val="TableText"/>
            </w:pPr>
            <w:r w:rsidRPr="00C01DE6">
              <w:rPr>
                <w:b/>
                <w:i/>
              </w:rPr>
              <w:t>Note</w:t>
            </w:r>
            <w:r w:rsidRPr="00C01DE6">
              <w:t>:  A representative is allowed to introduce the claimant’s testimony and ask questions about it.</w:t>
            </w:r>
          </w:p>
        </w:tc>
      </w:tr>
      <w:tr w:rsidR="00821C07" w:rsidRPr="00C01DE6" w14:paraId="7296EE08" w14:textId="77777777">
        <w:trPr>
          <w:cantSplit/>
        </w:trPr>
        <w:tc>
          <w:tcPr>
            <w:tcW w:w="890" w:type="dxa"/>
            <w:tcBorders>
              <w:top w:val="single" w:sz="6" w:space="0" w:color="auto"/>
              <w:left w:val="single" w:sz="6" w:space="0" w:color="auto"/>
              <w:bottom w:val="single" w:sz="6" w:space="0" w:color="auto"/>
              <w:right w:val="single" w:sz="6" w:space="0" w:color="auto"/>
            </w:tcBorders>
          </w:tcPr>
          <w:p w14:paraId="4DCB225A" w14:textId="77777777" w:rsidR="00821C07" w:rsidRPr="00C01DE6" w:rsidRDefault="00821C07">
            <w:pPr>
              <w:pStyle w:val="TableText"/>
              <w:jc w:val="center"/>
            </w:pPr>
            <w:r w:rsidRPr="00C01DE6">
              <w:t>2</w:t>
            </w:r>
          </w:p>
        </w:tc>
        <w:tc>
          <w:tcPr>
            <w:tcW w:w="1710" w:type="dxa"/>
            <w:tcBorders>
              <w:top w:val="single" w:sz="6" w:space="0" w:color="auto"/>
              <w:left w:val="single" w:sz="6" w:space="0" w:color="auto"/>
              <w:bottom w:val="single" w:sz="6" w:space="0" w:color="auto"/>
              <w:right w:val="single" w:sz="6" w:space="0" w:color="auto"/>
            </w:tcBorders>
          </w:tcPr>
          <w:p w14:paraId="04F1AD64" w14:textId="77777777" w:rsidR="00821C07" w:rsidRPr="00C01DE6" w:rsidRDefault="00821C07">
            <w:pPr>
              <w:pStyle w:val="TableText"/>
            </w:pPr>
            <w:r w:rsidRPr="00C01DE6">
              <w:t>Claimant</w:t>
            </w:r>
          </w:p>
        </w:tc>
        <w:tc>
          <w:tcPr>
            <w:tcW w:w="4960" w:type="dxa"/>
            <w:tcBorders>
              <w:top w:val="single" w:sz="6" w:space="0" w:color="auto"/>
              <w:left w:val="single" w:sz="6" w:space="0" w:color="auto"/>
              <w:bottom w:val="single" w:sz="6" w:space="0" w:color="auto"/>
              <w:right w:val="single" w:sz="6" w:space="0" w:color="auto"/>
            </w:tcBorders>
          </w:tcPr>
          <w:p w14:paraId="46958EDF" w14:textId="77777777" w:rsidR="00821C07" w:rsidRPr="00C01DE6" w:rsidRDefault="00821C07">
            <w:pPr>
              <w:pStyle w:val="TableText"/>
            </w:pPr>
            <w:r w:rsidRPr="00C01DE6">
              <w:t>Provides testimony.</w:t>
            </w:r>
          </w:p>
        </w:tc>
      </w:tr>
      <w:tr w:rsidR="00821C07" w:rsidRPr="00C01DE6" w14:paraId="3486539B" w14:textId="77777777">
        <w:trPr>
          <w:cantSplit/>
        </w:trPr>
        <w:tc>
          <w:tcPr>
            <w:tcW w:w="890" w:type="dxa"/>
            <w:tcBorders>
              <w:top w:val="single" w:sz="6" w:space="0" w:color="auto"/>
              <w:left w:val="single" w:sz="6" w:space="0" w:color="auto"/>
              <w:bottom w:val="single" w:sz="6" w:space="0" w:color="auto"/>
              <w:right w:val="single" w:sz="6" w:space="0" w:color="auto"/>
            </w:tcBorders>
          </w:tcPr>
          <w:p w14:paraId="23368DC3" w14:textId="77777777" w:rsidR="00821C07" w:rsidRPr="00C01DE6" w:rsidRDefault="00821C07">
            <w:pPr>
              <w:pStyle w:val="TableText"/>
              <w:jc w:val="center"/>
            </w:pPr>
            <w:r w:rsidRPr="00C01DE6">
              <w:t>3</w:t>
            </w:r>
          </w:p>
        </w:tc>
        <w:tc>
          <w:tcPr>
            <w:tcW w:w="1710" w:type="dxa"/>
            <w:tcBorders>
              <w:top w:val="single" w:sz="6" w:space="0" w:color="auto"/>
              <w:left w:val="single" w:sz="6" w:space="0" w:color="auto"/>
              <w:bottom w:val="single" w:sz="6" w:space="0" w:color="auto"/>
              <w:right w:val="single" w:sz="6" w:space="0" w:color="auto"/>
            </w:tcBorders>
          </w:tcPr>
          <w:p w14:paraId="7EE9380B" w14:textId="77777777" w:rsidR="00821C07" w:rsidRPr="00C01DE6" w:rsidRDefault="007B14D1" w:rsidP="004B18B0">
            <w:pPr>
              <w:pStyle w:val="TableText"/>
              <w:rPr>
                <w:b/>
              </w:rPr>
            </w:pPr>
            <w:r w:rsidRPr="00C01DE6">
              <w:t>Hearing Official</w:t>
            </w:r>
          </w:p>
        </w:tc>
        <w:tc>
          <w:tcPr>
            <w:tcW w:w="4960" w:type="dxa"/>
            <w:tcBorders>
              <w:top w:val="single" w:sz="6" w:space="0" w:color="auto"/>
              <w:left w:val="single" w:sz="6" w:space="0" w:color="auto"/>
              <w:bottom w:val="single" w:sz="6" w:space="0" w:color="auto"/>
              <w:right w:val="single" w:sz="6" w:space="0" w:color="auto"/>
            </w:tcBorders>
          </w:tcPr>
          <w:p w14:paraId="541805C4" w14:textId="77777777" w:rsidR="00821C07" w:rsidRPr="00C01DE6" w:rsidRDefault="00821C07">
            <w:pPr>
              <w:pStyle w:val="TableText"/>
            </w:pPr>
            <w:r w:rsidRPr="00C01DE6">
              <w:t>Asks questions that</w:t>
            </w:r>
          </w:p>
          <w:p w14:paraId="38A20F23" w14:textId="77777777" w:rsidR="00821C07" w:rsidRPr="00C01DE6" w:rsidRDefault="00821C07">
            <w:pPr>
              <w:pStyle w:val="TableText"/>
            </w:pPr>
          </w:p>
          <w:p w14:paraId="3C2B90E0" w14:textId="77777777" w:rsidR="00821C07" w:rsidRPr="00C01DE6" w:rsidRDefault="00821C07">
            <w:pPr>
              <w:pStyle w:val="BulletText1"/>
            </w:pPr>
            <w:r w:rsidRPr="00C01DE6">
              <w:t>are consistent with the non-adversarial nature of the hearing, and</w:t>
            </w:r>
          </w:p>
          <w:p w14:paraId="6E61AF13" w14:textId="77777777" w:rsidR="00821C07" w:rsidRPr="00C01DE6" w:rsidRDefault="00821C07">
            <w:pPr>
              <w:pStyle w:val="BulletText1"/>
            </w:pPr>
            <w:proofErr w:type="gramStart"/>
            <w:r w:rsidRPr="00C01DE6">
              <w:t>elicit</w:t>
            </w:r>
            <w:proofErr w:type="gramEnd"/>
            <w:r w:rsidRPr="00C01DE6">
              <w:t xml:space="preserve"> all relevant testimony.</w:t>
            </w:r>
          </w:p>
        </w:tc>
      </w:tr>
      <w:tr w:rsidR="00821C07" w:rsidRPr="00C01DE6" w14:paraId="7B4F145F" w14:textId="77777777">
        <w:trPr>
          <w:cantSplit/>
        </w:trPr>
        <w:tc>
          <w:tcPr>
            <w:tcW w:w="890" w:type="dxa"/>
            <w:tcBorders>
              <w:top w:val="single" w:sz="6" w:space="0" w:color="auto"/>
              <w:left w:val="single" w:sz="6" w:space="0" w:color="auto"/>
              <w:bottom w:val="single" w:sz="6" w:space="0" w:color="auto"/>
              <w:right w:val="single" w:sz="6" w:space="0" w:color="auto"/>
            </w:tcBorders>
          </w:tcPr>
          <w:p w14:paraId="204223C6" w14:textId="77777777" w:rsidR="00821C07" w:rsidRPr="00C01DE6" w:rsidRDefault="00821C07">
            <w:pPr>
              <w:pStyle w:val="TableText"/>
              <w:jc w:val="center"/>
            </w:pPr>
            <w:r w:rsidRPr="00C01DE6">
              <w:t>4</w:t>
            </w:r>
          </w:p>
        </w:tc>
        <w:tc>
          <w:tcPr>
            <w:tcW w:w="1710" w:type="dxa"/>
            <w:tcBorders>
              <w:top w:val="single" w:sz="6" w:space="0" w:color="auto"/>
              <w:left w:val="single" w:sz="6" w:space="0" w:color="auto"/>
              <w:bottom w:val="single" w:sz="6" w:space="0" w:color="auto"/>
              <w:right w:val="single" w:sz="6" w:space="0" w:color="auto"/>
            </w:tcBorders>
          </w:tcPr>
          <w:p w14:paraId="24631AD4" w14:textId="77777777" w:rsidR="00821C07" w:rsidRPr="00C01DE6" w:rsidRDefault="00821C07">
            <w:pPr>
              <w:pStyle w:val="TableText"/>
            </w:pPr>
            <w:r w:rsidRPr="00C01DE6">
              <w:t>Witness(</w:t>
            </w:r>
            <w:proofErr w:type="spellStart"/>
            <w:r w:rsidRPr="00C01DE6">
              <w:t>es</w:t>
            </w:r>
            <w:proofErr w:type="spellEnd"/>
            <w:r w:rsidRPr="00C01DE6">
              <w:t>)</w:t>
            </w:r>
          </w:p>
        </w:tc>
        <w:tc>
          <w:tcPr>
            <w:tcW w:w="4960" w:type="dxa"/>
            <w:tcBorders>
              <w:top w:val="single" w:sz="6" w:space="0" w:color="auto"/>
              <w:left w:val="single" w:sz="6" w:space="0" w:color="auto"/>
              <w:bottom w:val="single" w:sz="6" w:space="0" w:color="auto"/>
              <w:right w:val="single" w:sz="6" w:space="0" w:color="auto"/>
            </w:tcBorders>
          </w:tcPr>
          <w:p w14:paraId="0908FDD4" w14:textId="77777777" w:rsidR="00821C07" w:rsidRPr="00C01DE6" w:rsidRDefault="00821C07">
            <w:pPr>
              <w:pStyle w:val="TableText"/>
            </w:pPr>
            <w:r w:rsidRPr="00C01DE6">
              <w:t>Provides testimony.</w:t>
            </w:r>
          </w:p>
          <w:p w14:paraId="38FE5414" w14:textId="77777777" w:rsidR="00821C07" w:rsidRPr="00C01DE6" w:rsidRDefault="00821C07">
            <w:pPr>
              <w:pStyle w:val="TableText"/>
            </w:pPr>
          </w:p>
          <w:p w14:paraId="0FEC6799" w14:textId="77777777" w:rsidR="00821C07" w:rsidRPr="00C01DE6" w:rsidRDefault="00821C07">
            <w:pPr>
              <w:pStyle w:val="TableText"/>
            </w:pPr>
            <w:r w:rsidRPr="00C01DE6">
              <w:rPr>
                <w:b/>
                <w:i/>
              </w:rPr>
              <w:t>Note</w:t>
            </w:r>
            <w:r w:rsidRPr="00C01DE6">
              <w:t>:  Repeat stages three and four for any additional witnesses.</w:t>
            </w:r>
          </w:p>
        </w:tc>
      </w:tr>
    </w:tbl>
    <w:p w14:paraId="23CD7EC5"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7F68DF95" w14:textId="77777777" w:rsidTr="007B28DA">
        <w:tc>
          <w:tcPr>
            <w:tcW w:w="1728" w:type="dxa"/>
          </w:tcPr>
          <w:p w14:paraId="1D850198" w14:textId="77777777" w:rsidR="00821C07" w:rsidRPr="00C01DE6" w:rsidRDefault="00821C07">
            <w:pPr>
              <w:pStyle w:val="Heading5"/>
            </w:pPr>
            <w:proofErr w:type="gramStart"/>
            <w:r w:rsidRPr="00C01DE6">
              <w:t>h.  Alternate</w:t>
            </w:r>
            <w:proofErr w:type="gramEnd"/>
            <w:r w:rsidRPr="00C01DE6">
              <w:t xml:space="preserve"> Order of Testimony and Questioning</w:t>
            </w:r>
          </w:p>
        </w:tc>
        <w:tc>
          <w:tcPr>
            <w:tcW w:w="7740" w:type="dxa"/>
          </w:tcPr>
          <w:p w14:paraId="129AD646" w14:textId="77777777" w:rsidR="00821C07" w:rsidRPr="00C01DE6" w:rsidRDefault="00821C07">
            <w:pPr>
              <w:pStyle w:val="BlockText"/>
            </w:pPr>
            <w:r w:rsidRPr="00C01DE6">
              <w:t xml:space="preserve">Some representatives may ask that the witness testify immediately after the claimant and </w:t>
            </w:r>
            <w:r w:rsidRPr="00C01DE6">
              <w:rPr>
                <w:b/>
                <w:i/>
              </w:rPr>
              <w:t>before</w:t>
            </w:r>
            <w:r w:rsidRPr="00C01DE6">
              <w:t xml:space="preserve"> questioning.  In this circumstance, question the claimant and witness after completion of all testimony.</w:t>
            </w:r>
          </w:p>
          <w:p w14:paraId="591AFBCB" w14:textId="77777777" w:rsidR="00821C07" w:rsidRPr="00C01DE6" w:rsidRDefault="00821C07">
            <w:pPr>
              <w:pStyle w:val="BlockText"/>
            </w:pPr>
          </w:p>
          <w:p w14:paraId="7B3A75B5" w14:textId="77777777" w:rsidR="00821C07" w:rsidRPr="00C01DE6" w:rsidRDefault="00821C07">
            <w:pPr>
              <w:pStyle w:val="BlockText"/>
            </w:pPr>
            <w:r w:rsidRPr="00C01DE6">
              <w:t>Before questioning the claimant</w:t>
            </w:r>
          </w:p>
          <w:p w14:paraId="0CC28E3A" w14:textId="77777777" w:rsidR="00343A9D" w:rsidRPr="00C01DE6" w:rsidRDefault="00343A9D">
            <w:pPr>
              <w:pStyle w:val="BlockText"/>
            </w:pPr>
          </w:p>
          <w:p w14:paraId="1ED70916" w14:textId="77777777" w:rsidR="00821C07" w:rsidRPr="00C01DE6" w:rsidRDefault="00821C07">
            <w:pPr>
              <w:pStyle w:val="BulletText1"/>
            </w:pPr>
            <w:r w:rsidRPr="00C01DE6">
              <w:t>ask if he/she objects to any of the witnesses being present, and</w:t>
            </w:r>
          </w:p>
          <w:p w14:paraId="3A844571" w14:textId="77777777" w:rsidR="00821C07" w:rsidRPr="00C01DE6" w:rsidRDefault="00821C07">
            <w:pPr>
              <w:pStyle w:val="BulletText1"/>
            </w:pPr>
            <w:proofErr w:type="gramStart"/>
            <w:r w:rsidRPr="00C01DE6">
              <w:t>if</w:t>
            </w:r>
            <w:proofErr w:type="gramEnd"/>
            <w:r w:rsidRPr="00C01DE6">
              <w:t xml:space="preserve"> so, excuse the witness(</w:t>
            </w:r>
            <w:proofErr w:type="spellStart"/>
            <w:r w:rsidRPr="00C01DE6">
              <w:t>es</w:t>
            </w:r>
            <w:proofErr w:type="spellEnd"/>
            <w:r w:rsidRPr="00C01DE6">
              <w:t>).</w:t>
            </w:r>
          </w:p>
        </w:tc>
      </w:tr>
    </w:tbl>
    <w:p w14:paraId="755647AB" w14:textId="77777777" w:rsidR="00681D45" w:rsidRPr="00C01DE6" w:rsidRDefault="00681D45" w:rsidP="00681D45">
      <w:pPr>
        <w:tabs>
          <w:tab w:val="left" w:pos="9360"/>
        </w:tabs>
        <w:ind w:left="1714"/>
      </w:pPr>
      <w:r w:rsidRPr="00C01DE6">
        <w:rPr>
          <w:u w:val="single"/>
        </w:rPr>
        <w:tab/>
      </w:r>
    </w:p>
    <w:p w14:paraId="0A086495" w14:textId="77777777" w:rsidR="00681D45" w:rsidRPr="00C01DE6" w:rsidRDefault="00681D45" w:rsidP="00681D45"/>
    <w:tbl>
      <w:tblPr>
        <w:tblW w:w="0" w:type="auto"/>
        <w:tblLayout w:type="fixed"/>
        <w:tblLook w:val="0000" w:firstRow="0" w:lastRow="0" w:firstColumn="0" w:lastColumn="0" w:noHBand="0" w:noVBand="0"/>
      </w:tblPr>
      <w:tblGrid>
        <w:gridCol w:w="1728"/>
        <w:gridCol w:w="7740"/>
      </w:tblGrid>
      <w:tr w:rsidR="00821C07" w:rsidRPr="00C01DE6" w14:paraId="4F449559" w14:textId="77777777">
        <w:trPr>
          <w:cantSplit/>
        </w:trPr>
        <w:tc>
          <w:tcPr>
            <w:tcW w:w="1728" w:type="dxa"/>
          </w:tcPr>
          <w:p w14:paraId="7F076C89" w14:textId="77777777" w:rsidR="00821C07" w:rsidRPr="00C01DE6" w:rsidRDefault="00821C07">
            <w:pPr>
              <w:pStyle w:val="Heading5"/>
            </w:pPr>
            <w:proofErr w:type="spellStart"/>
            <w:proofErr w:type="gramStart"/>
            <w:r w:rsidRPr="00C01DE6">
              <w:t>i</w:t>
            </w:r>
            <w:proofErr w:type="spellEnd"/>
            <w:r w:rsidRPr="00C01DE6">
              <w:t>.  Conduct</w:t>
            </w:r>
            <w:proofErr w:type="gramEnd"/>
            <w:r w:rsidRPr="00C01DE6">
              <w:t xml:space="preserve"> During Testimony</w:t>
            </w:r>
          </w:p>
        </w:tc>
        <w:tc>
          <w:tcPr>
            <w:tcW w:w="7740" w:type="dxa"/>
          </w:tcPr>
          <w:p w14:paraId="5ADBBDC0" w14:textId="77777777" w:rsidR="00821C07" w:rsidRPr="00C01DE6" w:rsidRDefault="00821C07">
            <w:pPr>
              <w:pStyle w:val="BlockText"/>
            </w:pPr>
            <w:r w:rsidRPr="00C01DE6">
              <w:rPr>
                <w:b/>
                <w:i/>
              </w:rPr>
              <w:t>Interrupting the Claimant</w:t>
            </w:r>
          </w:p>
          <w:p w14:paraId="3B0B63DD" w14:textId="77777777" w:rsidR="00821C07" w:rsidRPr="00C01DE6" w:rsidRDefault="00821C07">
            <w:pPr>
              <w:pStyle w:val="BlockText"/>
            </w:pPr>
            <w:r w:rsidRPr="00C01DE6">
              <w:t xml:space="preserve">The appropriateness of interrupting the claimant or the </w:t>
            </w:r>
            <w:proofErr w:type="gramStart"/>
            <w:r w:rsidRPr="00C01DE6">
              <w:t>witness(</w:t>
            </w:r>
            <w:proofErr w:type="spellStart"/>
            <w:proofErr w:type="gramEnd"/>
            <w:r w:rsidRPr="00C01DE6">
              <w:t>es</w:t>
            </w:r>
            <w:proofErr w:type="spellEnd"/>
            <w:r w:rsidRPr="00C01DE6">
              <w:t>), or suggesting areas that should be further developed during the course of testimony, depends on the individual hearing.</w:t>
            </w:r>
          </w:p>
          <w:p w14:paraId="3F02EB74" w14:textId="77777777" w:rsidR="00821C07" w:rsidRPr="00C01DE6" w:rsidRDefault="00821C07">
            <w:pPr>
              <w:pStyle w:val="BlockText"/>
            </w:pPr>
          </w:p>
          <w:p w14:paraId="6E0F96A2" w14:textId="77777777" w:rsidR="00821C07" w:rsidRPr="00C01DE6" w:rsidRDefault="00821C07">
            <w:pPr>
              <w:pStyle w:val="BlockText"/>
            </w:pPr>
            <w:r w:rsidRPr="00C01DE6">
              <w:rPr>
                <w:b/>
                <w:i/>
              </w:rPr>
              <w:t>Limiting the Witness(</w:t>
            </w:r>
            <w:proofErr w:type="spellStart"/>
            <w:r w:rsidRPr="00C01DE6">
              <w:rPr>
                <w:b/>
                <w:i/>
              </w:rPr>
              <w:t>es</w:t>
            </w:r>
            <w:proofErr w:type="spellEnd"/>
            <w:r w:rsidRPr="00C01DE6">
              <w:rPr>
                <w:b/>
                <w:i/>
              </w:rPr>
              <w:t>)</w:t>
            </w:r>
          </w:p>
          <w:p w14:paraId="6712A85B" w14:textId="77777777" w:rsidR="00821C07" w:rsidRPr="00C01DE6" w:rsidRDefault="00821C07">
            <w:pPr>
              <w:pStyle w:val="BlockText"/>
            </w:pPr>
            <w:r w:rsidRPr="00C01DE6">
              <w:t xml:space="preserve">Exercise care and tact in limiting the </w:t>
            </w:r>
            <w:proofErr w:type="gramStart"/>
            <w:r w:rsidRPr="00C01DE6">
              <w:t>witness(</w:t>
            </w:r>
            <w:proofErr w:type="spellStart"/>
            <w:proofErr w:type="gramEnd"/>
            <w:r w:rsidRPr="00C01DE6">
              <w:t>es</w:t>
            </w:r>
            <w:proofErr w:type="spellEnd"/>
            <w:r w:rsidRPr="00C01DE6">
              <w:t>) and guard against any suggestion that the testimony is not important.</w:t>
            </w:r>
          </w:p>
          <w:p w14:paraId="51D18D4A" w14:textId="77777777" w:rsidR="00821C07" w:rsidRPr="00C01DE6" w:rsidRDefault="00821C07">
            <w:pPr>
              <w:pStyle w:val="BlockText"/>
            </w:pPr>
          </w:p>
          <w:p w14:paraId="6F262EBD" w14:textId="77777777" w:rsidR="00821C07" w:rsidRPr="00C01DE6" w:rsidRDefault="00821C07">
            <w:pPr>
              <w:pStyle w:val="BlockText"/>
            </w:pPr>
            <w:r w:rsidRPr="00C01DE6">
              <w:rPr>
                <w:b/>
                <w:i/>
              </w:rPr>
              <w:t>Cross-examination</w:t>
            </w:r>
          </w:p>
          <w:p w14:paraId="26DC0737" w14:textId="77777777" w:rsidR="00821C07" w:rsidRPr="00C01DE6" w:rsidRDefault="00821C07">
            <w:pPr>
              <w:pStyle w:val="BlockText"/>
            </w:pPr>
            <w:r w:rsidRPr="00C01DE6">
              <w:t>While cross-examination should be avoided, it is important that the claimant be questioned sufficiently to elicit all relevant testimony.</w:t>
            </w:r>
          </w:p>
          <w:p w14:paraId="620D9AE0" w14:textId="77777777" w:rsidR="00EF1A6D" w:rsidRPr="00C01DE6" w:rsidRDefault="00EF1A6D">
            <w:pPr>
              <w:pStyle w:val="BlockText"/>
            </w:pPr>
          </w:p>
          <w:p w14:paraId="3EFB71AB" w14:textId="7BDEB0C2" w:rsidR="00EF1A6D" w:rsidRPr="00C01DE6" w:rsidRDefault="00EF1A6D" w:rsidP="000437F3">
            <w:pPr>
              <w:pStyle w:val="BlockText"/>
            </w:pPr>
            <w:r w:rsidRPr="00C01DE6">
              <w:rPr>
                <w:b/>
                <w:i/>
              </w:rPr>
              <w:t>Reference</w:t>
            </w:r>
            <w:r w:rsidRPr="00C01DE6">
              <w:t>:</w:t>
            </w:r>
            <w:r w:rsidR="000437F3" w:rsidRPr="00C01DE6">
              <w:t xml:space="preserve"> </w:t>
            </w:r>
            <w:r w:rsidRPr="00C01DE6">
              <w:t xml:space="preserve"> For information on inappropriate conduct by hearing attendees, see </w:t>
            </w:r>
            <w:r w:rsidR="008F53BD" w:rsidRPr="00C01DE6">
              <w:t>M21-</w:t>
            </w:r>
            <w:r w:rsidR="002E7675" w:rsidRPr="00C01DE6">
              <w:t>1</w:t>
            </w:r>
            <w:r w:rsidR="008F53BD" w:rsidRPr="00C01DE6">
              <w:t>, Part I</w:t>
            </w:r>
            <w:r w:rsidR="000437F3" w:rsidRPr="00C01DE6">
              <w:t>,</w:t>
            </w:r>
            <w:r w:rsidR="000437F3" w:rsidRPr="00C01DE6">
              <w:t xml:space="preserve"> </w:t>
            </w:r>
            <w:r w:rsidR="008F53BD" w:rsidRPr="00C01DE6">
              <w:t>4.2.e</w:t>
            </w:r>
            <w:r w:rsidRPr="00C01DE6">
              <w:t>.</w:t>
            </w:r>
          </w:p>
        </w:tc>
      </w:tr>
    </w:tbl>
    <w:p w14:paraId="15224436"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4BF4FE61" w14:textId="77777777">
        <w:trPr>
          <w:cantSplit/>
        </w:trPr>
        <w:tc>
          <w:tcPr>
            <w:tcW w:w="1728" w:type="dxa"/>
          </w:tcPr>
          <w:p w14:paraId="5E9F8D07" w14:textId="77777777" w:rsidR="00821C07" w:rsidRPr="00C01DE6" w:rsidRDefault="00821C07">
            <w:pPr>
              <w:pStyle w:val="Heading5"/>
            </w:pPr>
            <w:proofErr w:type="gramStart"/>
            <w:r w:rsidRPr="00C01DE6">
              <w:t>j.  Ending</w:t>
            </w:r>
            <w:proofErr w:type="gramEnd"/>
            <w:r w:rsidRPr="00C01DE6">
              <w:t xml:space="preserve"> the Hearing</w:t>
            </w:r>
          </w:p>
        </w:tc>
        <w:tc>
          <w:tcPr>
            <w:tcW w:w="7740" w:type="dxa"/>
          </w:tcPr>
          <w:p w14:paraId="29F23556" w14:textId="77777777" w:rsidR="00821C07" w:rsidRPr="00C01DE6" w:rsidRDefault="00821C07">
            <w:pPr>
              <w:pStyle w:val="BlockText"/>
            </w:pPr>
            <w:r w:rsidRPr="00C01DE6">
              <w:t>Follow the steps in the table below to end the hearing.</w:t>
            </w:r>
          </w:p>
        </w:tc>
      </w:tr>
    </w:tbl>
    <w:p w14:paraId="10CFBCC9" w14:textId="77777777" w:rsidR="00821C07" w:rsidRPr="00C01DE6" w:rsidRDefault="00821C07"/>
    <w:tbl>
      <w:tblPr>
        <w:tblW w:w="0" w:type="auto"/>
        <w:tblInd w:w="1829" w:type="dxa"/>
        <w:tblLayout w:type="fixed"/>
        <w:tblLook w:val="0000" w:firstRow="0" w:lastRow="0" w:firstColumn="0" w:lastColumn="0" w:noHBand="0" w:noVBand="0"/>
      </w:tblPr>
      <w:tblGrid>
        <w:gridCol w:w="878"/>
        <w:gridCol w:w="6670"/>
      </w:tblGrid>
      <w:tr w:rsidR="00821C07" w:rsidRPr="00C01DE6" w14:paraId="15358E52" w14:textId="77777777">
        <w:trPr>
          <w:cantSplit/>
        </w:trPr>
        <w:tc>
          <w:tcPr>
            <w:tcW w:w="878" w:type="dxa"/>
            <w:tcBorders>
              <w:top w:val="single" w:sz="6" w:space="0" w:color="auto"/>
              <w:left w:val="single" w:sz="6" w:space="0" w:color="auto"/>
              <w:bottom w:val="single" w:sz="6" w:space="0" w:color="auto"/>
              <w:right w:val="single" w:sz="6" w:space="0" w:color="auto"/>
            </w:tcBorders>
          </w:tcPr>
          <w:p w14:paraId="0C8A33EE" w14:textId="77777777" w:rsidR="00821C07" w:rsidRPr="00C01DE6" w:rsidRDefault="00821C07">
            <w:pPr>
              <w:pStyle w:val="TableHeaderText"/>
            </w:pPr>
            <w:r w:rsidRPr="00C01DE6">
              <w:t>Step</w:t>
            </w:r>
          </w:p>
        </w:tc>
        <w:tc>
          <w:tcPr>
            <w:tcW w:w="6670" w:type="dxa"/>
            <w:tcBorders>
              <w:top w:val="single" w:sz="6" w:space="0" w:color="auto"/>
              <w:bottom w:val="single" w:sz="6" w:space="0" w:color="auto"/>
              <w:right w:val="single" w:sz="6" w:space="0" w:color="auto"/>
            </w:tcBorders>
          </w:tcPr>
          <w:p w14:paraId="2CF6DAD3" w14:textId="77777777" w:rsidR="00821C07" w:rsidRPr="00C01DE6" w:rsidRDefault="00821C07">
            <w:pPr>
              <w:pStyle w:val="TableHeaderText"/>
            </w:pPr>
            <w:r w:rsidRPr="00C01DE6">
              <w:t>Action</w:t>
            </w:r>
          </w:p>
        </w:tc>
      </w:tr>
      <w:tr w:rsidR="00821C07" w:rsidRPr="00C01DE6" w14:paraId="69E97B55" w14:textId="77777777">
        <w:trPr>
          <w:cantSplit/>
        </w:trPr>
        <w:tc>
          <w:tcPr>
            <w:tcW w:w="878" w:type="dxa"/>
            <w:tcBorders>
              <w:top w:val="single" w:sz="6" w:space="0" w:color="auto"/>
              <w:left w:val="single" w:sz="6" w:space="0" w:color="auto"/>
              <w:bottom w:val="single" w:sz="6" w:space="0" w:color="auto"/>
              <w:right w:val="single" w:sz="6" w:space="0" w:color="auto"/>
            </w:tcBorders>
          </w:tcPr>
          <w:p w14:paraId="42A1A612" w14:textId="77777777" w:rsidR="00821C07" w:rsidRPr="00C01DE6" w:rsidRDefault="00821C07">
            <w:pPr>
              <w:pStyle w:val="TableText"/>
              <w:jc w:val="center"/>
            </w:pPr>
            <w:r w:rsidRPr="00C01DE6">
              <w:t>1</w:t>
            </w:r>
          </w:p>
        </w:tc>
        <w:tc>
          <w:tcPr>
            <w:tcW w:w="6670" w:type="dxa"/>
            <w:tcBorders>
              <w:top w:val="single" w:sz="6" w:space="0" w:color="auto"/>
              <w:bottom w:val="single" w:sz="6" w:space="0" w:color="auto"/>
              <w:right w:val="single" w:sz="6" w:space="0" w:color="auto"/>
            </w:tcBorders>
          </w:tcPr>
          <w:p w14:paraId="4E6CE8EA" w14:textId="77777777" w:rsidR="00821C07" w:rsidRPr="00C01DE6" w:rsidRDefault="00821C07">
            <w:pPr>
              <w:pStyle w:val="BulletText1"/>
            </w:pPr>
            <w:r w:rsidRPr="00C01DE6">
              <w:t>Give the claimant and his/her representative an opportunity to make a final statement when</w:t>
            </w:r>
          </w:p>
          <w:p w14:paraId="433033D2" w14:textId="77777777" w:rsidR="00821C07" w:rsidRPr="00C01DE6" w:rsidRDefault="00821C07">
            <w:pPr>
              <w:pStyle w:val="BulletText2"/>
            </w:pPr>
            <w:r w:rsidRPr="00C01DE6">
              <w:t>testimony is complete</w:t>
            </w:r>
            <w:r w:rsidR="00D91323" w:rsidRPr="00C01DE6">
              <w:t>, and/or</w:t>
            </w:r>
          </w:p>
          <w:p w14:paraId="2B40DED3" w14:textId="77777777" w:rsidR="00821C07" w:rsidRPr="00C01DE6" w:rsidRDefault="00821C07">
            <w:pPr>
              <w:pStyle w:val="BulletText2"/>
            </w:pPr>
            <w:r w:rsidRPr="00C01DE6">
              <w:t>discussion of any area raised by questioning has been concluded</w:t>
            </w:r>
          </w:p>
          <w:p w14:paraId="72B10ED4" w14:textId="77777777" w:rsidR="00821C07" w:rsidRPr="00C01DE6" w:rsidRDefault="00821C07">
            <w:pPr>
              <w:pStyle w:val="BulletText1"/>
            </w:pPr>
            <w:r w:rsidRPr="00C01DE6">
              <w:t>ask if anyone wishes to add anything, and</w:t>
            </w:r>
          </w:p>
          <w:p w14:paraId="0D92D47A" w14:textId="77777777" w:rsidR="00821C07" w:rsidRPr="00C01DE6" w:rsidRDefault="00821C07">
            <w:pPr>
              <w:pStyle w:val="BulletText1"/>
            </w:pPr>
            <w:r w:rsidRPr="00C01DE6">
              <w:t xml:space="preserve">identify any evidence referenced in the hearing testimony that </w:t>
            </w:r>
          </w:p>
          <w:p w14:paraId="54EE10BB" w14:textId="77777777" w:rsidR="00821C07" w:rsidRPr="00C01DE6" w:rsidRDefault="00821C07">
            <w:pPr>
              <w:pStyle w:val="BulletText2"/>
            </w:pPr>
            <w:r w:rsidRPr="00C01DE6">
              <w:t>the claimant has agreed to furnish, and/or</w:t>
            </w:r>
          </w:p>
          <w:p w14:paraId="4C04A98E" w14:textId="77777777" w:rsidR="00821C07" w:rsidRPr="00C01DE6" w:rsidRDefault="00821C07">
            <w:pPr>
              <w:pStyle w:val="BulletText2"/>
            </w:pPr>
            <w:r w:rsidRPr="00C01DE6">
              <w:t>VA will attempt to acquire.</w:t>
            </w:r>
          </w:p>
        </w:tc>
      </w:tr>
      <w:tr w:rsidR="00821C07" w:rsidRPr="00C01DE6" w14:paraId="587AA5B8" w14:textId="77777777">
        <w:trPr>
          <w:cantSplit/>
        </w:trPr>
        <w:tc>
          <w:tcPr>
            <w:tcW w:w="878" w:type="dxa"/>
            <w:tcBorders>
              <w:top w:val="single" w:sz="6" w:space="0" w:color="auto"/>
              <w:left w:val="single" w:sz="6" w:space="0" w:color="auto"/>
              <w:bottom w:val="single" w:sz="6" w:space="0" w:color="auto"/>
              <w:right w:val="single" w:sz="6" w:space="0" w:color="auto"/>
            </w:tcBorders>
          </w:tcPr>
          <w:p w14:paraId="3D2D6869" w14:textId="77777777" w:rsidR="00821C07" w:rsidRPr="00C01DE6" w:rsidRDefault="00821C07">
            <w:pPr>
              <w:pStyle w:val="TableText"/>
              <w:jc w:val="center"/>
            </w:pPr>
            <w:r w:rsidRPr="00C01DE6">
              <w:t>2</w:t>
            </w:r>
          </w:p>
        </w:tc>
        <w:tc>
          <w:tcPr>
            <w:tcW w:w="6670" w:type="dxa"/>
            <w:tcBorders>
              <w:top w:val="single" w:sz="6" w:space="0" w:color="auto"/>
              <w:bottom w:val="single" w:sz="6" w:space="0" w:color="auto"/>
              <w:right w:val="single" w:sz="6" w:space="0" w:color="auto"/>
            </w:tcBorders>
          </w:tcPr>
          <w:p w14:paraId="120B59A4" w14:textId="77777777" w:rsidR="00821C07" w:rsidRPr="00C01DE6" w:rsidRDefault="00821C07" w:rsidP="00927D22">
            <w:pPr>
              <w:pStyle w:val="BulletText1"/>
              <w:numPr>
                <w:ilvl w:val="0"/>
                <w:numId w:val="0"/>
              </w:numPr>
            </w:pPr>
            <w:r w:rsidRPr="00C01DE6">
              <w:t>Explain</w:t>
            </w:r>
            <w:r w:rsidR="00927D22" w:rsidRPr="00C01DE6">
              <w:t xml:space="preserve"> </w:t>
            </w:r>
            <w:r w:rsidRPr="00C01DE6">
              <w:t xml:space="preserve">VA’s procedures regarding </w:t>
            </w:r>
            <w:r w:rsidR="004B18B0" w:rsidRPr="00C01DE6">
              <w:t xml:space="preserve">decision </w:t>
            </w:r>
            <w:r w:rsidRPr="00C01DE6">
              <w:t xml:space="preserve">notification, </w:t>
            </w:r>
            <w:r w:rsidR="00927D22" w:rsidRPr="00C01DE6">
              <w:t xml:space="preserve">specifically </w:t>
            </w:r>
            <w:r w:rsidRPr="00C01DE6">
              <w:t xml:space="preserve">that the claimant will not be provided with oral or written notification of the formal </w:t>
            </w:r>
            <w:r w:rsidR="004B18B0" w:rsidRPr="00C01DE6">
              <w:t xml:space="preserve">written </w:t>
            </w:r>
            <w:r w:rsidRPr="00C01DE6">
              <w:t>decision until it has been signed and</w:t>
            </w:r>
            <w:proofErr w:type="gramStart"/>
            <w:r w:rsidRPr="00C01DE6">
              <w:t>,  if</w:t>
            </w:r>
            <w:proofErr w:type="gramEnd"/>
            <w:r w:rsidRPr="00C01DE6">
              <w:t xml:space="preserve"> necessary, approved.</w:t>
            </w:r>
          </w:p>
        </w:tc>
      </w:tr>
      <w:tr w:rsidR="00821C07" w:rsidRPr="00C01DE6" w14:paraId="6C846CE5" w14:textId="77777777">
        <w:trPr>
          <w:cantSplit/>
        </w:trPr>
        <w:tc>
          <w:tcPr>
            <w:tcW w:w="878" w:type="dxa"/>
            <w:tcBorders>
              <w:top w:val="single" w:sz="6" w:space="0" w:color="auto"/>
              <w:left w:val="single" w:sz="6" w:space="0" w:color="auto"/>
              <w:bottom w:val="single" w:sz="6" w:space="0" w:color="auto"/>
              <w:right w:val="single" w:sz="6" w:space="0" w:color="auto"/>
            </w:tcBorders>
          </w:tcPr>
          <w:p w14:paraId="74346612" w14:textId="77777777" w:rsidR="00821C07" w:rsidRPr="00C01DE6" w:rsidRDefault="00821C07">
            <w:pPr>
              <w:pStyle w:val="TableText"/>
              <w:jc w:val="center"/>
            </w:pPr>
            <w:r w:rsidRPr="00C01DE6">
              <w:t>3</w:t>
            </w:r>
          </w:p>
        </w:tc>
        <w:tc>
          <w:tcPr>
            <w:tcW w:w="6670" w:type="dxa"/>
            <w:tcBorders>
              <w:top w:val="single" w:sz="6" w:space="0" w:color="auto"/>
              <w:bottom w:val="single" w:sz="6" w:space="0" w:color="auto"/>
              <w:right w:val="single" w:sz="6" w:space="0" w:color="auto"/>
            </w:tcBorders>
          </w:tcPr>
          <w:p w14:paraId="193CC5C4" w14:textId="77777777" w:rsidR="00821C07" w:rsidRPr="00C01DE6" w:rsidRDefault="00821C07" w:rsidP="007B28DA">
            <w:pPr>
              <w:numPr>
                <w:ilvl w:val="0"/>
                <w:numId w:val="21"/>
              </w:numPr>
              <w:ind w:left="158" w:hanging="187"/>
            </w:pPr>
            <w:r w:rsidRPr="00C01DE6">
              <w:t>Note the time the hearing concludes for the record</w:t>
            </w:r>
          </w:p>
          <w:p w14:paraId="4B7BA208" w14:textId="77777777" w:rsidR="00821C07" w:rsidRPr="00C01DE6" w:rsidRDefault="00821C07" w:rsidP="007B28DA">
            <w:pPr>
              <w:numPr>
                <w:ilvl w:val="0"/>
                <w:numId w:val="21"/>
              </w:numPr>
              <w:ind w:left="158" w:hanging="187"/>
            </w:pPr>
            <w:r w:rsidRPr="00C01DE6">
              <w:t>have the claimant complete any medical release forms needed to obtain private treatment records, and</w:t>
            </w:r>
          </w:p>
          <w:p w14:paraId="6103DEBA" w14:textId="77777777" w:rsidR="00821C07" w:rsidRPr="00C01DE6" w:rsidRDefault="00821C07" w:rsidP="007B28DA">
            <w:pPr>
              <w:numPr>
                <w:ilvl w:val="0"/>
                <w:numId w:val="21"/>
              </w:numPr>
              <w:ind w:left="158" w:hanging="187"/>
            </w:pPr>
            <w:proofErr w:type="gramStart"/>
            <w:r w:rsidRPr="00C01DE6">
              <w:t>escort</w:t>
            </w:r>
            <w:proofErr w:type="gramEnd"/>
            <w:r w:rsidRPr="00C01DE6">
              <w:t xml:space="preserve"> the claimant and/or witness(</w:t>
            </w:r>
            <w:proofErr w:type="spellStart"/>
            <w:r w:rsidRPr="00C01DE6">
              <w:t>es</w:t>
            </w:r>
            <w:proofErr w:type="spellEnd"/>
            <w:r w:rsidRPr="00C01DE6">
              <w:t>) from the hearing area.</w:t>
            </w:r>
          </w:p>
        </w:tc>
      </w:tr>
    </w:tbl>
    <w:p w14:paraId="2F52798A" w14:textId="77777777" w:rsidR="00821C07" w:rsidRPr="00C01DE6" w:rsidRDefault="00821C07" w:rsidP="00EF1A6D"/>
    <w:tbl>
      <w:tblPr>
        <w:tblW w:w="7732" w:type="dxa"/>
        <w:tblInd w:w="1728" w:type="dxa"/>
        <w:tblLayout w:type="fixed"/>
        <w:tblLook w:val="0000" w:firstRow="0" w:lastRow="0" w:firstColumn="0" w:lastColumn="0" w:noHBand="0" w:noVBand="0"/>
      </w:tblPr>
      <w:tblGrid>
        <w:gridCol w:w="7732"/>
      </w:tblGrid>
      <w:tr w:rsidR="00EF1A6D" w:rsidRPr="00C01DE6" w14:paraId="40808526" w14:textId="77777777" w:rsidTr="00EF1A6D">
        <w:tc>
          <w:tcPr>
            <w:tcW w:w="5000" w:type="pct"/>
            <w:shd w:val="clear" w:color="auto" w:fill="auto"/>
          </w:tcPr>
          <w:p w14:paraId="0A0D6FA3" w14:textId="29300BE6" w:rsidR="00EF1A6D" w:rsidRPr="00C01DE6" w:rsidRDefault="00EF1A6D" w:rsidP="00927D22">
            <w:pPr>
              <w:pStyle w:val="NoteText"/>
            </w:pPr>
            <w:r w:rsidRPr="00C01DE6">
              <w:rPr>
                <w:b/>
                <w:i/>
              </w:rPr>
              <w:t>Exception</w:t>
            </w:r>
            <w:r w:rsidRPr="00C01DE6">
              <w:t>:</w:t>
            </w:r>
            <w:r w:rsidR="000437F3" w:rsidRPr="00C01DE6">
              <w:t xml:space="preserve"> </w:t>
            </w:r>
            <w:r w:rsidRPr="00C01DE6">
              <w:t xml:space="preserve"> This procedure is not applicable for termination of the hearing </w:t>
            </w:r>
            <w:r w:rsidR="00A800F0" w:rsidRPr="00C01DE6">
              <w:t xml:space="preserve">due to </w:t>
            </w:r>
            <w:r w:rsidRPr="00C01DE6">
              <w:t>inappropriate conduct by hearing attendees</w:t>
            </w:r>
            <w:r w:rsidR="00A800F0" w:rsidRPr="00C01DE6">
              <w:t xml:space="preserve"> per</w:t>
            </w:r>
            <w:r w:rsidRPr="00C01DE6">
              <w:t xml:space="preserve"> </w:t>
            </w:r>
            <w:r w:rsidR="008F53BD" w:rsidRPr="00C01DE6">
              <w:t>M21-</w:t>
            </w:r>
            <w:r w:rsidR="00927D22" w:rsidRPr="00C01DE6">
              <w:t>1</w:t>
            </w:r>
            <w:r w:rsidR="008F53BD" w:rsidRPr="00C01DE6">
              <w:t>, Part I</w:t>
            </w:r>
            <w:r w:rsidR="000437F3" w:rsidRPr="00C01DE6">
              <w:t xml:space="preserve">, </w:t>
            </w:r>
            <w:r w:rsidR="008F53BD" w:rsidRPr="00C01DE6">
              <w:t>4.2.e</w:t>
            </w:r>
            <w:r w:rsidRPr="00C01DE6">
              <w:t xml:space="preserve">. </w:t>
            </w:r>
          </w:p>
        </w:tc>
      </w:tr>
    </w:tbl>
    <w:p w14:paraId="1D80E0D8" w14:textId="77777777" w:rsidR="00EF1A6D" w:rsidRPr="00C01DE6" w:rsidRDefault="00EF1A6D" w:rsidP="009A0986">
      <w:pPr>
        <w:pStyle w:val="BlockLine"/>
        <w:tabs>
          <w:tab w:val="left" w:pos="9360"/>
        </w:tabs>
        <w:ind w:left="1714"/>
      </w:pPr>
    </w:p>
    <w:p w14:paraId="743E705E" w14:textId="77777777" w:rsidR="009A0986" w:rsidRPr="00C01DE6" w:rsidRDefault="009A0986" w:rsidP="009A0986"/>
    <w:p w14:paraId="1A69C54E" w14:textId="77777777" w:rsidR="009A0986" w:rsidRPr="00C01DE6" w:rsidRDefault="009A0986" w:rsidP="009A0986"/>
    <w:p w14:paraId="66C2FE40" w14:textId="77777777" w:rsidR="008C391D" w:rsidRPr="00C01DE6" w:rsidRDefault="008C391D" w:rsidP="008C391D"/>
    <w:p w14:paraId="61A0D0F0" w14:textId="77777777" w:rsidR="00821C07" w:rsidRPr="00C01DE6" w:rsidRDefault="008C391D" w:rsidP="008C391D">
      <w:pPr>
        <w:rPr>
          <w:rFonts w:ascii="Arial" w:hAnsi="Arial" w:cs="Arial"/>
          <w:b/>
          <w:sz w:val="32"/>
          <w:szCs w:val="32"/>
        </w:rPr>
      </w:pPr>
      <w:r w:rsidRPr="00C01DE6">
        <w:br w:type="page"/>
      </w:r>
      <w:r w:rsidR="00821C07" w:rsidRPr="00C01DE6">
        <w:rPr>
          <w:rFonts w:ascii="Arial" w:hAnsi="Arial" w:cs="Arial"/>
          <w:b/>
          <w:sz w:val="32"/>
          <w:szCs w:val="32"/>
        </w:rPr>
        <w:lastRenderedPageBreak/>
        <w:t xml:space="preserve">5.  Additional Issues </w:t>
      </w:r>
      <w:proofErr w:type="gramStart"/>
      <w:r w:rsidR="00821C07" w:rsidRPr="00C01DE6">
        <w:rPr>
          <w:rFonts w:ascii="Arial" w:hAnsi="Arial" w:cs="Arial"/>
          <w:b/>
          <w:sz w:val="32"/>
          <w:szCs w:val="32"/>
        </w:rPr>
        <w:t>Raised</w:t>
      </w:r>
      <w:proofErr w:type="gramEnd"/>
      <w:r w:rsidR="00821C07" w:rsidRPr="00C01DE6">
        <w:rPr>
          <w:rFonts w:ascii="Arial" w:hAnsi="Arial" w:cs="Arial"/>
          <w:b/>
          <w:sz w:val="32"/>
          <w:szCs w:val="32"/>
        </w:rPr>
        <w:t xml:space="preserve"> During the Hearing</w:t>
      </w:r>
    </w:p>
    <w:p w14:paraId="717C7268"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573F55C3" w14:textId="77777777">
        <w:trPr>
          <w:cantSplit/>
        </w:trPr>
        <w:tc>
          <w:tcPr>
            <w:tcW w:w="1728" w:type="dxa"/>
          </w:tcPr>
          <w:p w14:paraId="4E3DFD36" w14:textId="77777777" w:rsidR="00821C07" w:rsidRPr="00C01DE6" w:rsidRDefault="00821C07">
            <w:pPr>
              <w:pStyle w:val="Heading5"/>
            </w:pPr>
            <w:r w:rsidRPr="00C01DE6">
              <w:t>Introduction</w:t>
            </w:r>
          </w:p>
        </w:tc>
        <w:tc>
          <w:tcPr>
            <w:tcW w:w="7740" w:type="dxa"/>
          </w:tcPr>
          <w:p w14:paraId="3B27DD01" w14:textId="77777777" w:rsidR="00821C07" w:rsidRPr="00C01DE6" w:rsidRDefault="00821C07">
            <w:pPr>
              <w:pStyle w:val="BlockText"/>
            </w:pPr>
            <w:r w:rsidRPr="00C01DE6">
              <w:t>This topic contains information on</w:t>
            </w:r>
          </w:p>
          <w:p w14:paraId="035647C8" w14:textId="77777777" w:rsidR="00821C07" w:rsidRPr="00C01DE6" w:rsidRDefault="00821C07">
            <w:pPr>
              <w:pStyle w:val="BlockText"/>
            </w:pPr>
          </w:p>
          <w:p w14:paraId="200C8406" w14:textId="77777777" w:rsidR="00821C07" w:rsidRPr="00C01DE6" w:rsidRDefault="00821C07">
            <w:pPr>
              <w:pStyle w:val="BulletText1"/>
            </w:pPr>
            <w:r w:rsidRPr="00C01DE6">
              <w:t>handling additional issues raised during the hearing, and</w:t>
            </w:r>
          </w:p>
          <w:p w14:paraId="1B318EC8" w14:textId="77777777" w:rsidR="00821C07" w:rsidRPr="00C01DE6" w:rsidRDefault="000431C5" w:rsidP="00324EBB">
            <w:pPr>
              <w:pStyle w:val="BulletText1"/>
            </w:pPr>
            <w:proofErr w:type="gramStart"/>
            <w:r w:rsidRPr="00C01DE6">
              <w:t>the</w:t>
            </w:r>
            <w:proofErr w:type="gramEnd"/>
            <w:r w:rsidRPr="00C01DE6">
              <w:t xml:space="preserve"> action </w:t>
            </w:r>
            <w:r w:rsidR="00324EBB" w:rsidRPr="00C01DE6">
              <w:t xml:space="preserve">to </w:t>
            </w:r>
            <w:r w:rsidRPr="00C01DE6">
              <w:t>take</w:t>
            </w:r>
            <w:r w:rsidR="00821C07" w:rsidRPr="00C01DE6">
              <w:t xml:space="preserve"> when the claimant</w:t>
            </w:r>
            <w:r w:rsidR="00C75B2E" w:rsidRPr="00C01DE6">
              <w:t xml:space="preserve"> </w:t>
            </w:r>
            <w:r w:rsidR="00821C07" w:rsidRPr="00C01DE6">
              <w:t>requests to file a</w:t>
            </w:r>
            <w:r w:rsidRPr="00C01DE6">
              <w:t>n</w:t>
            </w:r>
            <w:r w:rsidR="00821C07" w:rsidRPr="00C01DE6">
              <w:t xml:space="preserve"> NOD or substantive appeal during the hearing</w:t>
            </w:r>
            <w:r w:rsidR="007D0615" w:rsidRPr="00C01DE6">
              <w:t>.</w:t>
            </w:r>
            <w:r w:rsidR="00821C07" w:rsidRPr="00C01DE6">
              <w:t xml:space="preserve"> </w:t>
            </w:r>
          </w:p>
        </w:tc>
      </w:tr>
    </w:tbl>
    <w:p w14:paraId="33CA0224"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1C716523" w14:textId="77777777">
        <w:trPr>
          <w:cantSplit/>
        </w:trPr>
        <w:tc>
          <w:tcPr>
            <w:tcW w:w="1728" w:type="dxa"/>
          </w:tcPr>
          <w:p w14:paraId="67C0F2EC" w14:textId="77777777" w:rsidR="00821C07" w:rsidRPr="00C01DE6" w:rsidRDefault="00821C07">
            <w:pPr>
              <w:pStyle w:val="Heading5"/>
            </w:pPr>
            <w:r w:rsidRPr="00C01DE6">
              <w:t>Change Date</w:t>
            </w:r>
          </w:p>
        </w:tc>
        <w:tc>
          <w:tcPr>
            <w:tcW w:w="7740" w:type="dxa"/>
          </w:tcPr>
          <w:p w14:paraId="70342B63" w14:textId="77777777" w:rsidR="00821C07" w:rsidRPr="00C01DE6" w:rsidRDefault="001648EE">
            <w:pPr>
              <w:pStyle w:val="BlockText"/>
            </w:pPr>
            <w:r w:rsidRPr="00C01DE6">
              <w:t>January 9, 2015</w:t>
            </w:r>
          </w:p>
        </w:tc>
      </w:tr>
    </w:tbl>
    <w:p w14:paraId="4541A00B"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3AD18B0B" w14:textId="77777777">
        <w:trPr>
          <w:cantSplit/>
        </w:trPr>
        <w:tc>
          <w:tcPr>
            <w:tcW w:w="1728" w:type="dxa"/>
          </w:tcPr>
          <w:p w14:paraId="01A5A5E9" w14:textId="77777777" w:rsidR="00821C07" w:rsidRPr="00C01DE6" w:rsidRDefault="00821C07">
            <w:pPr>
              <w:pStyle w:val="Heading5"/>
            </w:pPr>
            <w:proofErr w:type="gramStart"/>
            <w:r w:rsidRPr="00C01DE6">
              <w:t>a.  Handling</w:t>
            </w:r>
            <w:proofErr w:type="gramEnd"/>
            <w:r w:rsidRPr="00C01DE6">
              <w:t xml:space="preserve"> Additional Issues</w:t>
            </w:r>
            <w:r w:rsidR="000431C5" w:rsidRPr="00C01DE6">
              <w:t xml:space="preserve"> Raised During </w:t>
            </w:r>
            <w:r w:rsidR="002512BB" w:rsidRPr="00C01DE6">
              <w:t xml:space="preserve">the </w:t>
            </w:r>
            <w:r w:rsidR="000431C5" w:rsidRPr="00C01DE6">
              <w:t>Hearing</w:t>
            </w:r>
          </w:p>
        </w:tc>
        <w:tc>
          <w:tcPr>
            <w:tcW w:w="7740" w:type="dxa"/>
          </w:tcPr>
          <w:p w14:paraId="4ADA7BF0" w14:textId="77777777" w:rsidR="00821C07" w:rsidRPr="00C01DE6" w:rsidRDefault="00821C07">
            <w:pPr>
              <w:pStyle w:val="BlockText"/>
            </w:pPr>
            <w:r w:rsidRPr="00C01DE6">
              <w:t>Properly consider additional issues raised by the claimant or his/her representative during or after the hearing.</w:t>
            </w:r>
          </w:p>
        </w:tc>
      </w:tr>
    </w:tbl>
    <w:p w14:paraId="13CFF6AC"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7F628D9A" w14:textId="77777777">
        <w:trPr>
          <w:cantSplit/>
        </w:trPr>
        <w:tc>
          <w:tcPr>
            <w:tcW w:w="1728" w:type="dxa"/>
          </w:tcPr>
          <w:p w14:paraId="2C36D783" w14:textId="77777777" w:rsidR="00821C07" w:rsidRPr="00C01DE6" w:rsidRDefault="00821C07" w:rsidP="002512BB">
            <w:pPr>
              <w:pStyle w:val="Heading5"/>
            </w:pPr>
            <w:proofErr w:type="gramStart"/>
            <w:r w:rsidRPr="00C01DE6">
              <w:t xml:space="preserve">b.  </w:t>
            </w:r>
            <w:r w:rsidR="000431C5" w:rsidRPr="00C01DE6">
              <w:t>Action</w:t>
            </w:r>
            <w:proofErr w:type="gramEnd"/>
            <w:r w:rsidR="000431C5" w:rsidRPr="00C01DE6">
              <w:t xml:space="preserve"> </w:t>
            </w:r>
            <w:r w:rsidR="002512BB" w:rsidRPr="00C01DE6">
              <w:t xml:space="preserve">to </w:t>
            </w:r>
            <w:r w:rsidR="000431C5" w:rsidRPr="00C01DE6">
              <w:t xml:space="preserve">Take When </w:t>
            </w:r>
            <w:r w:rsidRPr="00C01DE6">
              <w:t>Claimant Requests to File NOD or Appeal</w:t>
            </w:r>
            <w:r w:rsidR="000431C5" w:rsidRPr="00C01DE6">
              <w:t xml:space="preserve"> During </w:t>
            </w:r>
            <w:r w:rsidR="002512BB" w:rsidRPr="00C01DE6">
              <w:t xml:space="preserve">the </w:t>
            </w:r>
            <w:r w:rsidR="007B28DA" w:rsidRPr="00C01DE6">
              <w:t>H</w:t>
            </w:r>
            <w:r w:rsidR="000431C5" w:rsidRPr="00C01DE6">
              <w:t>earing</w:t>
            </w:r>
          </w:p>
        </w:tc>
        <w:tc>
          <w:tcPr>
            <w:tcW w:w="7740" w:type="dxa"/>
          </w:tcPr>
          <w:p w14:paraId="4EF68AD0" w14:textId="77777777" w:rsidR="00821C07" w:rsidRPr="00C01DE6" w:rsidRDefault="004B18B0">
            <w:pPr>
              <w:pStyle w:val="BlockText"/>
            </w:pPr>
            <w:r w:rsidRPr="00C01DE6">
              <w:t xml:space="preserve">If </w:t>
            </w:r>
            <w:r w:rsidR="00821C07" w:rsidRPr="00C01DE6">
              <w:t>the claimant or his/her representative indicates during the hearing that he/she wishes to fi</w:t>
            </w:r>
            <w:r w:rsidRPr="00C01DE6">
              <w:t>le a</w:t>
            </w:r>
            <w:r w:rsidR="002512BB" w:rsidRPr="00C01DE6">
              <w:t>n</w:t>
            </w:r>
            <w:r w:rsidRPr="00C01DE6">
              <w:t xml:space="preserve"> NOD or substantive appeal</w:t>
            </w:r>
            <w:r w:rsidR="00821C07" w:rsidRPr="00C01DE6">
              <w:t xml:space="preserve">, provide the claimant </w:t>
            </w:r>
            <w:r w:rsidRPr="00C01DE6">
              <w:t>with the appropriate form</w:t>
            </w:r>
            <w:r w:rsidR="002512BB" w:rsidRPr="00C01DE6">
              <w:t>,</w:t>
            </w:r>
            <w:r w:rsidR="007D0615" w:rsidRPr="00C01DE6">
              <w:t xml:space="preserve"> including</w:t>
            </w:r>
            <w:r w:rsidR="005F43C0" w:rsidRPr="00C01DE6">
              <w:t xml:space="preserve">  </w:t>
            </w:r>
          </w:p>
          <w:p w14:paraId="63383FAD" w14:textId="77777777" w:rsidR="00821C07" w:rsidRPr="00C01DE6" w:rsidRDefault="00821C07">
            <w:pPr>
              <w:pStyle w:val="BlockText"/>
            </w:pPr>
          </w:p>
          <w:p w14:paraId="7FEFC22F" w14:textId="77777777" w:rsidR="00821C07" w:rsidRPr="00C01DE6" w:rsidRDefault="00821C07">
            <w:pPr>
              <w:pStyle w:val="BulletText1"/>
            </w:pPr>
            <w:r w:rsidRPr="00C01DE6">
              <w:rPr>
                <w:i/>
              </w:rPr>
              <w:t>VA Form 21-</w:t>
            </w:r>
            <w:r w:rsidR="004B18B0" w:rsidRPr="00C01DE6">
              <w:rPr>
                <w:i/>
              </w:rPr>
              <w:t>0958</w:t>
            </w:r>
            <w:r w:rsidR="002512BB" w:rsidRPr="00C01DE6">
              <w:rPr>
                <w:i/>
              </w:rPr>
              <w:t>, Notice of Disagreement,</w:t>
            </w:r>
            <w:r w:rsidRPr="00C01DE6">
              <w:t>, or</w:t>
            </w:r>
          </w:p>
          <w:p w14:paraId="2BF98C52" w14:textId="77777777" w:rsidR="00821C07" w:rsidRPr="00C01DE6" w:rsidRDefault="00821C07">
            <w:pPr>
              <w:pStyle w:val="BulletText1"/>
            </w:pPr>
            <w:r w:rsidRPr="00C01DE6">
              <w:rPr>
                <w:i/>
              </w:rPr>
              <w:t>VA Form 9</w:t>
            </w:r>
            <w:r w:rsidR="002512BB" w:rsidRPr="00C01DE6">
              <w:rPr>
                <w:i/>
              </w:rPr>
              <w:t>, Appeal to Board of Veterans’ Appeals</w:t>
            </w:r>
            <w:r w:rsidRPr="00C01DE6">
              <w:t>.</w:t>
            </w:r>
          </w:p>
          <w:p w14:paraId="1F88FA63" w14:textId="77777777" w:rsidR="00821C07" w:rsidRPr="00C01DE6" w:rsidRDefault="00821C07">
            <w:pPr>
              <w:pStyle w:val="BlockText"/>
            </w:pPr>
          </w:p>
          <w:p w14:paraId="64FA5E36" w14:textId="77777777" w:rsidR="005F43C0" w:rsidRPr="00C01DE6" w:rsidRDefault="00821C07">
            <w:pPr>
              <w:pStyle w:val="BlockText"/>
            </w:pPr>
            <w:r w:rsidRPr="00C01DE6">
              <w:rPr>
                <w:b/>
                <w:i/>
              </w:rPr>
              <w:t>Note</w:t>
            </w:r>
            <w:r w:rsidR="005F43C0" w:rsidRPr="00C01DE6">
              <w:rPr>
                <w:b/>
                <w:i/>
              </w:rPr>
              <w:t>s</w:t>
            </w:r>
            <w:r w:rsidRPr="00C01DE6">
              <w:t xml:space="preserve">:  </w:t>
            </w:r>
          </w:p>
          <w:p w14:paraId="73FD2AEF" w14:textId="77777777" w:rsidR="00821C07" w:rsidRPr="00C01DE6" w:rsidRDefault="00821C07" w:rsidP="005F43C0">
            <w:pPr>
              <w:pStyle w:val="BulletText1"/>
            </w:pPr>
            <w:r w:rsidRPr="00C01DE6">
              <w:t xml:space="preserve">Encourage the claimant to complete the appropriate form </w:t>
            </w:r>
            <w:r w:rsidRPr="00C01DE6">
              <w:rPr>
                <w:iCs/>
              </w:rPr>
              <w:t xml:space="preserve">prior </w:t>
            </w:r>
            <w:r w:rsidRPr="00C01DE6">
              <w:t>to leaving the hearing.</w:t>
            </w:r>
          </w:p>
          <w:p w14:paraId="5265138D" w14:textId="779C45F0" w:rsidR="005F43C0" w:rsidRPr="00C01DE6" w:rsidRDefault="005F43C0" w:rsidP="005F43C0">
            <w:pPr>
              <w:pStyle w:val="BulletText1"/>
            </w:pPr>
            <w:r w:rsidRPr="00C01DE6">
              <w:t>Advise the claimant and representative (if applicable) on the record if there is no appealable decision with which to disagree</w:t>
            </w:r>
            <w:r w:rsidR="002512BB" w:rsidRPr="00C01DE6">
              <w:t>,</w:t>
            </w:r>
            <w:r w:rsidRPr="00C01DE6">
              <w:t xml:space="preserve"> or if a</w:t>
            </w:r>
            <w:r w:rsidR="00560C34" w:rsidRPr="00C01DE6">
              <w:t>n</w:t>
            </w:r>
            <w:r w:rsidRPr="00C01DE6">
              <w:t xml:space="preserve"> SOC has not been issued on any issue in NOD status.  </w:t>
            </w:r>
          </w:p>
          <w:p w14:paraId="0AABE450" w14:textId="77777777" w:rsidR="005F43C0" w:rsidRPr="00C01DE6" w:rsidRDefault="005F43C0" w:rsidP="002512BB">
            <w:pPr>
              <w:pStyle w:val="BulletText1"/>
            </w:pPr>
            <w:r w:rsidRPr="00C01DE6">
              <w:t>If a</w:t>
            </w:r>
            <w:r w:rsidR="002512BB" w:rsidRPr="00C01DE6">
              <w:t>n</w:t>
            </w:r>
            <w:r w:rsidRPr="00C01DE6">
              <w:t xml:space="preserve"> NOD or </w:t>
            </w:r>
            <w:r w:rsidRPr="00C01DE6">
              <w:rPr>
                <w:i/>
              </w:rPr>
              <w:t>VA</w:t>
            </w:r>
            <w:r w:rsidR="002512BB" w:rsidRPr="00C01DE6">
              <w:rPr>
                <w:i/>
              </w:rPr>
              <w:t xml:space="preserve"> Form </w:t>
            </w:r>
            <w:r w:rsidRPr="00C01DE6">
              <w:rPr>
                <w:i/>
              </w:rPr>
              <w:t>9</w:t>
            </w:r>
            <w:r w:rsidRPr="00C01DE6">
              <w:t xml:space="preserve"> </w:t>
            </w:r>
            <w:r w:rsidR="002512BB" w:rsidRPr="00C01DE6">
              <w:t>is</w:t>
            </w:r>
            <w:r w:rsidRPr="00C01DE6">
              <w:t xml:space="preserve"> clearly untimely</w:t>
            </w:r>
            <w:r w:rsidR="002512BB" w:rsidRPr="00C01DE6">
              <w:t>,</w:t>
            </w:r>
            <w:r w:rsidRPr="00C01DE6">
              <w:t xml:space="preserve"> notify the claimant and representative (if applicable).  However</w:t>
            </w:r>
            <w:r w:rsidR="002512BB" w:rsidRPr="00C01DE6">
              <w:t>,</w:t>
            </w:r>
            <w:r w:rsidRPr="00C01DE6">
              <w:t xml:space="preserve"> if they wish to file a</w:t>
            </w:r>
            <w:r w:rsidR="002512BB" w:rsidRPr="00C01DE6">
              <w:t>n</w:t>
            </w:r>
            <w:r w:rsidRPr="00C01DE6">
              <w:t xml:space="preserve"> NOD, a written determination that a</w:t>
            </w:r>
            <w:r w:rsidR="002512BB" w:rsidRPr="00C01DE6">
              <w:t>n</w:t>
            </w:r>
            <w:r w:rsidRPr="00C01DE6">
              <w:t xml:space="preserve"> NOD or substantive appeal is untimely is a separately appealable issue. </w:t>
            </w:r>
          </w:p>
        </w:tc>
      </w:tr>
    </w:tbl>
    <w:p w14:paraId="02DF4429" w14:textId="77777777" w:rsidR="00821C07" w:rsidRPr="00C01DE6" w:rsidRDefault="00821C07">
      <w:pPr>
        <w:pStyle w:val="BlockLine"/>
      </w:pPr>
    </w:p>
    <w:p w14:paraId="4A468C12" w14:textId="77777777" w:rsidR="00821C07" w:rsidRPr="00C01DE6" w:rsidRDefault="00EA0E66" w:rsidP="00EA0E66">
      <w:pPr>
        <w:rPr>
          <w:rFonts w:ascii="Arial" w:hAnsi="Arial" w:cs="Arial"/>
          <w:b/>
          <w:sz w:val="32"/>
          <w:szCs w:val="32"/>
        </w:rPr>
      </w:pPr>
      <w:r w:rsidRPr="00C01DE6">
        <w:br w:type="page"/>
      </w:r>
      <w:r w:rsidR="00821C07" w:rsidRPr="00C01DE6">
        <w:rPr>
          <w:rFonts w:ascii="Arial" w:hAnsi="Arial" w:cs="Arial"/>
          <w:b/>
          <w:sz w:val="32"/>
          <w:szCs w:val="32"/>
        </w:rPr>
        <w:lastRenderedPageBreak/>
        <w:t>6.  Transcribing the Hearing</w:t>
      </w:r>
    </w:p>
    <w:p w14:paraId="0F786AB5"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43E7C4C2" w14:textId="77777777">
        <w:trPr>
          <w:cantSplit/>
        </w:trPr>
        <w:tc>
          <w:tcPr>
            <w:tcW w:w="1728" w:type="dxa"/>
          </w:tcPr>
          <w:p w14:paraId="19A255E8" w14:textId="77777777" w:rsidR="00821C07" w:rsidRPr="00C01DE6" w:rsidRDefault="00821C07">
            <w:pPr>
              <w:pStyle w:val="Heading5"/>
            </w:pPr>
            <w:r w:rsidRPr="00C01DE6">
              <w:t>Introduction</w:t>
            </w:r>
          </w:p>
        </w:tc>
        <w:tc>
          <w:tcPr>
            <w:tcW w:w="7740" w:type="dxa"/>
          </w:tcPr>
          <w:p w14:paraId="03C668F2" w14:textId="77777777" w:rsidR="00821C07" w:rsidRPr="00C01DE6" w:rsidRDefault="00821C07">
            <w:pPr>
              <w:pStyle w:val="BlockText"/>
            </w:pPr>
            <w:r w:rsidRPr="00C01DE6">
              <w:t>This topic contains information on</w:t>
            </w:r>
            <w:r w:rsidR="00F71FBE" w:rsidRPr="00C01DE6">
              <w:t xml:space="preserve"> transcribing the hearing, including</w:t>
            </w:r>
          </w:p>
          <w:p w14:paraId="6DB4C036" w14:textId="77777777" w:rsidR="00821C07" w:rsidRPr="00C01DE6" w:rsidRDefault="00821C07">
            <w:pPr>
              <w:pStyle w:val="BlockText"/>
            </w:pPr>
          </w:p>
          <w:p w14:paraId="4A3ECF94" w14:textId="77777777" w:rsidR="00821C07" w:rsidRPr="00C01DE6" w:rsidRDefault="00821C07">
            <w:pPr>
              <w:pStyle w:val="BulletText1"/>
            </w:pPr>
            <w:r w:rsidRPr="00C01DE6">
              <w:t>preparing the hearing transcript</w:t>
            </w:r>
          </w:p>
          <w:p w14:paraId="66AE3342" w14:textId="77777777" w:rsidR="00821C07" w:rsidRPr="00C01DE6" w:rsidRDefault="00821C07">
            <w:pPr>
              <w:pStyle w:val="BulletText1"/>
            </w:pPr>
            <w:r w:rsidRPr="00C01DE6">
              <w:t xml:space="preserve">soliciting the claimant’s permission not </w:t>
            </w:r>
            <w:r w:rsidR="004B0ABF" w:rsidRPr="00C01DE6">
              <w:t xml:space="preserve">to </w:t>
            </w:r>
            <w:r w:rsidRPr="00C01DE6">
              <w:t>transcribe the hearing</w:t>
            </w:r>
          </w:p>
          <w:p w14:paraId="43F16AA8" w14:textId="77777777" w:rsidR="00821C07" w:rsidRPr="00C01DE6" w:rsidRDefault="00821C07">
            <w:pPr>
              <w:pStyle w:val="BulletText1"/>
            </w:pPr>
            <w:r w:rsidRPr="00C01DE6">
              <w:t>handling the claimant’s waiver of a hearing transcript, and</w:t>
            </w:r>
          </w:p>
          <w:p w14:paraId="1F95764A" w14:textId="0890E3C9" w:rsidR="00821C07" w:rsidRPr="00C01DE6" w:rsidRDefault="00821C07" w:rsidP="005E26A7">
            <w:pPr>
              <w:pStyle w:val="BulletText1"/>
            </w:pPr>
            <w:proofErr w:type="gramStart"/>
            <w:r w:rsidRPr="00C01DE6">
              <w:t>preparing</w:t>
            </w:r>
            <w:proofErr w:type="gramEnd"/>
            <w:r w:rsidRPr="00C01DE6">
              <w:t xml:space="preserve"> the transcript for BVA transfer.</w:t>
            </w:r>
          </w:p>
        </w:tc>
      </w:tr>
    </w:tbl>
    <w:p w14:paraId="2D741215"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6ED09EA7" w14:textId="77777777">
        <w:trPr>
          <w:cantSplit/>
        </w:trPr>
        <w:tc>
          <w:tcPr>
            <w:tcW w:w="1728" w:type="dxa"/>
          </w:tcPr>
          <w:p w14:paraId="58E66DAB" w14:textId="77777777" w:rsidR="00821C07" w:rsidRPr="00C01DE6" w:rsidRDefault="00821C07">
            <w:pPr>
              <w:pStyle w:val="Heading5"/>
            </w:pPr>
            <w:r w:rsidRPr="00C01DE6">
              <w:t>Change Date</w:t>
            </w:r>
          </w:p>
        </w:tc>
        <w:tc>
          <w:tcPr>
            <w:tcW w:w="7740" w:type="dxa"/>
          </w:tcPr>
          <w:p w14:paraId="1B0A2240" w14:textId="77777777" w:rsidR="00821C07" w:rsidRPr="00C01DE6" w:rsidRDefault="009D63F6">
            <w:pPr>
              <w:pStyle w:val="BlockText"/>
            </w:pPr>
            <w:r w:rsidRPr="00C01DE6">
              <w:t>July 7</w:t>
            </w:r>
            <w:r w:rsidR="00EA0E66" w:rsidRPr="00C01DE6">
              <w:t>, 2015</w:t>
            </w:r>
          </w:p>
        </w:tc>
      </w:tr>
    </w:tbl>
    <w:p w14:paraId="54636FB7"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3DE5A822" w14:textId="77777777">
        <w:trPr>
          <w:cantSplit/>
        </w:trPr>
        <w:tc>
          <w:tcPr>
            <w:tcW w:w="1728" w:type="dxa"/>
          </w:tcPr>
          <w:p w14:paraId="05C1B3D9" w14:textId="77777777" w:rsidR="00821C07" w:rsidRPr="00C01DE6" w:rsidRDefault="00821C07">
            <w:pPr>
              <w:pStyle w:val="Heading5"/>
            </w:pPr>
            <w:proofErr w:type="gramStart"/>
            <w:r w:rsidRPr="00C01DE6">
              <w:t>a.  Preparing</w:t>
            </w:r>
            <w:proofErr w:type="gramEnd"/>
            <w:r w:rsidRPr="00C01DE6">
              <w:t xml:space="preserve"> the Hearing Transcript</w:t>
            </w:r>
          </w:p>
        </w:tc>
        <w:tc>
          <w:tcPr>
            <w:tcW w:w="7740" w:type="dxa"/>
          </w:tcPr>
          <w:p w14:paraId="731D42AD" w14:textId="77777777" w:rsidR="003B7412" w:rsidRPr="00C01DE6" w:rsidRDefault="003B7412" w:rsidP="000431C5">
            <w:pPr>
              <w:pStyle w:val="BlockText"/>
            </w:pPr>
            <w:r w:rsidRPr="00C01DE6">
              <w:t>Follow local procedure</w:t>
            </w:r>
            <w:r w:rsidR="00405EEE" w:rsidRPr="00C01DE6">
              <w:t>s</w:t>
            </w:r>
            <w:r w:rsidRPr="00C01DE6">
              <w:t xml:space="preserve"> for transcribing hearing transcripts.</w:t>
            </w:r>
          </w:p>
          <w:p w14:paraId="4493E58D" w14:textId="77777777" w:rsidR="003B7412" w:rsidRPr="00C01DE6" w:rsidRDefault="003B7412" w:rsidP="000431C5">
            <w:pPr>
              <w:pStyle w:val="BlockText"/>
            </w:pPr>
          </w:p>
          <w:p w14:paraId="78DA320E" w14:textId="0027FE0C" w:rsidR="003B7412" w:rsidRPr="00C01DE6" w:rsidRDefault="003B7412" w:rsidP="008E62BE">
            <w:pPr>
              <w:numPr>
                <w:ilvl w:val="0"/>
                <w:numId w:val="14"/>
              </w:numPr>
              <w:ind w:left="158" w:hanging="187"/>
            </w:pPr>
            <w:r w:rsidRPr="00C01DE6">
              <w:t xml:space="preserve">If the hearing transcript is received electronically, upload the document to </w:t>
            </w:r>
            <w:r w:rsidR="004B0ABF" w:rsidRPr="00C01DE6">
              <w:t xml:space="preserve">the </w:t>
            </w:r>
            <w:r w:rsidR="007B28DA" w:rsidRPr="00C01DE6">
              <w:t>electronic</w:t>
            </w:r>
            <w:r w:rsidR="00560C34" w:rsidRPr="00C01DE6">
              <w:t xml:space="preserve"> claims</w:t>
            </w:r>
            <w:r w:rsidR="007B28DA" w:rsidRPr="00C01DE6">
              <w:t xml:space="preserve"> folder (eFolder) in the </w:t>
            </w:r>
            <w:r w:rsidR="004B0ABF" w:rsidRPr="00C01DE6">
              <w:t>Veterans Benefits Management System (</w:t>
            </w:r>
            <w:r w:rsidRPr="00C01DE6">
              <w:t>VBMS</w:t>
            </w:r>
            <w:r w:rsidR="004B0ABF" w:rsidRPr="00C01DE6">
              <w:t>)</w:t>
            </w:r>
            <w:r w:rsidRPr="00C01DE6">
              <w:t xml:space="preserve"> following the procedures </w:t>
            </w:r>
            <w:r w:rsidR="002922AB" w:rsidRPr="00C01DE6">
              <w:t xml:space="preserve">in the </w:t>
            </w:r>
            <w:hyperlink r:id="rId21" w:history="1">
              <w:r w:rsidR="00E26712" w:rsidRPr="00C01DE6">
                <w:rPr>
                  <w:rStyle w:val="Hyperlink"/>
                </w:rPr>
                <w:t xml:space="preserve">VBMS Job Aid - Adding Documents into VBMS </w:t>
              </w:r>
              <w:proofErr w:type="spellStart"/>
              <w:r w:rsidR="00E26712" w:rsidRPr="00C01DE6">
                <w:rPr>
                  <w:rStyle w:val="Hyperlink"/>
                </w:rPr>
                <w:t>eFolders</w:t>
              </w:r>
              <w:proofErr w:type="spellEnd"/>
            </w:hyperlink>
            <w:r w:rsidR="00405EEE" w:rsidRPr="00C01DE6">
              <w:t>, or</w:t>
            </w:r>
          </w:p>
          <w:p w14:paraId="719A0CB0" w14:textId="1949C1F1" w:rsidR="00821C07" w:rsidRPr="00C01DE6" w:rsidRDefault="00E26712" w:rsidP="000567AF">
            <w:pPr>
              <w:numPr>
                <w:ilvl w:val="0"/>
                <w:numId w:val="15"/>
              </w:numPr>
              <w:ind w:left="158" w:hanging="187"/>
            </w:pPr>
            <w:proofErr w:type="gramStart"/>
            <w:r w:rsidRPr="00C01DE6">
              <w:t>i</w:t>
            </w:r>
            <w:r w:rsidR="00405EEE" w:rsidRPr="00C01DE6">
              <w:t>f</w:t>
            </w:r>
            <w:proofErr w:type="gramEnd"/>
            <w:r w:rsidR="00405EEE" w:rsidRPr="00C01DE6">
              <w:t xml:space="preserve"> a hard copy hearing transcript is received, send the transcript to the scanning vendor for upload into VBMS.</w:t>
            </w:r>
          </w:p>
        </w:tc>
      </w:tr>
    </w:tbl>
    <w:p w14:paraId="2E700548"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4E8C36DA" w14:textId="77777777">
        <w:trPr>
          <w:cantSplit/>
        </w:trPr>
        <w:tc>
          <w:tcPr>
            <w:tcW w:w="1728" w:type="dxa"/>
          </w:tcPr>
          <w:p w14:paraId="1A876856" w14:textId="77777777" w:rsidR="00821C07" w:rsidRPr="00C01DE6" w:rsidRDefault="00821C07">
            <w:pPr>
              <w:pStyle w:val="Heading5"/>
            </w:pPr>
            <w:proofErr w:type="gramStart"/>
            <w:r w:rsidRPr="00C01DE6">
              <w:t>b.  Soliciting</w:t>
            </w:r>
            <w:proofErr w:type="gramEnd"/>
            <w:r w:rsidRPr="00C01DE6">
              <w:t xml:space="preserve"> </w:t>
            </w:r>
            <w:r w:rsidR="002512BB" w:rsidRPr="00C01DE6">
              <w:t xml:space="preserve">the </w:t>
            </w:r>
            <w:r w:rsidRPr="00C01DE6">
              <w:t xml:space="preserve">Claimant’s Permission Not to Transcribe </w:t>
            </w:r>
            <w:r w:rsidR="00F622A8" w:rsidRPr="00C01DE6">
              <w:t xml:space="preserve">the </w:t>
            </w:r>
            <w:r w:rsidRPr="00C01DE6">
              <w:t>Hearing</w:t>
            </w:r>
          </w:p>
        </w:tc>
        <w:tc>
          <w:tcPr>
            <w:tcW w:w="7740" w:type="dxa"/>
          </w:tcPr>
          <w:p w14:paraId="57BA622A" w14:textId="77777777" w:rsidR="00821C07" w:rsidRPr="00C01DE6" w:rsidRDefault="00821C07">
            <w:pPr>
              <w:pStyle w:val="BlockText"/>
            </w:pPr>
            <w:r w:rsidRPr="00C01DE6">
              <w:t>In some situations the DRO, or other appointed VA employee who conducted the hearing, determines with reasonable certainty that particular cases will not be referred to BVA.</w:t>
            </w:r>
          </w:p>
          <w:p w14:paraId="2454C492" w14:textId="77777777" w:rsidR="00821C07" w:rsidRPr="00C01DE6" w:rsidRDefault="00821C07">
            <w:pPr>
              <w:pStyle w:val="BlockText"/>
            </w:pPr>
          </w:p>
          <w:p w14:paraId="6305CA50" w14:textId="77777777" w:rsidR="00821C07" w:rsidRPr="00C01DE6" w:rsidRDefault="00821C07">
            <w:pPr>
              <w:pStyle w:val="BlockText"/>
            </w:pPr>
            <w:r w:rsidRPr="00C01DE6">
              <w:rPr>
                <w:b/>
                <w:i/>
              </w:rPr>
              <w:t>Examples</w:t>
            </w:r>
            <w:r w:rsidRPr="00C01DE6">
              <w:t>:</w:t>
            </w:r>
          </w:p>
          <w:p w14:paraId="702F3E85" w14:textId="77777777" w:rsidR="00821C07" w:rsidRPr="00C01DE6" w:rsidRDefault="00821C07">
            <w:pPr>
              <w:pStyle w:val="BulletText1"/>
            </w:pPr>
            <w:r w:rsidRPr="00C01DE6">
              <w:t>Cases involving a complete grant of benefits.</w:t>
            </w:r>
          </w:p>
          <w:p w14:paraId="5F7E5DE4" w14:textId="77777777" w:rsidR="00821C07" w:rsidRPr="00C01DE6" w:rsidRDefault="00821C07">
            <w:pPr>
              <w:pStyle w:val="BulletText1"/>
            </w:pPr>
            <w:r w:rsidRPr="00C01DE6">
              <w:t>Instances in which the claimant is considered likely to withdraw the appeal.</w:t>
            </w:r>
          </w:p>
          <w:p w14:paraId="0DE4CB1F" w14:textId="77777777" w:rsidR="00821C07" w:rsidRPr="00C01DE6" w:rsidRDefault="00821C07">
            <w:pPr>
              <w:pStyle w:val="BlockText"/>
            </w:pPr>
          </w:p>
          <w:p w14:paraId="1D512F31" w14:textId="77777777" w:rsidR="00821C07" w:rsidRPr="00C01DE6" w:rsidRDefault="00821C07">
            <w:pPr>
              <w:pStyle w:val="BlockText"/>
            </w:pPr>
            <w:r w:rsidRPr="00C01DE6">
              <w:t xml:space="preserve">In this situation, solicit the claimant’s permission </w:t>
            </w:r>
            <w:r w:rsidRPr="00C01DE6">
              <w:rPr>
                <w:iCs/>
              </w:rPr>
              <w:t xml:space="preserve">not </w:t>
            </w:r>
            <w:r w:rsidRPr="00C01DE6">
              <w:t>to prepare a typed transcript of the hearing.</w:t>
            </w:r>
          </w:p>
        </w:tc>
      </w:tr>
    </w:tbl>
    <w:p w14:paraId="7421310B"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3DFCF861" w14:textId="77777777" w:rsidTr="007B28DA">
        <w:tc>
          <w:tcPr>
            <w:tcW w:w="1728" w:type="dxa"/>
          </w:tcPr>
          <w:p w14:paraId="386369C2" w14:textId="77777777" w:rsidR="00821C07" w:rsidRPr="00C01DE6" w:rsidRDefault="00821C07">
            <w:pPr>
              <w:pStyle w:val="Heading5"/>
            </w:pPr>
            <w:proofErr w:type="gramStart"/>
            <w:r w:rsidRPr="00C01DE6">
              <w:t>c.  Handling</w:t>
            </w:r>
            <w:proofErr w:type="gramEnd"/>
            <w:r w:rsidRPr="00C01DE6">
              <w:t xml:space="preserve"> the Claimant’s Waiver of a Hearing Transcript</w:t>
            </w:r>
          </w:p>
        </w:tc>
        <w:tc>
          <w:tcPr>
            <w:tcW w:w="7740" w:type="dxa"/>
          </w:tcPr>
          <w:p w14:paraId="58DD0D91" w14:textId="77777777" w:rsidR="00821C07" w:rsidRPr="00C01DE6" w:rsidRDefault="00821C07">
            <w:pPr>
              <w:pStyle w:val="BlockText"/>
            </w:pPr>
            <w:r w:rsidRPr="00C01DE6">
              <w:t xml:space="preserve">If the claimant gives his/her permission </w:t>
            </w:r>
            <w:r w:rsidRPr="00C01DE6">
              <w:rPr>
                <w:b/>
                <w:i/>
              </w:rPr>
              <w:t>not</w:t>
            </w:r>
            <w:r w:rsidRPr="00C01DE6">
              <w:rPr>
                <w:b/>
              </w:rPr>
              <w:t xml:space="preserve"> </w:t>
            </w:r>
            <w:r w:rsidRPr="00C01DE6">
              <w:t>to prepare a typed transcript of the hearing</w:t>
            </w:r>
          </w:p>
          <w:p w14:paraId="335E6891" w14:textId="77777777" w:rsidR="00821C07" w:rsidRPr="00C01DE6" w:rsidRDefault="00821C07">
            <w:pPr>
              <w:pStyle w:val="BlockText"/>
            </w:pPr>
          </w:p>
          <w:p w14:paraId="47DE43F0" w14:textId="77777777" w:rsidR="00821C07" w:rsidRPr="00C01DE6" w:rsidRDefault="00821C07" w:rsidP="007B28DA">
            <w:pPr>
              <w:numPr>
                <w:ilvl w:val="0"/>
                <w:numId w:val="22"/>
              </w:numPr>
              <w:ind w:left="158" w:hanging="187"/>
            </w:pPr>
            <w:proofErr w:type="gramStart"/>
            <w:r w:rsidRPr="00C01DE6">
              <w:t>ask</w:t>
            </w:r>
            <w:proofErr w:type="gramEnd"/>
            <w:r w:rsidRPr="00C01DE6">
              <w:t xml:space="preserve"> the claimant to sign the following statement at the hearing:  “I hereby waive any requirement that the record of my hearing will be transcribed.  A hearing transcript will be prepared if my records are eventually referred to </w:t>
            </w:r>
            <w:r w:rsidR="00F71FBE" w:rsidRPr="00C01DE6">
              <w:t>BVA</w:t>
            </w:r>
            <w:r w:rsidRPr="00C01DE6">
              <w:t xml:space="preserve"> for a decision on this issue,” and</w:t>
            </w:r>
          </w:p>
          <w:p w14:paraId="34E1300B" w14:textId="77777777" w:rsidR="00821C07" w:rsidRPr="00C01DE6" w:rsidRDefault="00821C07" w:rsidP="000567AF">
            <w:pPr>
              <w:pStyle w:val="BulletText1"/>
            </w:pPr>
            <w:proofErr w:type="gramStart"/>
            <w:r w:rsidRPr="00C01DE6">
              <w:t>secure</w:t>
            </w:r>
            <w:proofErr w:type="gramEnd"/>
            <w:r w:rsidRPr="00C01DE6">
              <w:t xml:space="preserve"> </w:t>
            </w:r>
            <w:r w:rsidR="000567AF" w:rsidRPr="00C01DE6">
              <w:t>any</w:t>
            </w:r>
            <w:r w:rsidRPr="00C01DE6">
              <w:t xml:space="preserve"> tape recording or electronic record in the claims folder for a period of at least two years after the hearing, at which time it will be recycled or destroyed.</w:t>
            </w:r>
          </w:p>
        </w:tc>
      </w:tr>
    </w:tbl>
    <w:p w14:paraId="2CD167AC"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2DCFE5C1" w14:textId="77777777">
        <w:trPr>
          <w:cantSplit/>
        </w:trPr>
        <w:tc>
          <w:tcPr>
            <w:tcW w:w="1728" w:type="dxa"/>
          </w:tcPr>
          <w:p w14:paraId="7883016E" w14:textId="77777777" w:rsidR="00821C07" w:rsidRPr="00C01DE6" w:rsidRDefault="00821C07">
            <w:pPr>
              <w:pStyle w:val="Heading5"/>
            </w:pPr>
            <w:proofErr w:type="gramStart"/>
            <w:r w:rsidRPr="00C01DE6">
              <w:lastRenderedPageBreak/>
              <w:t>d.  Preparing</w:t>
            </w:r>
            <w:proofErr w:type="gramEnd"/>
            <w:r w:rsidRPr="00C01DE6">
              <w:t xml:space="preserve"> the Transcript for BVA Transfer</w:t>
            </w:r>
          </w:p>
        </w:tc>
        <w:tc>
          <w:tcPr>
            <w:tcW w:w="7740" w:type="dxa"/>
          </w:tcPr>
          <w:p w14:paraId="54DAD1E5" w14:textId="77777777" w:rsidR="00821C07" w:rsidRPr="00C01DE6" w:rsidRDefault="00821C07" w:rsidP="00F71FBE">
            <w:pPr>
              <w:pStyle w:val="BlockText"/>
            </w:pPr>
            <w:r w:rsidRPr="00C01DE6">
              <w:t xml:space="preserve">If the case is transferred to </w:t>
            </w:r>
            <w:r w:rsidR="00F71FBE" w:rsidRPr="00C01DE6">
              <w:t>BVA</w:t>
            </w:r>
            <w:r w:rsidRPr="00C01DE6">
              <w:t xml:space="preserve"> for consideration of the issue(s) that was the subject of the hearing, </w:t>
            </w:r>
            <w:r w:rsidR="000567AF" w:rsidRPr="00C01DE6">
              <w:t>ensure</w:t>
            </w:r>
            <w:r w:rsidRPr="00C01DE6">
              <w:t xml:space="preserve"> a transcription of the </w:t>
            </w:r>
            <w:r w:rsidR="000567AF" w:rsidRPr="00C01DE6">
              <w:t>hearing is</w:t>
            </w:r>
            <w:r w:rsidRPr="00C01DE6">
              <w:t xml:space="preserve"> in the claims folder.</w:t>
            </w:r>
          </w:p>
          <w:p w14:paraId="69B31E79" w14:textId="77777777" w:rsidR="000567AF" w:rsidRPr="00C01DE6" w:rsidRDefault="000567AF" w:rsidP="00F71FBE">
            <w:pPr>
              <w:pStyle w:val="BlockText"/>
            </w:pPr>
          </w:p>
          <w:p w14:paraId="17A4F175" w14:textId="77777777" w:rsidR="000567AF" w:rsidRPr="00C01DE6" w:rsidRDefault="000567AF" w:rsidP="00F71FBE">
            <w:pPr>
              <w:pStyle w:val="BlockText"/>
            </w:pPr>
            <w:r w:rsidRPr="00C01DE6">
              <w:rPr>
                <w:b/>
                <w:i/>
              </w:rPr>
              <w:t>Reference</w:t>
            </w:r>
            <w:r w:rsidRPr="00C01DE6">
              <w:t>:  For information on adding the transcript to the eFolder, see M21-1, Part I, 4.6.a.</w:t>
            </w:r>
          </w:p>
        </w:tc>
      </w:tr>
    </w:tbl>
    <w:p w14:paraId="1BADE532" w14:textId="77777777" w:rsidR="00EA0E66" w:rsidRPr="00C01DE6" w:rsidRDefault="00EA0E66">
      <w:pPr>
        <w:pStyle w:val="BlockLine"/>
      </w:pPr>
    </w:p>
    <w:p w14:paraId="793E7EF6" w14:textId="77777777" w:rsidR="00821C07" w:rsidRPr="00C01DE6" w:rsidRDefault="0066151A">
      <w:pPr>
        <w:pStyle w:val="Heading4"/>
      </w:pPr>
      <w:r w:rsidRPr="00C01DE6">
        <w:br w:type="page"/>
      </w:r>
      <w:r w:rsidR="00821C07" w:rsidRPr="00C01DE6">
        <w:lastRenderedPageBreak/>
        <w:t>7.  Reviewing the Evidence of Record</w:t>
      </w:r>
    </w:p>
    <w:p w14:paraId="6D998E5D"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491C8559" w14:textId="77777777">
        <w:trPr>
          <w:cantSplit/>
        </w:trPr>
        <w:tc>
          <w:tcPr>
            <w:tcW w:w="1728" w:type="dxa"/>
          </w:tcPr>
          <w:p w14:paraId="36F76E50" w14:textId="77777777" w:rsidR="00821C07" w:rsidRPr="00C01DE6" w:rsidRDefault="00821C07">
            <w:pPr>
              <w:pStyle w:val="Heading5"/>
            </w:pPr>
            <w:r w:rsidRPr="00C01DE6">
              <w:t>Introduction</w:t>
            </w:r>
          </w:p>
        </w:tc>
        <w:tc>
          <w:tcPr>
            <w:tcW w:w="7740" w:type="dxa"/>
          </w:tcPr>
          <w:p w14:paraId="4D4FB586" w14:textId="77777777" w:rsidR="00821C07" w:rsidRPr="00C01DE6" w:rsidRDefault="00821C07">
            <w:pPr>
              <w:pStyle w:val="BlockText"/>
            </w:pPr>
            <w:r w:rsidRPr="00C01DE6">
              <w:t>This topic contains information on</w:t>
            </w:r>
            <w:r w:rsidR="00F71FBE" w:rsidRPr="00C01DE6">
              <w:t xml:space="preserve"> reviewing the evidence of record</w:t>
            </w:r>
            <w:r w:rsidR="005A5E17" w:rsidRPr="00C01DE6">
              <w:t xml:space="preserve"> after the conclusion of the hearing</w:t>
            </w:r>
            <w:r w:rsidR="00F71FBE" w:rsidRPr="00C01DE6">
              <w:t>, including</w:t>
            </w:r>
          </w:p>
          <w:p w14:paraId="05F3B3F1" w14:textId="77777777" w:rsidR="00821C07" w:rsidRPr="00C01DE6" w:rsidRDefault="00821C07">
            <w:pPr>
              <w:pStyle w:val="BlockText"/>
            </w:pPr>
          </w:p>
          <w:p w14:paraId="714AEB5B" w14:textId="77777777" w:rsidR="00821C07" w:rsidRPr="00C01DE6" w:rsidRDefault="00821C07">
            <w:pPr>
              <w:pStyle w:val="BulletText1"/>
            </w:pPr>
            <w:r w:rsidRPr="00C01DE6">
              <w:t>analyzing the testimony for credibility and value</w:t>
            </w:r>
          </w:p>
          <w:p w14:paraId="6233F4D9" w14:textId="62E0028F" w:rsidR="00821C07" w:rsidRPr="00C01DE6" w:rsidRDefault="00277CD6">
            <w:pPr>
              <w:pStyle w:val="BulletText1"/>
            </w:pPr>
            <w:r w:rsidRPr="00C01DE6">
              <w:t xml:space="preserve">analyzing the </w:t>
            </w:r>
            <w:r w:rsidR="00821C07" w:rsidRPr="00C01DE6">
              <w:t>competency of witness</w:t>
            </w:r>
            <w:r w:rsidR="00BC7C6E" w:rsidRPr="00C01DE6">
              <w:t xml:space="preserve"> testimony</w:t>
            </w:r>
          </w:p>
          <w:p w14:paraId="7E450D28" w14:textId="77777777" w:rsidR="00821C07" w:rsidRPr="00C01DE6" w:rsidRDefault="00821C07">
            <w:pPr>
              <w:pStyle w:val="BulletText1"/>
            </w:pPr>
            <w:r w:rsidRPr="00C01DE6">
              <w:t>requesting corroborative evidence</w:t>
            </w:r>
          </w:p>
          <w:p w14:paraId="3A16C00D" w14:textId="77777777" w:rsidR="00821C07" w:rsidRPr="00C01DE6" w:rsidRDefault="00821C07">
            <w:pPr>
              <w:pStyle w:val="BulletText1"/>
            </w:pPr>
            <w:r w:rsidRPr="00C01DE6">
              <w:t>handling new issues, and</w:t>
            </w:r>
          </w:p>
          <w:p w14:paraId="15D28A9E" w14:textId="77777777" w:rsidR="00821C07" w:rsidRPr="00C01DE6" w:rsidRDefault="000E5B42">
            <w:pPr>
              <w:pStyle w:val="BulletText1"/>
            </w:pPr>
            <w:proofErr w:type="gramStart"/>
            <w:r w:rsidRPr="00C01DE6">
              <w:t>requesting</w:t>
            </w:r>
            <w:proofErr w:type="gramEnd"/>
            <w:r w:rsidRPr="00C01DE6">
              <w:t xml:space="preserve"> examinations indicated by the hearing evidence</w:t>
            </w:r>
            <w:r w:rsidR="00821C07" w:rsidRPr="00C01DE6">
              <w:t>.</w:t>
            </w:r>
          </w:p>
        </w:tc>
      </w:tr>
    </w:tbl>
    <w:p w14:paraId="663478C7"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6FFF0ABF" w14:textId="77777777">
        <w:trPr>
          <w:cantSplit/>
        </w:trPr>
        <w:tc>
          <w:tcPr>
            <w:tcW w:w="1728" w:type="dxa"/>
          </w:tcPr>
          <w:p w14:paraId="060A5525" w14:textId="77777777" w:rsidR="00821C07" w:rsidRPr="00C01DE6" w:rsidRDefault="00821C07">
            <w:pPr>
              <w:pStyle w:val="Heading5"/>
            </w:pPr>
            <w:r w:rsidRPr="00C01DE6">
              <w:t>Change Date</w:t>
            </w:r>
          </w:p>
        </w:tc>
        <w:tc>
          <w:tcPr>
            <w:tcW w:w="7740" w:type="dxa"/>
          </w:tcPr>
          <w:p w14:paraId="557120AA" w14:textId="07063AFA" w:rsidR="00821C07" w:rsidRPr="00C01DE6" w:rsidRDefault="00EE64F9">
            <w:pPr>
              <w:pStyle w:val="BlockText"/>
            </w:pPr>
            <w:r w:rsidRPr="00C01DE6">
              <w:t>January 9, 2015</w:t>
            </w:r>
          </w:p>
        </w:tc>
      </w:tr>
    </w:tbl>
    <w:p w14:paraId="264C3E4B"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15522F55" w14:textId="77777777">
        <w:trPr>
          <w:cantSplit/>
        </w:trPr>
        <w:tc>
          <w:tcPr>
            <w:tcW w:w="1728" w:type="dxa"/>
          </w:tcPr>
          <w:p w14:paraId="55FE954B" w14:textId="77777777" w:rsidR="00821C07" w:rsidRPr="00C01DE6" w:rsidRDefault="0016393B">
            <w:pPr>
              <w:pStyle w:val="Heading5"/>
            </w:pPr>
            <w:proofErr w:type="gramStart"/>
            <w:r w:rsidRPr="00C01DE6">
              <w:t>a</w:t>
            </w:r>
            <w:r w:rsidR="00821C07" w:rsidRPr="00C01DE6">
              <w:t>.  Analyzing</w:t>
            </w:r>
            <w:proofErr w:type="gramEnd"/>
            <w:r w:rsidR="00821C07" w:rsidRPr="00C01DE6">
              <w:t xml:space="preserve"> the Testimony for Credibility and Value</w:t>
            </w:r>
          </w:p>
        </w:tc>
        <w:tc>
          <w:tcPr>
            <w:tcW w:w="7740" w:type="dxa"/>
          </w:tcPr>
          <w:p w14:paraId="22B2341E" w14:textId="77777777" w:rsidR="00821C07" w:rsidRPr="00C01DE6" w:rsidRDefault="00821C07">
            <w:pPr>
              <w:pStyle w:val="BlockText"/>
            </w:pPr>
            <w:r w:rsidRPr="00C01DE6">
              <w:t>Analyze the credibility and value of testimony presented by the claimant and others who testif</w:t>
            </w:r>
            <w:r w:rsidR="00277CD6" w:rsidRPr="00C01DE6">
              <w:t>ied</w:t>
            </w:r>
            <w:r w:rsidRPr="00C01DE6">
              <w:t xml:space="preserve"> on the claimant’s behalf.</w:t>
            </w:r>
          </w:p>
          <w:p w14:paraId="29861C85" w14:textId="77777777" w:rsidR="00821C07" w:rsidRPr="00C01DE6" w:rsidRDefault="00821C07">
            <w:pPr>
              <w:pStyle w:val="BlockText"/>
            </w:pPr>
          </w:p>
          <w:p w14:paraId="1900E7F2" w14:textId="77777777" w:rsidR="00821C07" w:rsidRPr="00C01DE6" w:rsidRDefault="00821C07">
            <w:pPr>
              <w:pStyle w:val="BlockText"/>
            </w:pPr>
            <w:r w:rsidRPr="00C01DE6">
              <w:rPr>
                <w:b/>
                <w:i/>
              </w:rPr>
              <w:t>Note</w:t>
            </w:r>
            <w:r w:rsidRPr="00C01DE6">
              <w:t>:  Take care to distinguish between testimony and argument.</w:t>
            </w:r>
          </w:p>
          <w:p w14:paraId="52CEE948" w14:textId="77777777" w:rsidR="00C51F41" w:rsidRPr="00C01DE6" w:rsidRDefault="00C51F41">
            <w:pPr>
              <w:pStyle w:val="BlockText"/>
            </w:pPr>
          </w:p>
          <w:p w14:paraId="4D422E51" w14:textId="3626ABAA" w:rsidR="00C51F41" w:rsidRPr="00C01DE6" w:rsidRDefault="00C51F41" w:rsidP="00B26924">
            <w:pPr>
              <w:pStyle w:val="BlockText"/>
            </w:pPr>
            <w:r w:rsidRPr="00C01DE6">
              <w:rPr>
                <w:b/>
                <w:i/>
              </w:rPr>
              <w:t>Reference</w:t>
            </w:r>
            <w:r w:rsidR="00B26924" w:rsidRPr="00C01DE6">
              <w:rPr>
                <w:b/>
                <w:i/>
              </w:rPr>
              <w:t>s</w:t>
            </w:r>
            <w:r w:rsidRPr="00C01DE6">
              <w:t xml:space="preserve">: </w:t>
            </w:r>
            <w:r w:rsidR="005504A6" w:rsidRPr="00C01DE6">
              <w:t xml:space="preserve"> </w:t>
            </w:r>
            <w:r w:rsidRPr="00C01DE6">
              <w:t xml:space="preserve">For more information on </w:t>
            </w:r>
          </w:p>
          <w:p w14:paraId="7FB64898" w14:textId="77777777" w:rsidR="00B26924" w:rsidRPr="00C01DE6" w:rsidRDefault="00B26924" w:rsidP="00B26924">
            <w:pPr>
              <w:pStyle w:val="BulletText1"/>
            </w:pPr>
            <w:r w:rsidRPr="00C01DE6">
              <w:t>credibility, see M21-1 Part III, Subpart iv, 5.2.b, and</w:t>
            </w:r>
          </w:p>
          <w:p w14:paraId="66D85C1A" w14:textId="3DA1FB24" w:rsidR="00B26924" w:rsidRPr="00C01DE6" w:rsidRDefault="00B26924" w:rsidP="006A3209">
            <w:pPr>
              <w:pStyle w:val="BulletText1"/>
            </w:pPr>
            <w:proofErr w:type="gramStart"/>
            <w:r w:rsidRPr="00C01DE6">
              <w:t>the</w:t>
            </w:r>
            <w:proofErr w:type="gramEnd"/>
            <w:r w:rsidRPr="00C01DE6">
              <w:t xml:space="preserve"> difference between testimony and argument, see M21-1 Part I, </w:t>
            </w:r>
            <w:r w:rsidR="006A3209" w:rsidRPr="00C01DE6">
              <w:t>4</w:t>
            </w:r>
            <w:r w:rsidRPr="00C01DE6">
              <w:t xml:space="preserve">.1.c and d.  </w:t>
            </w:r>
          </w:p>
        </w:tc>
      </w:tr>
    </w:tbl>
    <w:p w14:paraId="0CEE9A36" w14:textId="0F0BFC9D"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23521AB8" w14:textId="77777777">
        <w:trPr>
          <w:cantSplit/>
        </w:trPr>
        <w:tc>
          <w:tcPr>
            <w:tcW w:w="1728" w:type="dxa"/>
          </w:tcPr>
          <w:p w14:paraId="389EC449" w14:textId="5EF902AE" w:rsidR="00821C07" w:rsidRPr="00C01DE6" w:rsidRDefault="0016393B" w:rsidP="00AD01A7">
            <w:pPr>
              <w:pStyle w:val="Heading5"/>
            </w:pPr>
            <w:proofErr w:type="gramStart"/>
            <w:r w:rsidRPr="00C01DE6">
              <w:t>b</w:t>
            </w:r>
            <w:r w:rsidR="00821C07" w:rsidRPr="00C01DE6">
              <w:t xml:space="preserve">.  </w:t>
            </w:r>
            <w:r w:rsidR="00787746" w:rsidRPr="00C01DE6">
              <w:t>Analyzing</w:t>
            </w:r>
            <w:proofErr w:type="gramEnd"/>
            <w:r w:rsidR="00787746" w:rsidRPr="00C01DE6">
              <w:t xml:space="preserve"> the </w:t>
            </w:r>
            <w:r w:rsidR="00821C07" w:rsidRPr="00C01DE6">
              <w:t>Competency of Witness</w:t>
            </w:r>
            <w:r w:rsidR="00AD01A7" w:rsidRPr="00C01DE6">
              <w:t xml:space="preserve"> Testimony</w:t>
            </w:r>
          </w:p>
        </w:tc>
        <w:tc>
          <w:tcPr>
            <w:tcW w:w="7740" w:type="dxa"/>
          </w:tcPr>
          <w:p w14:paraId="3DDD06FA" w14:textId="77777777" w:rsidR="00787746" w:rsidRPr="00C01DE6" w:rsidRDefault="00787746">
            <w:pPr>
              <w:pStyle w:val="BlockText"/>
            </w:pPr>
            <w:r w:rsidRPr="00C01DE6">
              <w:t>Analyze the competency of the claimant and others who testif</w:t>
            </w:r>
            <w:r w:rsidR="00277CD6" w:rsidRPr="00C01DE6">
              <w:t>ied</w:t>
            </w:r>
            <w:r w:rsidRPr="00C01DE6">
              <w:t xml:space="preserve"> on the claimant’s behalf to establish specific factual matters. </w:t>
            </w:r>
          </w:p>
          <w:p w14:paraId="63617238" w14:textId="77777777" w:rsidR="00787746" w:rsidRPr="00C01DE6" w:rsidRDefault="00787746">
            <w:pPr>
              <w:pStyle w:val="BlockText"/>
            </w:pPr>
          </w:p>
          <w:p w14:paraId="2C67C089" w14:textId="15854EA4" w:rsidR="00821C07" w:rsidRPr="00C01DE6" w:rsidRDefault="00C75B2E" w:rsidP="00AD01A7">
            <w:pPr>
              <w:pStyle w:val="BlockText"/>
            </w:pPr>
            <w:r w:rsidRPr="00C01DE6">
              <w:rPr>
                <w:b/>
                <w:i/>
              </w:rPr>
              <w:t>Reference</w:t>
            </w:r>
            <w:r w:rsidRPr="00C01DE6">
              <w:t xml:space="preserve">: </w:t>
            </w:r>
            <w:r w:rsidR="005504A6" w:rsidRPr="00C01DE6">
              <w:t xml:space="preserve"> </w:t>
            </w:r>
            <w:r w:rsidRPr="00C01DE6">
              <w:t xml:space="preserve">For more information on </w:t>
            </w:r>
            <w:r w:rsidR="00AD01A7" w:rsidRPr="00C01DE6">
              <w:t>competent evidence</w:t>
            </w:r>
            <w:r w:rsidRPr="00C01DE6">
              <w:t xml:space="preserve">, see </w:t>
            </w:r>
            <w:r w:rsidR="008F53BD" w:rsidRPr="00C01DE6">
              <w:t>M21-1 Part III, Subpart iv,</w:t>
            </w:r>
            <w:r w:rsidR="00BC7C6E" w:rsidRPr="00C01DE6">
              <w:t xml:space="preserve"> 5.2.c</w:t>
            </w:r>
            <w:r w:rsidRPr="00C01DE6">
              <w:t xml:space="preserve">. </w:t>
            </w:r>
          </w:p>
        </w:tc>
      </w:tr>
    </w:tbl>
    <w:p w14:paraId="1FD7BB3E"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30E3E21C" w14:textId="77777777">
        <w:trPr>
          <w:cantSplit/>
        </w:trPr>
        <w:tc>
          <w:tcPr>
            <w:tcW w:w="1728" w:type="dxa"/>
          </w:tcPr>
          <w:p w14:paraId="32370E6B" w14:textId="77777777" w:rsidR="00821C07" w:rsidRPr="00C01DE6" w:rsidRDefault="0016393B">
            <w:pPr>
              <w:pStyle w:val="Heading5"/>
            </w:pPr>
            <w:proofErr w:type="gramStart"/>
            <w:r w:rsidRPr="00C01DE6">
              <w:t>c</w:t>
            </w:r>
            <w:r w:rsidR="00821C07" w:rsidRPr="00C01DE6">
              <w:t>.  Requesting</w:t>
            </w:r>
            <w:proofErr w:type="gramEnd"/>
            <w:r w:rsidR="00821C07" w:rsidRPr="00C01DE6">
              <w:t xml:space="preserve"> Corroborative Evidence</w:t>
            </w:r>
          </w:p>
        </w:tc>
        <w:tc>
          <w:tcPr>
            <w:tcW w:w="7740" w:type="dxa"/>
          </w:tcPr>
          <w:p w14:paraId="0530F0FF" w14:textId="77777777" w:rsidR="00821C07" w:rsidRPr="00C01DE6" w:rsidRDefault="00821C07" w:rsidP="00CF29C0">
            <w:pPr>
              <w:pStyle w:val="BlockText"/>
            </w:pPr>
            <w:r w:rsidRPr="00C01DE6">
              <w:t>If the claimant identified sources of information or evidence while testifying that corroborates the claim</w:t>
            </w:r>
          </w:p>
          <w:p w14:paraId="419A1D1C" w14:textId="77777777" w:rsidR="00821C07" w:rsidRPr="00C01DE6" w:rsidRDefault="00821C07">
            <w:pPr>
              <w:pStyle w:val="BlockText"/>
            </w:pPr>
          </w:p>
          <w:p w14:paraId="505B9709" w14:textId="77777777" w:rsidR="00821C07" w:rsidRPr="00C01DE6" w:rsidRDefault="00821C07">
            <w:pPr>
              <w:pStyle w:val="BulletText1"/>
            </w:pPr>
            <w:r w:rsidRPr="00C01DE6">
              <w:t>attempt to obtain the additional evidence, and</w:t>
            </w:r>
          </w:p>
          <w:p w14:paraId="64BE0245" w14:textId="77777777" w:rsidR="00821C07" w:rsidRPr="00C01DE6" w:rsidRDefault="00821C07">
            <w:pPr>
              <w:pStyle w:val="BulletText1"/>
            </w:pPr>
            <w:proofErr w:type="gramStart"/>
            <w:r w:rsidRPr="00C01DE6">
              <w:t>do</w:t>
            </w:r>
            <w:proofErr w:type="gramEnd"/>
            <w:r w:rsidRPr="00C01DE6">
              <w:rPr>
                <w:b/>
              </w:rPr>
              <w:t xml:space="preserve"> </w:t>
            </w:r>
            <w:r w:rsidRPr="00C01DE6">
              <w:rPr>
                <w:b/>
                <w:i/>
              </w:rPr>
              <w:t>not</w:t>
            </w:r>
            <w:r w:rsidRPr="00C01DE6">
              <w:rPr>
                <w:b/>
              </w:rPr>
              <w:t xml:space="preserve"> </w:t>
            </w:r>
            <w:r w:rsidRPr="00C01DE6">
              <w:t>make a final decision on the claim until development has been completed.</w:t>
            </w:r>
          </w:p>
          <w:p w14:paraId="6869EE46" w14:textId="77777777" w:rsidR="00821C07" w:rsidRPr="00C01DE6" w:rsidRDefault="00821C07">
            <w:pPr>
              <w:pStyle w:val="BlockText"/>
            </w:pPr>
          </w:p>
          <w:p w14:paraId="42E6F222" w14:textId="77777777" w:rsidR="00821C07" w:rsidRPr="00C01DE6" w:rsidRDefault="00821C07" w:rsidP="00CD1A9F">
            <w:pPr>
              <w:pStyle w:val="BlockText"/>
            </w:pPr>
            <w:r w:rsidRPr="00C01DE6">
              <w:rPr>
                <w:b/>
                <w:i/>
              </w:rPr>
              <w:t>Example</w:t>
            </w:r>
            <w:r w:rsidRPr="00C01DE6">
              <w:t xml:space="preserve">:  The claimant states that he was treated by Dr. John Smith, and Dr. Smith’s report is not in the </w:t>
            </w:r>
            <w:r w:rsidR="00CD1A9F" w:rsidRPr="00C01DE6">
              <w:t>claims folder</w:t>
            </w:r>
            <w:r w:rsidRPr="00C01DE6">
              <w:t>.  Reasonable efforts must be made to obtain that report before making a decision.</w:t>
            </w:r>
          </w:p>
        </w:tc>
      </w:tr>
    </w:tbl>
    <w:p w14:paraId="31662B42"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5E1BEB29" w14:textId="77777777" w:rsidTr="007B28DA">
        <w:tc>
          <w:tcPr>
            <w:tcW w:w="1728" w:type="dxa"/>
          </w:tcPr>
          <w:p w14:paraId="379649B6" w14:textId="77777777" w:rsidR="00821C07" w:rsidRPr="00C01DE6" w:rsidRDefault="0016393B">
            <w:pPr>
              <w:pStyle w:val="Heading5"/>
            </w:pPr>
            <w:proofErr w:type="gramStart"/>
            <w:r w:rsidRPr="00C01DE6">
              <w:t>d</w:t>
            </w:r>
            <w:r w:rsidR="00821C07" w:rsidRPr="00C01DE6">
              <w:t>.  Handling</w:t>
            </w:r>
            <w:proofErr w:type="gramEnd"/>
            <w:r w:rsidR="00821C07" w:rsidRPr="00C01DE6">
              <w:t xml:space="preserve"> New Issues</w:t>
            </w:r>
          </w:p>
        </w:tc>
        <w:tc>
          <w:tcPr>
            <w:tcW w:w="7740" w:type="dxa"/>
          </w:tcPr>
          <w:p w14:paraId="1B969094" w14:textId="77777777" w:rsidR="00821C07" w:rsidRPr="00C01DE6" w:rsidRDefault="00821C07">
            <w:pPr>
              <w:pStyle w:val="BlockText"/>
            </w:pPr>
            <w:r w:rsidRPr="00C01DE6">
              <w:t>If</w:t>
            </w:r>
            <w:r w:rsidR="005A5E17" w:rsidRPr="00C01DE6">
              <w:t xml:space="preserve"> during the hearing the</w:t>
            </w:r>
            <w:r w:rsidRPr="00C01DE6">
              <w:t xml:space="preserve"> claimant </w:t>
            </w:r>
            <w:r w:rsidR="005A5E17" w:rsidRPr="00C01DE6">
              <w:t xml:space="preserve">raised </w:t>
            </w:r>
            <w:r w:rsidRPr="00C01DE6">
              <w:t xml:space="preserve">a new issue(s) separate from the </w:t>
            </w:r>
            <w:r w:rsidR="005A5E17" w:rsidRPr="00C01DE6">
              <w:t>matter that is the subject of the hearing</w:t>
            </w:r>
          </w:p>
          <w:p w14:paraId="7A353FD9" w14:textId="0A2C6BF4" w:rsidR="005A5E17" w:rsidRPr="00C01DE6" w:rsidRDefault="005A5E17" w:rsidP="005A5E17">
            <w:pPr>
              <w:pStyle w:val="BulletText1"/>
            </w:pPr>
            <w:r w:rsidRPr="00C01DE6">
              <w:lastRenderedPageBreak/>
              <w:t xml:space="preserve">refer the issue(s) to the appropriate </w:t>
            </w:r>
            <w:r w:rsidR="00E26712" w:rsidRPr="00C01DE6">
              <w:t xml:space="preserve">RO </w:t>
            </w:r>
            <w:r w:rsidRPr="00C01DE6">
              <w:t>activity for development and decision as applicable, or</w:t>
            </w:r>
          </w:p>
          <w:p w14:paraId="67DF6FFA" w14:textId="77777777" w:rsidR="00821C07" w:rsidRPr="00C01DE6" w:rsidRDefault="005A5E17">
            <w:pPr>
              <w:pStyle w:val="BulletText1"/>
            </w:pPr>
            <w:proofErr w:type="gramStart"/>
            <w:r w:rsidRPr="00C01DE6">
              <w:t>in</w:t>
            </w:r>
            <w:proofErr w:type="gramEnd"/>
            <w:r w:rsidRPr="00C01DE6">
              <w:t xml:space="preserve"> the appeal hearing context, </w:t>
            </w:r>
            <w:r w:rsidR="00821C07" w:rsidRPr="00C01DE6">
              <w:t xml:space="preserve">resolve the new issue(s) at the same time as the </w:t>
            </w:r>
            <w:r w:rsidRPr="00C01DE6">
              <w:t>issue</w:t>
            </w:r>
            <w:r w:rsidR="00821C07" w:rsidRPr="00C01DE6">
              <w:t xml:space="preserve"> </w:t>
            </w:r>
            <w:r w:rsidR="00277CD6" w:rsidRPr="00C01DE6">
              <w:t xml:space="preserve">on </w:t>
            </w:r>
            <w:r w:rsidR="00821C07" w:rsidRPr="00C01DE6">
              <w:t>appeal, if possible</w:t>
            </w:r>
            <w:r w:rsidRPr="00C01DE6">
              <w:t>.</w:t>
            </w:r>
          </w:p>
          <w:p w14:paraId="01D7A550" w14:textId="77777777" w:rsidR="00821C07" w:rsidRPr="00C01DE6" w:rsidRDefault="00821C07">
            <w:pPr>
              <w:pStyle w:val="BlockText"/>
            </w:pPr>
          </w:p>
          <w:p w14:paraId="48ED9939" w14:textId="77777777" w:rsidR="00821C07" w:rsidRPr="00C01DE6" w:rsidRDefault="00821C07">
            <w:pPr>
              <w:pStyle w:val="BlockText"/>
            </w:pPr>
            <w:r w:rsidRPr="00C01DE6">
              <w:rPr>
                <w:b/>
                <w:i/>
              </w:rPr>
              <w:t>Note</w:t>
            </w:r>
            <w:r w:rsidRPr="00C01DE6">
              <w:t xml:space="preserve">:  Do </w:t>
            </w:r>
            <w:r w:rsidRPr="00C01DE6">
              <w:rPr>
                <w:b/>
                <w:i/>
              </w:rPr>
              <w:t>not</w:t>
            </w:r>
            <w:r w:rsidRPr="00C01DE6">
              <w:rPr>
                <w:b/>
              </w:rPr>
              <w:t xml:space="preserve"> </w:t>
            </w:r>
            <w:r w:rsidRPr="00C01DE6">
              <w:t>delay making a decision on the issue(s) that was the subject of the hearing pending a decision on the new issue(s).</w:t>
            </w:r>
          </w:p>
        </w:tc>
      </w:tr>
    </w:tbl>
    <w:p w14:paraId="7019715D" w14:textId="77777777" w:rsidR="00821C07" w:rsidRPr="00C01DE6" w:rsidRDefault="00821C07">
      <w:pPr>
        <w:pStyle w:val="BlockLine"/>
      </w:pPr>
    </w:p>
    <w:tbl>
      <w:tblPr>
        <w:tblW w:w="0" w:type="auto"/>
        <w:tblLayout w:type="fixed"/>
        <w:tblLook w:val="0000" w:firstRow="0" w:lastRow="0" w:firstColumn="0" w:lastColumn="0" w:noHBand="0" w:noVBand="0"/>
      </w:tblPr>
      <w:tblGrid>
        <w:gridCol w:w="1728"/>
        <w:gridCol w:w="7740"/>
      </w:tblGrid>
      <w:tr w:rsidR="00821C07" w:rsidRPr="00C01DE6" w14:paraId="49F50566" w14:textId="77777777">
        <w:trPr>
          <w:cantSplit/>
        </w:trPr>
        <w:tc>
          <w:tcPr>
            <w:tcW w:w="1728" w:type="dxa"/>
          </w:tcPr>
          <w:p w14:paraId="1B1EE517" w14:textId="77777777" w:rsidR="00821C07" w:rsidRPr="00C01DE6" w:rsidRDefault="0016393B" w:rsidP="000E5B42">
            <w:pPr>
              <w:pStyle w:val="Heading5"/>
            </w:pPr>
            <w:proofErr w:type="gramStart"/>
            <w:r w:rsidRPr="00C01DE6">
              <w:t>e</w:t>
            </w:r>
            <w:r w:rsidR="00821C07" w:rsidRPr="00C01DE6">
              <w:t>.  Request</w:t>
            </w:r>
            <w:r w:rsidR="000E5B42" w:rsidRPr="00C01DE6">
              <w:t>ing</w:t>
            </w:r>
            <w:proofErr w:type="gramEnd"/>
            <w:r w:rsidR="00821C07" w:rsidRPr="00C01DE6">
              <w:t xml:space="preserve"> Exam</w:t>
            </w:r>
            <w:r w:rsidR="00F71FBE" w:rsidRPr="00C01DE6">
              <w:t>inations</w:t>
            </w:r>
            <w:r w:rsidR="000E5B42" w:rsidRPr="00C01DE6">
              <w:t xml:space="preserve"> Indicated by the Hearing Evidence</w:t>
            </w:r>
          </w:p>
        </w:tc>
        <w:tc>
          <w:tcPr>
            <w:tcW w:w="7740" w:type="dxa"/>
          </w:tcPr>
          <w:p w14:paraId="0B4750D7" w14:textId="77777777" w:rsidR="00821C07" w:rsidRPr="00C01DE6" w:rsidRDefault="00821C07" w:rsidP="000B6F76">
            <w:pPr>
              <w:pStyle w:val="BlockText"/>
            </w:pPr>
            <w:r w:rsidRPr="00C01DE6">
              <w:t>If, during the course of a hearing or review of the claims folder</w:t>
            </w:r>
            <w:r w:rsidR="000B6F76" w:rsidRPr="00C01DE6">
              <w:t xml:space="preserve"> after the hearing</w:t>
            </w:r>
            <w:r w:rsidRPr="00C01DE6">
              <w:t xml:space="preserve">, </w:t>
            </w:r>
            <w:r w:rsidR="000B6F76" w:rsidRPr="00C01DE6">
              <w:t>the hearing official concluded</w:t>
            </w:r>
            <w:r w:rsidRPr="00C01DE6">
              <w:t xml:space="preserve"> that an exam</w:t>
            </w:r>
            <w:r w:rsidR="00F71FBE" w:rsidRPr="00C01DE6">
              <w:t>ination</w:t>
            </w:r>
            <w:r w:rsidRPr="00C01DE6">
              <w:t xml:space="preserve"> should have been or should now be ordered based on new evidence, request a VA examination</w:t>
            </w:r>
            <w:r w:rsidR="00277CD6" w:rsidRPr="00C01DE6">
              <w:t xml:space="preserve"> before making a decision.</w:t>
            </w:r>
          </w:p>
        </w:tc>
      </w:tr>
    </w:tbl>
    <w:p w14:paraId="57DCE3DC" w14:textId="7C014D65" w:rsidR="00821C07" w:rsidRDefault="00A9559A">
      <w:pPr>
        <w:pStyle w:val="BlockLine"/>
      </w:pPr>
      <w:r w:rsidRPr="00C01DE6">
        <w:fldChar w:fldCharType="begin">
          <w:fldData xml:space="preserve">RABvAGMAVABlAG0AcAAxAFYAYQByAFQAcgBhAGQAaQB0AGkAbwBuAGEAbAA=
</w:fldData>
        </w:fldChar>
      </w:r>
      <w:r w:rsidRPr="00C01DE6">
        <w:instrText xml:space="preserve"> ADDIN  \* MERGEFORMAT </w:instrText>
      </w:r>
      <w:r w:rsidRPr="00C01DE6">
        <w:fldChar w:fldCharType="end"/>
      </w:r>
      <w:r w:rsidRPr="00C01DE6">
        <w:fldChar w:fldCharType="begin">
          <w:fldData xml:space="preserve">RgBvAG4AdABTAGUAdABGAG8AbgB0AFMAZQB0AEYAbwBuAHQAUwBlAHQARgBvAG4AdABTAGUAdABG
AG8AbgB0AFMAZQB0AEYAbwBuAHQAUwBlAHQARgBvAG4AdABTAGUAdABpAG0AaQBzAHQAeQBsAGUA
cwAuAHgAbQBsAA==
</w:fldData>
        </w:fldChar>
      </w:r>
      <w:r w:rsidRPr="00C01DE6">
        <w:instrText xml:space="preserve"> ADDIN  \* MERGEFORMAT </w:instrText>
      </w:r>
      <w:r w:rsidRPr="00C01DE6">
        <w:fldChar w:fldCharType="end"/>
      </w:r>
      <w:r w:rsidR="00380169" w:rsidRPr="00C01DE6">
        <w:fldChar w:fldCharType="begin">
          <w:fldData xml:space="preserve">RABvAGMAVABlAG0AcAAxAFYAYQByAFQAcgBhAGQAaQB0AGkAbwBuAGEAbAA=
</w:fldData>
        </w:fldChar>
      </w:r>
      <w:r w:rsidR="00380169" w:rsidRPr="00C01DE6">
        <w:instrText xml:space="preserve"> ADDIN  \* MERGEFORMAT </w:instrText>
      </w:r>
      <w:r w:rsidR="00380169" w:rsidRPr="00C01DE6">
        <w:fldChar w:fldCharType="end"/>
      </w:r>
      <w:r w:rsidR="00380169" w:rsidRPr="00C01DE6">
        <w:fldChar w:fldCharType="begin">
          <w:fldData xml:space="preserve">RgBvAG4AdABTAGUAdABGAG8AbgB0AFMAZQB0AEYAbwBuAHQAUwBlAHQARgBvAG4AdABTAGUAdABG
AG8AbgB0AFMAZQB0AEYAbwBuAHQAUwBlAHQARgBvAG4AdABTAGUAdABGAG8AbgB0AFMAZQB0AGkA
bQBpAHMAdAB5AGwAZQBzAC4AeABtAGwA
</w:fldData>
        </w:fldChar>
      </w:r>
      <w:r w:rsidR="00380169" w:rsidRPr="00C01DE6">
        <w:instrText xml:space="preserve"> ADDIN  \* MERGEFORMAT </w:instrText>
      </w:r>
      <w:r w:rsidR="00380169" w:rsidRPr="00C01DE6">
        <w:fldChar w:fldCharType="end"/>
      </w:r>
      <w:bookmarkStart w:id="1" w:name="_GoBack"/>
      <w:bookmarkEnd w:id="1"/>
    </w:p>
    <w:sectPr w:rsidR="00821C07">
      <w:headerReference w:type="even" r:id="rId22"/>
      <w:headerReference w:type="default" r:id="rId23"/>
      <w:footerReference w:type="default" r:id="rId24"/>
      <w:footerReference w:type="first" r:id="rId25"/>
      <w:pgSz w:w="12240" w:h="15840" w:code="1"/>
      <w:pgMar w:top="1152"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94CA6" w14:textId="77777777" w:rsidR="00994EE7" w:rsidRDefault="00994EE7">
      <w:r>
        <w:separator/>
      </w:r>
    </w:p>
  </w:endnote>
  <w:endnote w:type="continuationSeparator" w:id="0">
    <w:p w14:paraId="2FAB75C1" w14:textId="77777777" w:rsidR="00994EE7" w:rsidRDefault="00994EE7">
      <w:r>
        <w:continuationSeparator/>
      </w:r>
    </w:p>
  </w:endnote>
  <w:endnote w:type="continuationNotice" w:id="1">
    <w:p w14:paraId="7B48488D" w14:textId="77777777" w:rsidR="00994EE7" w:rsidRDefault="00994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AA2C" w14:textId="77777777" w:rsidR="00994EE7" w:rsidRDefault="00994EE7">
    <w:pPr>
      <w:pStyle w:val="Footer"/>
      <w:tabs>
        <w:tab w:val="right" w:pos="9274"/>
      </w:tabs>
      <w:ind w:right="90"/>
      <w:rPr>
        <w:b/>
        <w:sz w:val="20"/>
      </w:rPr>
    </w:pPr>
    <w:r>
      <w:rPr>
        <w:b/>
        <w:sz w:val="20"/>
      </w:rPr>
      <w:tab/>
    </w:r>
    <w:r>
      <w:rP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3867F" w14:textId="77777777" w:rsidR="00994EE7" w:rsidRDefault="00994EE7">
    <w:pPr>
      <w:pStyle w:val="Footer"/>
      <w:jc w:val="right"/>
      <w:rPr>
        <w:b/>
        <w:sz w:val="20"/>
      </w:rPr>
    </w:pPr>
    <w:r>
      <w:rPr>
        <w:b/>
        <w:sz w:val="20"/>
      </w:rPr>
      <w:t>4-</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E458A" w14:textId="77777777" w:rsidR="00994EE7" w:rsidRDefault="00994EE7">
      <w:r>
        <w:separator/>
      </w:r>
    </w:p>
  </w:footnote>
  <w:footnote w:type="continuationSeparator" w:id="0">
    <w:p w14:paraId="2BFCDBAF" w14:textId="77777777" w:rsidR="00994EE7" w:rsidRDefault="00994EE7">
      <w:r>
        <w:continuationSeparator/>
      </w:r>
    </w:p>
  </w:footnote>
  <w:footnote w:type="continuationNotice" w:id="1">
    <w:p w14:paraId="5D2FFE07" w14:textId="77777777" w:rsidR="00994EE7" w:rsidRDefault="00994E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10A9B" w14:textId="797E07EE" w:rsidR="00994EE7" w:rsidRDefault="00994EE7">
    <w:pPr>
      <w:pStyle w:val="Header"/>
      <w:rPr>
        <w:b/>
        <w:sz w:val="20"/>
      </w:rPr>
    </w:pPr>
    <w:r>
      <w:rPr>
        <w:b/>
        <w:bCs/>
        <w:sz w:val="20"/>
      </w:rPr>
      <w:t>M21-1, Part I, Chapter 4</w:t>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BED2C" w14:textId="77777777" w:rsidR="00994EE7" w:rsidRDefault="00994EE7">
    <w:pPr>
      <w:pStyle w:val="Header"/>
      <w:rPr>
        <w:b/>
        <w:bCs/>
        <w:sz w:val="20"/>
      </w:rPr>
    </w:pPr>
    <w:r>
      <w:rPr>
        <w:b/>
        <w:bCs/>
        <w:sz w:val="20"/>
      </w:rPr>
      <w:tab/>
    </w:r>
    <w:r>
      <w:rPr>
        <w:b/>
        <w:bCs/>
        <w:sz w:val="20"/>
      </w:rPr>
      <w:tab/>
      <w:t>M21-1, Part I, Chapter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2pt;height:12pt" o:bullet="t">
        <v:imagedata r:id="rId1" o:title="fspro_2columns"/>
      </v:shape>
    </w:pict>
  </w:numPicBullet>
  <w:numPicBullet w:numPicBulletId="1">
    <w:pict>
      <v:shape id="_x0000_i1103" type="#_x0000_t75" style="width:12pt;height:12pt" o:bullet="t">
        <v:imagedata r:id="rId2" o:title="advanced"/>
      </v:shape>
    </w:pict>
  </w:numPicBullet>
  <w:numPicBullet w:numPicBulletId="2">
    <w:pict>
      <v:shape id="_x0000_i1104" type="#_x0000_t75" style="width:12pt;height:12pt" o:bullet="t">
        <v:imagedata r:id="rId3" o:title="continue"/>
      </v:shape>
    </w:pict>
  </w:numPicBullet>
  <w:numPicBullet w:numPicBulletId="3">
    <w:pict>
      <v:shape id="_x0000_i1105"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E2326"/>
    <w:multiLevelType w:val="hybridMultilevel"/>
    <w:tmpl w:val="204C4918"/>
    <w:lvl w:ilvl="0" w:tplc="1E4E20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319C0"/>
    <w:multiLevelType w:val="hybridMultilevel"/>
    <w:tmpl w:val="281C02AA"/>
    <w:lvl w:ilvl="0" w:tplc="048A6A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A0710"/>
    <w:multiLevelType w:val="hybridMultilevel"/>
    <w:tmpl w:val="481CCDE0"/>
    <w:lvl w:ilvl="0" w:tplc="84CAB7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F5920"/>
    <w:multiLevelType w:val="hybridMultilevel"/>
    <w:tmpl w:val="CFF81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E326F7"/>
    <w:multiLevelType w:val="hybridMultilevel"/>
    <w:tmpl w:val="39F4C6A4"/>
    <w:lvl w:ilvl="0" w:tplc="048A6A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F025B"/>
    <w:multiLevelType w:val="hybridMultilevel"/>
    <w:tmpl w:val="16B6C8A0"/>
    <w:lvl w:ilvl="0" w:tplc="1E4E20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C2C99"/>
    <w:multiLevelType w:val="hybridMultilevel"/>
    <w:tmpl w:val="4C3C2970"/>
    <w:lvl w:ilvl="0" w:tplc="BBF2DC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473EE"/>
    <w:multiLevelType w:val="hybridMultilevel"/>
    <w:tmpl w:val="A0DECBB6"/>
    <w:lvl w:ilvl="0" w:tplc="1E4E20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2444A"/>
    <w:multiLevelType w:val="hybridMultilevel"/>
    <w:tmpl w:val="3C4E052C"/>
    <w:lvl w:ilvl="0" w:tplc="065A2D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C1A9B"/>
    <w:multiLevelType w:val="hybridMultilevel"/>
    <w:tmpl w:val="9F84F11A"/>
    <w:lvl w:ilvl="0" w:tplc="427C0F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456DB"/>
    <w:multiLevelType w:val="hybridMultilevel"/>
    <w:tmpl w:val="CF22DAE0"/>
    <w:lvl w:ilvl="0" w:tplc="5E60F8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10EFD"/>
    <w:multiLevelType w:val="hybridMultilevel"/>
    <w:tmpl w:val="7958C638"/>
    <w:lvl w:ilvl="0" w:tplc="62D63B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4113E"/>
    <w:multiLevelType w:val="hybridMultilevel"/>
    <w:tmpl w:val="517461C2"/>
    <w:lvl w:ilvl="0" w:tplc="5E60F8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97CBF"/>
    <w:multiLevelType w:val="hybridMultilevel"/>
    <w:tmpl w:val="FF48F8DC"/>
    <w:lvl w:ilvl="0" w:tplc="92425962">
      <w:start w:val="1"/>
      <w:numFmt w:val="bullet"/>
      <w:lvlRestart w:val="0"/>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45C02B58"/>
    <w:multiLevelType w:val="hybridMultilevel"/>
    <w:tmpl w:val="344E089A"/>
    <w:lvl w:ilvl="0" w:tplc="048A6A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D162D"/>
    <w:multiLevelType w:val="hybridMultilevel"/>
    <w:tmpl w:val="E07CB4DA"/>
    <w:lvl w:ilvl="0" w:tplc="84CAB7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3361C"/>
    <w:multiLevelType w:val="hybridMultilevel"/>
    <w:tmpl w:val="05AA96CC"/>
    <w:lvl w:ilvl="0" w:tplc="6BF40F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C61D3"/>
    <w:multiLevelType w:val="hybridMultilevel"/>
    <w:tmpl w:val="374E2C64"/>
    <w:lvl w:ilvl="0" w:tplc="048A6A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B3D68"/>
    <w:multiLevelType w:val="hybridMultilevel"/>
    <w:tmpl w:val="2A04552E"/>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267F6D"/>
    <w:multiLevelType w:val="hybridMultilevel"/>
    <w:tmpl w:val="A01CF1E6"/>
    <w:lvl w:ilvl="0" w:tplc="84CAB7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610F2"/>
    <w:multiLevelType w:val="hybridMultilevel"/>
    <w:tmpl w:val="A76202B2"/>
    <w:lvl w:ilvl="0" w:tplc="048A6A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FC4C06"/>
    <w:multiLevelType w:val="hybridMultilevel"/>
    <w:tmpl w:val="898EA792"/>
    <w:lvl w:ilvl="0" w:tplc="427C0F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A64490"/>
    <w:multiLevelType w:val="hybridMultilevel"/>
    <w:tmpl w:val="233035BE"/>
    <w:lvl w:ilvl="0" w:tplc="048A6A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3"/>
  </w:num>
  <w:num w:numId="4">
    <w:abstractNumId w:val="14"/>
  </w:num>
  <w:num w:numId="5">
    <w:abstractNumId w:val="16"/>
  </w:num>
  <w:num w:numId="6">
    <w:abstractNumId w:val="3"/>
  </w:num>
  <w:num w:numId="7">
    <w:abstractNumId w:val="20"/>
  </w:num>
  <w:num w:numId="8">
    <w:abstractNumId w:val="17"/>
  </w:num>
  <w:num w:numId="9">
    <w:abstractNumId w:val="1"/>
  </w:num>
  <w:num w:numId="10">
    <w:abstractNumId w:val="8"/>
  </w:num>
  <w:num w:numId="11">
    <w:abstractNumId w:val="6"/>
  </w:num>
  <w:num w:numId="12">
    <w:abstractNumId w:val="11"/>
  </w:num>
  <w:num w:numId="13">
    <w:abstractNumId w:val="13"/>
  </w:num>
  <w:num w:numId="14">
    <w:abstractNumId w:val="22"/>
  </w:num>
  <w:num w:numId="15">
    <w:abstractNumId w:val="10"/>
  </w:num>
  <w:num w:numId="16">
    <w:abstractNumId w:val="4"/>
  </w:num>
  <w:num w:numId="17">
    <w:abstractNumId w:val="18"/>
  </w:num>
  <w:num w:numId="18">
    <w:abstractNumId w:val="21"/>
  </w:num>
  <w:num w:numId="19">
    <w:abstractNumId w:val="24"/>
  </w:num>
  <w:num w:numId="20">
    <w:abstractNumId w:val="5"/>
  </w:num>
  <w:num w:numId="21">
    <w:abstractNumId w:val="15"/>
  </w:num>
  <w:num w:numId="22">
    <w:abstractNumId w:val="2"/>
  </w:num>
  <w:num w:numId="23">
    <w:abstractNumId w:val="9"/>
  </w:num>
  <w:num w:numId="24">
    <w:abstractNumId w:val="7"/>
  </w:num>
  <w:num w:numId="2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FontSetimistyles.xml"/>
    <w:docVar w:name="XSLPath" w:val="C:\Program Files\Information Mapping\FS XML 2.2\Stylesheets\"/>
    <w:docVar w:name="XSLstylesheet" w:val="Basic.xsl"/>
  </w:docVars>
  <w:rsids>
    <w:rsidRoot w:val="009770B0"/>
    <w:rsid w:val="00004529"/>
    <w:rsid w:val="00016512"/>
    <w:rsid w:val="00017018"/>
    <w:rsid w:val="0002195B"/>
    <w:rsid w:val="00023494"/>
    <w:rsid w:val="00023BB8"/>
    <w:rsid w:val="000307C6"/>
    <w:rsid w:val="00030EE6"/>
    <w:rsid w:val="000431C5"/>
    <w:rsid w:val="000437F3"/>
    <w:rsid w:val="00046472"/>
    <w:rsid w:val="000567AF"/>
    <w:rsid w:val="000611C8"/>
    <w:rsid w:val="00064E13"/>
    <w:rsid w:val="000666FA"/>
    <w:rsid w:val="000701AE"/>
    <w:rsid w:val="000729BD"/>
    <w:rsid w:val="0008591F"/>
    <w:rsid w:val="000864AD"/>
    <w:rsid w:val="000944F1"/>
    <w:rsid w:val="00094862"/>
    <w:rsid w:val="000A24E9"/>
    <w:rsid w:val="000A4B93"/>
    <w:rsid w:val="000B009C"/>
    <w:rsid w:val="000B1CBE"/>
    <w:rsid w:val="000B3ED1"/>
    <w:rsid w:val="000B6F76"/>
    <w:rsid w:val="000C2E6F"/>
    <w:rsid w:val="000E5B42"/>
    <w:rsid w:val="000E63BB"/>
    <w:rsid w:val="000E68F3"/>
    <w:rsid w:val="000F1F24"/>
    <w:rsid w:val="000F7380"/>
    <w:rsid w:val="000F7DB0"/>
    <w:rsid w:val="001012E7"/>
    <w:rsid w:val="00115934"/>
    <w:rsid w:val="001169BD"/>
    <w:rsid w:val="001309A0"/>
    <w:rsid w:val="00141025"/>
    <w:rsid w:val="00144FD9"/>
    <w:rsid w:val="00145EE9"/>
    <w:rsid w:val="00152E34"/>
    <w:rsid w:val="00157F95"/>
    <w:rsid w:val="0016393B"/>
    <w:rsid w:val="00163B63"/>
    <w:rsid w:val="001648EE"/>
    <w:rsid w:val="00171223"/>
    <w:rsid w:val="001754BE"/>
    <w:rsid w:val="001810B9"/>
    <w:rsid w:val="001859B4"/>
    <w:rsid w:val="00187D7A"/>
    <w:rsid w:val="00192A61"/>
    <w:rsid w:val="001A63E6"/>
    <w:rsid w:val="001B2D80"/>
    <w:rsid w:val="001B3F2E"/>
    <w:rsid w:val="001B4E14"/>
    <w:rsid w:val="001B57B0"/>
    <w:rsid w:val="001C1446"/>
    <w:rsid w:val="001C682D"/>
    <w:rsid w:val="001C7ED2"/>
    <w:rsid w:val="001D1373"/>
    <w:rsid w:val="001D5562"/>
    <w:rsid w:val="001E3BCC"/>
    <w:rsid w:val="001E5C8B"/>
    <w:rsid w:val="001F0952"/>
    <w:rsid w:val="001F5868"/>
    <w:rsid w:val="00201513"/>
    <w:rsid w:val="00202C9C"/>
    <w:rsid w:val="002049C2"/>
    <w:rsid w:val="0021406E"/>
    <w:rsid w:val="00215761"/>
    <w:rsid w:val="0022664E"/>
    <w:rsid w:val="00227846"/>
    <w:rsid w:val="00227B2F"/>
    <w:rsid w:val="00232F3D"/>
    <w:rsid w:val="0023714C"/>
    <w:rsid w:val="00237191"/>
    <w:rsid w:val="00246430"/>
    <w:rsid w:val="00246552"/>
    <w:rsid w:val="0024710B"/>
    <w:rsid w:val="002512BB"/>
    <w:rsid w:val="00261F1D"/>
    <w:rsid w:val="0027015B"/>
    <w:rsid w:val="0027127F"/>
    <w:rsid w:val="00277CD6"/>
    <w:rsid w:val="002833A5"/>
    <w:rsid w:val="00283D26"/>
    <w:rsid w:val="002922AB"/>
    <w:rsid w:val="00294C23"/>
    <w:rsid w:val="002A5B6D"/>
    <w:rsid w:val="002B1AC8"/>
    <w:rsid w:val="002B2A13"/>
    <w:rsid w:val="002C23B9"/>
    <w:rsid w:val="002C2C9A"/>
    <w:rsid w:val="002C3F8F"/>
    <w:rsid w:val="002C4040"/>
    <w:rsid w:val="002C63F7"/>
    <w:rsid w:val="002D0434"/>
    <w:rsid w:val="002D0E3D"/>
    <w:rsid w:val="002D1CC5"/>
    <w:rsid w:val="002D2CF0"/>
    <w:rsid w:val="002D6959"/>
    <w:rsid w:val="002D7394"/>
    <w:rsid w:val="002D7C29"/>
    <w:rsid w:val="002E7675"/>
    <w:rsid w:val="002E7F27"/>
    <w:rsid w:val="002F0252"/>
    <w:rsid w:val="002F6729"/>
    <w:rsid w:val="002F7837"/>
    <w:rsid w:val="00305B65"/>
    <w:rsid w:val="00307C81"/>
    <w:rsid w:val="00314BD8"/>
    <w:rsid w:val="00324EBB"/>
    <w:rsid w:val="00331930"/>
    <w:rsid w:val="00332AEB"/>
    <w:rsid w:val="00337638"/>
    <w:rsid w:val="00337DE5"/>
    <w:rsid w:val="00343A9D"/>
    <w:rsid w:val="0034523D"/>
    <w:rsid w:val="003454C7"/>
    <w:rsid w:val="00345CCD"/>
    <w:rsid w:val="00350F0B"/>
    <w:rsid w:val="00366F7F"/>
    <w:rsid w:val="00375223"/>
    <w:rsid w:val="00375DA1"/>
    <w:rsid w:val="00380169"/>
    <w:rsid w:val="003856D3"/>
    <w:rsid w:val="003937C8"/>
    <w:rsid w:val="003A0D39"/>
    <w:rsid w:val="003B7412"/>
    <w:rsid w:val="003C1A08"/>
    <w:rsid w:val="003C44FC"/>
    <w:rsid w:val="003C586A"/>
    <w:rsid w:val="003C6D1D"/>
    <w:rsid w:val="003D2760"/>
    <w:rsid w:val="003D67B6"/>
    <w:rsid w:val="003D7C65"/>
    <w:rsid w:val="003E4C47"/>
    <w:rsid w:val="003E5A5A"/>
    <w:rsid w:val="003F1282"/>
    <w:rsid w:val="003F5C75"/>
    <w:rsid w:val="003F6A2A"/>
    <w:rsid w:val="00402FC8"/>
    <w:rsid w:val="0040541E"/>
    <w:rsid w:val="00405EEE"/>
    <w:rsid w:val="00412725"/>
    <w:rsid w:val="00412A28"/>
    <w:rsid w:val="004131F3"/>
    <w:rsid w:val="00416FD6"/>
    <w:rsid w:val="00417D3B"/>
    <w:rsid w:val="00424E06"/>
    <w:rsid w:val="0042779E"/>
    <w:rsid w:val="004337BD"/>
    <w:rsid w:val="0044145B"/>
    <w:rsid w:val="00444007"/>
    <w:rsid w:val="00451457"/>
    <w:rsid w:val="00451F29"/>
    <w:rsid w:val="004531E2"/>
    <w:rsid w:val="004578A1"/>
    <w:rsid w:val="00457DB3"/>
    <w:rsid w:val="00470824"/>
    <w:rsid w:val="004779FF"/>
    <w:rsid w:val="00482658"/>
    <w:rsid w:val="00486D1A"/>
    <w:rsid w:val="004920D5"/>
    <w:rsid w:val="00493E89"/>
    <w:rsid w:val="00497441"/>
    <w:rsid w:val="004A571A"/>
    <w:rsid w:val="004B0ABF"/>
    <w:rsid w:val="004B18B0"/>
    <w:rsid w:val="004B2BF1"/>
    <w:rsid w:val="004B4924"/>
    <w:rsid w:val="004C420D"/>
    <w:rsid w:val="004D3296"/>
    <w:rsid w:val="004D6AE0"/>
    <w:rsid w:val="004F3038"/>
    <w:rsid w:val="005109E1"/>
    <w:rsid w:val="00512A63"/>
    <w:rsid w:val="00515285"/>
    <w:rsid w:val="0052593D"/>
    <w:rsid w:val="00526B2B"/>
    <w:rsid w:val="00531A52"/>
    <w:rsid w:val="00542808"/>
    <w:rsid w:val="005504A6"/>
    <w:rsid w:val="00551831"/>
    <w:rsid w:val="00560C34"/>
    <w:rsid w:val="00564DA3"/>
    <w:rsid w:val="00565D15"/>
    <w:rsid w:val="00566B5F"/>
    <w:rsid w:val="00573317"/>
    <w:rsid w:val="005756CC"/>
    <w:rsid w:val="0057631A"/>
    <w:rsid w:val="00580D26"/>
    <w:rsid w:val="00582475"/>
    <w:rsid w:val="00590A9D"/>
    <w:rsid w:val="005A5DE3"/>
    <w:rsid w:val="005A5E17"/>
    <w:rsid w:val="005A6258"/>
    <w:rsid w:val="005C04F1"/>
    <w:rsid w:val="005E0249"/>
    <w:rsid w:val="005E26A7"/>
    <w:rsid w:val="005E2E6A"/>
    <w:rsid w:val="005E65E9"/>
    <w:rsid w:val="005E7432"/>
    <w:rsid w:val="005F3784"/>
    <w:rsid w:val="005F43C0"/>
    <w:rsid w:val="0060171E"/>
    <w:rsid w:val="00612BEC"/>
    <w:rsid w:val="006211BB"/>
    <w:rsid w:val="00626B53"/>
    <w:rsid w:val="006271D9"/>
    <w:rsid w:val="0062788A"/>
    <w:rsid w:val="006319E4"/>
    <w:rsid w:val="00645419"/>
    <w:rsid w:val="00646168"/>
    <w:rsid w:val="0064681D"/>
    <w:rsid w:val="00646870"/>
    <w:rsid w:val="006532CC"/>
    <w:rsid w:val="00654327"/>
    <w:rsid w:val="00656D24"/>
    <w:rsid w:val="00657D22"/>
    <w:rsid w:val="0066151A"/>
    <w:rsid w:val="00671D17"/>
    <w:rsid w:val="00673937"/>
    <w:rsid w:val="006754A7"/>
    <w:rsid w:val="00675A1D"/>
    <w:rsid w:val="00681D45"/>
    <w:rsid w:val="006854FF"/>
    <w:rsid w:val="00685DC9"/>
    <w:rsid w:val="00690385"/>
    <w:rsid w:val="006920B1"/>
    <w:rsid w:val="006921A2"/>
    <w:rsid w:val="0069452E"/>
    <w:rsid w:val="006A3209"/>
    <w:rsid w:val="006A4D35"/>
    <w:rsid w:val="006A4D51"/>
    <w:rsid w:val="006A6D1F"/>
    <w:rsid w:val="006C38ED"/>
    <w:rsid w:val="006C53EF"/>
    <w:rsid w:val="006C6978"/>
    <w:rsid w:val="006D0367"/>
    <w:rsid w:val="006D2BFE"/>
    <w:rsid w:val="006D332B"/>
    <w:rsid w:val="006D5538"/>
    <w:rsid w:val="006D5D02"/>
    <w:rsid w:val="006D6465"/>
    <w:rsid w:val="006E13B2"/>
    <w:rsid w:val="006E3731"/>
    <w:rsid w:val="006E4311"/>
    <w:rsid w:val="00700EF4"/>
    <w:rsid w:val="00706648"/>
    <w:rsid w:val="0071360A"/>
    <w:rsid w:val="007141CE"/>
    <w:rsid w:val="007226BB"/>
    <w:rsid w:val="00724453"/>
    <w:rsid w:val="0072499A"/>
    <w:rsid w:val="007256D4"/>
    <w:rsid w:val="007301EA"/>
    <w:rsid w:val="007330C8"/>
    <w:rsid w:val="00733B9F"/>
    <w:rsid w:val="00744C58"/>
    <w:rsid w:val="007505E1"/>
    <w:rsid w:val="00755FDE"/>
    <w:rsid w:val="00762250"/>
    <w:rsid w:val="0076382D"/>
    <w:rsid w:val="007750AF"/>
    <w:rsid w:val="007758B7"/>
    <w:rsid w:val="00781175"/>
    <w:rsid w:val="00781470"/>
    <w:rsid w:val="007822A8"/>
    <w:rsid w:val="00787746"/>
    <w:rsid w:val="0079011A"/>
    <w:rsid w:val="00795B8A"/>
    <w:rsid w:val="00797194"/>
    <w:rsid w:val="007A11BF"/>
    <w:rsid w:val="007A2C15"/>
    <w:rsid w:val="007A3E22"/>
    <w:rsid w:val="007A44F9"/>
    <w:rsid w:val="007B0B16"/>
    <w:rsid w:val="007B14D1"/>
    <w:rsid w:val="007B260B"/>
    <w:rsid w:val="007B28DA"/>
    <w:rsid w:val="007B6B2E"/>
    <w:rsid w:val="007B73E9"/>
    <w:rsid w:val="007C7BF3"/>
    <w:rsid w:val="007D0615"/>
    <w:rsid w:val="007F0912"/>
    <w:rsid w:val="008040C7"/>
    <w:rsid w:val="00807F0A"/>
    <w:rsid w:val="00811C8D"/>
    <w:rsid w:val="00813A6A"/>
    <w:rsid w:val="00821C07"/>
    <w:rsid w:val="008249F8"/>
    <w:rsid w:val="00824A5A"/>
    <w:rsid w:val="0083500C"/>
    <w:rsid w:val="0084212C"/>
    <w:rsid w:val="00842DCA"/>
    <w:rsid w:val="00843B4F"/>
    <w:rsid w:val="008455A6"/>
    <w:rsid w:val="00845F45"/>
    <w:rsid w:val="00851EB4"/>
    <w:rsid w:val="00852CBF"/>
    <w:rsid w:val="008624D1"/>
    <w:rsid w:val="00874D4F"/>
    <w:rsid w:val="008803C7"/>
    <w:rsid w:val="008A69BD"/>
    <w:rsid w:val="008B1D8E"/>
    <w:rsid w:val="008B37FF"/>
    <w:rsid w:val="008C391D"/>
    <w:rsid w:val="008E62BE"/>
    <w:rsid w:val="008E7E5E"/>
    <w:rsid w:val="008F53BD"/>
    <w:rsid w:val="008F61D3"/>
    <w:rsid w:val="00907FDF"/>
    <w:rsid w:val="00911B88"/>
    <w:rsid w:val="00911CF2"/>
    <w:rsid w:val="00916493"/>
    <w:rsid w:val="00916596"/>
    <w:rsid w:val="00924F58"/>
    <w:rsid w:val="00927D22"/>
    <w:rsid w:val="00936396"/>
    <w:rsid w:val="00947AEB"/>
    <w:rsid w:val="00953566"/>
    <w:rsid w:val="00954A27"/>
    <w:rsid w:val="00964FAB"/>
    <w:rsid w:val="00967EBA"/>
    <w:rsid w:val="009770B0"/>
    <w:rsid w:val="00977336"/>
    <w:rsid w:val="00977A79"/>
    <w:rsid w:val="00977EC4"/>
    <w:rsid w:val="009812B0"/>
    <w:rsid w:val="0098489C"/>
    <w:rsid w:val="009923C3"/>
    <w:rsid w:val="00994EE7"/>
    <w:rsid w:val="009A0986"/>
    <w:rsid w:val="009A6C2D"/>
    <w:rsid w:val="009B1065"/>
    <w:rsid w:val="009B2485"/>
    <w:rsid w:val="009B47C1"/>
    <w:rsid w:val="009B612B"/>
    <w:rsid w:val="009B6911"/>
    <w:rsid w:val="009C5922"/>
    <w:rsid w:val="009C5BBB"/>
    <w:rsid w:val="009D63F6"/>
    <w:rsid w:val="009D7C46"/>
    <w:rsid w:val="009E39D2"/>
    <w:rsid w:val="009F6467"/>
    <w:rsid w:val="00A000E1"/>
    <w:rsid w:val="00A04897"/>
    <w:rsid w:val="00A11E70"/>
    <w:rsid w:val="00A1415A"/>
    <w:rsid w:val="00A200A8"/>
    <w:rsid w:val="00A208DE"/>
    <w:rsid w:val="00A21825"/>
    <w:rsid w:val="00A31301"/>
    <w:rsid w:val="00A3587D"/>
    <w:rsid w:val="00A4378E"/>
    <w:rsid w:val="00A43B13"/>
    <w:rsid w:val="00A507C6"/>
    <w:rsid w:val="00A52FAD"/>
    <w:rsid w:val="00A57395"/>
    <w:rsid w:val="00A800F0"/>
    <w:rsid w:val="00A835B4"/>
    <w:rsid w:val="00A842B2"/>
    <w:rsid w:val="00A8590E"/>
    <w:rsid w:val="00A94718"/>
    <w:rsid w:val="00A9559A"/>
    <w:rsid w:val="00A96E63"/>
    <w:rsid w:val="00AA32D4"/>
    <w:rsid w:val="00AA7D5F"/>
    <w:rsid w:val="00AB26D5"/>
    <w:rsid w:val="00AB49BD"/>
    <w:rsid w:val="00AC30CC"/>
    <w:rsid w:val="00AC5001"/>
    <w:rsid w:val="00AC74F3"/>
    <w:rsid w:val="00AC76EB"/>
    <w:rsid w:val="00AC7DF4"/>
    <w:rsid w:val="00AD01A7"/>
    <w:rsid w:val="00AD3CBE"/>
    <w:rsid w:val="00AD5A43"/>
    <w:rsid w:val="00AE05F5"/>
    <w:rsid w:val="00AE05F6"/>
    <w:rsid w:val="00AF3ED8"/>
    <w:rsid w:val="00B10439"/>
    <w:rsid w:val="00B109F1"/>
    <w:rsid w:val="00B26924"/>
    <w:rsid w:val="00B301C1"/>
    <w:rsid w:val="00B34D5A"/>
    <w:rsid w:val="00B351C5"/>
    <w:rsid w:val="00B46BB0"/>
    <w:rsid w:val="00B52453"/>
    <w:rsid w:val="00B549C1"/>
    <w:rsid w:val="00B63F36"/>
    <w:rsid w:val="00B70B2C"/>
    <w:rsid w:val="00B72B13"/>
    <w:rsid w:val="00B73F02"/>
    <w:rsid w:val="00B813D7"/>
    <w:rsid w:val="00B87F05"/>
    <w:rsid w:val="00B93699"/>
    <w:rsid w:val="00B96410"/>
    <w:rsid w:val="00B968B3"/>
    <w:rsid w:val="00B97514"/>
    <w:rsid w:val="00BA36C7"/>
    <w:rsid w:val="00BA4AF5"/>
    <w:rsid w:val="00BB10F0"/>
    <w:rsid w:val="00BB340C"/>
    <w:rsid w:val="00BB5090"/>
    <w:rsid w:val="00BB5624"/>
    <w:rsid w:val="00BC100F"/>
    <w:rsid w:val="00BC7C6E"/>
    <w:rsid w:val="00BE3751"/>
    <w:rsid w:val="00BF1715"/>
    <w:rsid w:val="00BF3F3A"/>
    <w:rsid w:val="00BF4EE1"/>
    <w:rsid w:val="00BF6676"/>
    <w:rsid w:val="00BF6BF3"/>
    <w:rsid w:val="00C01DE6"/>
    <w:rsid w:val="00C02963"/>
    <w:rsid w:val="00C1325B"/>
    <w:rsid w:val="00C14A52"/>
    <w:rsid w:val="00C203A2"/>
    <w:rsid w:val="00C22F9F"/>
    <w:rsid w:val="00C30EA4"/>
    <w:rsid w:val="00C31047"/>
    <w:rsid w:val="00C36237"/>
    <w:rsid w:val="00C36B6E"/>
    <w:rsid w:val="00C45C77"/>
    <w:rsid w:val="00C51F41"/>
    <w:rsid w:val="00C62E21"/>
    <w:rsid w:val="00C63738"/>
    <w:rsid w:val="00C64F58"/>
    <w:rsid w:val="00C65403"/>
    <w:rsid w:val="00C67500"/>
    <w:rsid w:val="00C6784B"/>
    <w:rsid w:val="00C75B2E"/>
    <w:rsid w:val="00C83180"/>
    <w:rsid w:val="00C84C91"/>
    <w:rsid w:val="00C8516E"/>
    <w:rsid w:val="00C962F7"/>
    <w:rsid w:val="00CA111E"/>
    <w:rsid w:val="00CA3628"/>
    <w:rsid w:val="00CB2E36"/>
    <w:rsid w:val="00CB611E"/>
    <w:rsid w:val="00CC3D8D"/>
    <w:rsid w:val="00CD050E"/>
    <w:rsid w:val="00CD1A9F"/>
    <w:rsid w:val="00CD7B94"/>
    <w:rsid w:val="00CD7FC6"/>
    <w:rsid w:val="00CE0EB8"/>
    <w:rsid w:val="00CE3021"/>
    <w:rsid w:val="00CE3193"/>
    <w:rsid w:val="00CE7048"/>
    <w:rsid w:val="00CF2275"/>
    <w:rsid w:val="00CF29C0"/>
    <w:rsid w:val="00CF2EA1"/>
    <w:rsid w:val="00CF44C0"/>
    <w:rsid w:val="00CF4A7F"/>
    <w:rsid w:val="00D03812"/>
    <w:rsid w:val="00D153D9"/>
    <w:rsid w:val="00D16813"/>
    <w:rsid w:val="00D22836"/>
    <w:rsid w:val="00D25D28"/>
    <w:rsid w:val="00D267C2"/>
    <w:rsid w:val="00D30C6D"/>
    <w:rsid w:val="00D31D05"/>
    <w:rsid w:val="00D45CAF"/>
    <w:rsid w:val="00D5301E"/>
    <w:rsid w:val="00D6140A"/>
    <w:rsid w:val="00D64903"/>
    <w:rsid w:val="00D71D78"/>
    <w:rsid w:val="00D800F3"/>
    <w:rsid w:val="00D80435"/>
    <w:rsid w:val="00D82F66"/>
    <w:rsid w:val="00D8668A"/>
    <w:rsid w:val="00D91323"/>
    <w:rsid w:val="00D92866"/>
    <w:rsid w:val="00D96F5D"/>
    <w:rsid w:val="00DB4C9C"/>
    <w:rsid w:val="00DC1626"/>
    <w:rsid w:val="00DD7D66"/>
    <w:rsid w:val="00DE19D5"/>
    <w:rsid w:val="00DE2B7B"/>
    <w:rsid w:val="00DE3823"/>
    <w:rsid w:val="00DF10DA"/>
    <w:rsid w:val="00DF2DD3"/>
    <w:rsid w:val="00E05743"/>
    <w:rsid w:val="00E11DDD"/>
    <w:rsid w:val="00E16970"/>
    <w:rsid w:val="00E16B81"/>
    <w:rsid w:val="00E17648"/>
    <w:rsid w:val="00E21356"/>
    <w:rsid w:val="00E22EFD"/>
    <w:rsid w:val="00E2308E"/>
    <w:rsid w:val="00E26712"/>
    <w:rsid w:val="00E26B96"/>
    <w:rsid w:val="00E424DA"/>
    <w:rsid w:val="00E47F17"/>
    <w:rsid w:val="00E50151"/>
    <w:rsid w:val="00E55EB8"/>
    <w:rsid w:val="00E62445"/>
    <w:rsid w:val="00E74BEF"/>
    <w:rsid w:val="00E751C7"/>
    <w:rsid w:val="00E75308"/>
    <w:rsid w:val="00E7658B"/>
    <w:rsid w:val="00E925F0"/>
    <w:rsid w:val="00E9655B"/>
    <w:rsid w:val="00EA0E66"/>
    <w:rsid w:val="00EA4178"/>
    <w:rsid w:val="00EA4587"/>
    <w:rsid w:val="00EB1B9F"/>
    <w:rsid w:val="00EB661D"/>
    <w:rsid w:val="00ED4700"/>
    <w:rsid w:val="00ED4D73"/>
    <w:rsid w:val="00EE2436"/>
    <w:rsid w:val="00EE61FF"/>
    <w:rsid w:val="00EE64F9"/>
    <w:rsid w:val="00EE6595"/>
    <w:rsid w:val="00EE74B0"/>
    <w:rsid w:val="00EE78D9"/>
    <w:rsid w:val="00EE7ADD"/>
    <w:rsid w:val="00EF1A6D"/>
    <w:rsid w:val="00EF1AD0"/>
    <w:rsid w:val="00EF73E6"/>
    <w:rsid w:val="00F075DD"/>
    <w:rsid w:val="00F132C5"/>
    <w:rsid w:val="00F243AE"/>
    <w:rsid w:val="00F4192F"/>
    <w:rsid w:val="00F504FA"/>
    <w:rsid w:val="00F52144"/>
    <w:rsid w:val="00F53291"/>
    <w:rsid w:val="00F561F3"/>
    <w:rsid w:val="00F57EB1"/>
    <w:rsid w:val="00F6026F"/>
    <w:rsid w:val="00F622A8"/>
    <w:rsid w:val="00F67F08"/>
    <w:rsid w:val="00F71FBE"/>
    <w:rsid w:val="00F727F3"/>
    <w:rsid w:val="00F76F0C"/>
    <w:rsid w:val="00F80A87"/>
    <w:rsid w:val="00F903F3"/>
    <w:rsid w:val="00F90C63"/>
    <w:rsid w:val="00FA1A12"/>
    <w:rsid w:val="00FA3CE3"/>
    <w:rsid w:val="00FA4EE2"/>
    <w:rsid w:val="00FA5C5A"/>
    <w:rsid w:val="00FB481E"/>
    <w:rsid w:val="00FB5F91"/>
    <w:rsid w:val="00FC2CB5"/>
    <w:rsid w:val="00FC5E1B"/>
    <w:rsid w:val="00FC7BFD"/>
    <w:rsid w:val="00FD0580"/>
    <w:rsid w:val="00FD7182"/>
    <w:rsid w:val="00FD7E40"/>
    <w:rsid w:val="00FE5AD6"/>
    <w:rsid w:val="00FE6720"/>
    <w:rsid w:val="00FE68A3"/>
    <w:rsid w:val="00FE6EE1"/>
    <w:rsid w:val="00FF4A7B"/>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8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99A"/>
    <w:rPr>
      <w:color w:val="000000"/>
      <w:sz w:val="24"/>
      <w:szCs w:val="24"/>
    </w:rPr>
  </w:style>
  <w:style w:type="paragraph" w:styleId="Heading1">
    <w:name w:val="heading 1"/>
    <w:aliases w:val="Part Title"/>
    <w:basedOn w:val="Normal"/>
    <w:next w:val="Heading4"/>
    <w:qFormat/>
    <w:rsid w:val="0072499A"/>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2499A"/>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72499A"/>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72499A"/>
    <w:pPr>
      <w:spacing w:after="240"/>
      <w:outlineLvl w:val="3"/>
    </w:pPr>
    <w:rPr>
      <w:rFonts w:ascii="Arial" w:hAnsi="Arial" w:cs="Arial"/>
      <w:b/>
      <w:sz w:val="32"/>
      <w:szCs w:val="20"/>
    </w:rPr>
  </w:style>
  <w:style w:type="paragraph" w:styleId="Heading5">
    <w:name w:val="heading 5"/>
    <w:aliases w:val="Block Label"/>
    <w:basedOn w:val="Normal"/>
    <w:qFormat/>
    <w:rsid w:val="0072499A"/>
    <w:pPr>
      <w:outlineLvl w:val="4"/>
    </w:pPr>
    <w:rPr>
      <w:b/>
      <w:sz w:val="22"/>
      <w:szCs w:val="20"/>
    </w:rPr>
  </w:style>
  <w:style w:type="paragraph" w:styleId="Heading6">
    <w:name w:val="heading 6"/>
    <w:aliases w:val="Sub Label"/>
    <w:basedOn w:val="Heading5"/>
    <w:next w:val="BlockText"/>
    <w:qFormat/>
    <w:rsid w:val="0072499A"/>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499A"/>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72499A"/>
    <w:pPr>
      <w:pBdr>
        <w:top w:val="single" w:sz="6" w:space="1" w:color="000000"/>
        <w:between w:val="single" w:sz="6" w:space="1" w:color="auto"/>
      </w:pBdr>
      <w:spacing w:before="240"/>
      <w:ind w:left="1728"/>
    </w:pPr>
    <w:rPr>
      <w:szCs w:val="20"/>
    </w:rPr>
  </w:style>
  <w:style w:type="paragraph" w:styleId="BlockText">
    <w:name w:val="Block Text"/>
    <w:basedOn w:val="Normal"/>
    <w:rsid w:val="0072499A"/>
  </w:style>
  <w:style w:type="paragraph" w:customStyle="1" w:styleId="BulletText1">
    <w:name w:val="Bullet Text 1"/>
    <w:basedOn w:val="Normal"/>
    <w:rsid w:val="0072499A"/>
    <w:pPr>
      <w:numPr>
        <w:numId w:val="1"/>
      </w:numPr>
    </w:pPr>
    <w:rPr>
      <w:szCs w:val="20"/>
    </w:rPr>
  </w:style>
  <w:style w:type="paragraph" w:customStyle="1" w:styleId="BulletText2">
    <w:name w:val="Bullet Text 2"/>
    <w:basedOn w:val="Normal"/>
    <w:rsid w:val="0072499A"/>
    <w:pPr>
      <w:numPr>
        <w:numId w:val="2"/>
      </w:numPr>
      <w:ind w:left="346"/>
    </w:pPr>
    <w:rPr>
      <w:szCs w:val="20"/>
    </w:rPr>
  </w:style>
  <w:style w:type="paragraph" w:customStyle="1" w:styleId="ContinuedOnNextPa">
    <w:name w:val="Continued On Next Pa"/>
    <w:basedOn w:val="Normal"/>
    <w:next w:val="Normal"/>
    <w:rsid w:val="0072499A"/>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72499A"/>
    <w:pPr>
      <w:spacing w:after="240"/>
    </w:pPr>
    <w:rPr>
      <w:b/>
      <w:sz w:val="22"/>
      <w:szCs w:val="20"/>
    </w:rPr>
  </w:style>
  <w:style w:type="paragraph" w:customStyle="1" w:styleId="MapTitleContinued">
    <w:name w:val="Map Title. Continued"/>
    <w:basedOn w:val="Normal"/>
    <w:next w:val="Normal"/>
    <w:rsid w:val="0072499A"/>
    <w:pPr>
      <w:spacing w:after="240"/>
    </w:pPr>
    <w:rPr>
      <w:rFonts w:ascii="Arial" w:hAnsi="Arial" w:cs="Arial"/>
      <w:b/>
      <w:sz w:val="32"/>
      <w:szCs w:val="20"/>
    </w:rPr>
  </w:style>
  <w:style w:type="paragraph" w:customStyle="1" w:styleId="MemoLine">
    <w:name w:val="Memo Line"/>
    <w:basedOn w:val="BlockLine"/>
    <w:next w:val="Normal"/>
    <w:rsid w:val="0072499A"/>
    <w:pPr>
      <w:ind w:left="0"/>
    </w:pPr>
  </w:style>
  <w:style w:type="paragraph" w:styleId="Footer">
    <w:name w:val="footer"/>
    <w:basedOn w:val="Normal"/>
    <w:link w:val="FooterChar"/>
    <w:rsid w:val="0072499A"/>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72499A"/>
    <w:rPr>
      <w:szCs w:val="20"/>
    </w:rPr>
  </w:style>
  <w:style w:type="paragraph" w:customStyle="1" w:styleId="NoteText">
    <w:name w:val="Note Text"/>
    <w:basedOn w:val="Normal"/>
    <w:rsid w:val="0072499A"/>
    <w:rPr>
      <w:szCs w:val="20"/>
    </w:rPr>
  </w:style>
  <w:style w:type="paragraph" w:customStyle="1" w:styleId="TableHeaderText">
    <w:name w:val="Table Header Text"/>
    <w:basedOn w:val="Normal"/>
    <w:rsid w:val="0072499A"/>
    <w:pPr>
      <w:jc w:val="center"/>
    </w:pPr>
    <w:rPr>
      <w:b/>
      <w:szCs w:val="20"/>
    </w:rPr>
  </w:style>
  <w:style w:type="paragraph" w:customStyle="1" w:styleId="EmbeddedText">
    <w:name w:val="Embedded Text"/>
    <w:basedOn w:val="Normal"/>
    <w:rsid w:val="0072499A"/>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72499A"/>
    <w:pPr>
      <w:ind w:left="480"/>
    </w:pPr>
  </w:style>
  <w:style w:type="paragraph" w:styleId="TOC4">
    <w:name w:val="toc 4"/>
    <w:basedOn w:val="Normal"/>
    <w:next w:val="Normal"/>
    <w:autoRedefine/>
    <w:uiPriority w:val="39"/>
    <w:rsid w:val="0072499A"/>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72499A"/>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72499A"/>
    <w:pPr>
      <w:spacing w:after="240"/>
      <w:jc w:val="center"/>
    </w:pPr>
    <w:rPr>
      <w:rFonts w:ascii="Arial" w:hAnsi="Arial" w:cs="Arial"/>
      <w:b/>
      <w:sz w:val="32"/>
      <w:szCs w:val="20"/>
    </w:rPr>
  </w:style>
  <w:style w:type="paragraph" w:customStyle="1" w:styleId="TOCTitle">
    <w:name w:val="TOC Title"/>
    <w:basedOn w:val="Normal"/>
    <w:rsid w:val="0072499A"/>
    <w:pPr>
      <w:widowControl w:val="0"/>
    </w:pPr>
    <w:rPr>
      <w:rFonts w:ascii="Arial" w:hAnsi="Arial" w:cs="Arial"/>
      <w:b/>
      <w:sz w:val="32"/>
      <w:szCs w:val="20"/>
    </w:rPr>
  </w:style>
  <w:style w:type="paragraph" w:customStyle="1" w:styleId="TOCItem">
    <w:name w:val="TOCItem"/>
    <w:basedOn w:val="Normal"/>
    <w:rsid w:val="0072499A"/>
    <w:pPr>
      <w:tabs>
        <w:tab w:val="left" w:leader="dot" w:pos="7061"/>
        <w:tab w:val="right" w:pos="7524"/>
      </w:tabs>
      <w:spacing w:before="60" w:after="60"/>
      <w:ind w:right="465"/>
    </w:pPr>
    <w:rPr>
      <w:szCs w:val="20"/>
    </w:rPr>
  </w:style>
  <w:style w:type="paragraph" w:customStyle="1" w:styleId="TOCStem">
    <w:name w:val="TOCStem"/>
    <w:basedOn w:val="Normal"/>
    <w:rsid w:val="0072499A"/>
    <w:rPr>
      <w:szCs w:val="20"/>
    </w:rPr>
  </w:style>
  <w:style w:type="character" w:styleId="Hyperlink">
    <w:name w:val="Hyperlink"/>
    <w:uiPriority w:val="99"/>
    <w:rsid w:val="0072499A"/>
    <w:rPr>
      <w:color w:val="0000FF"/>
      <w:u w:val="single"/>
    </w:rPr>
  </w:style>
  <w:style w:type="character" w:styleId="FollowedHyperlink">
    <w:name w:val="FollowedHyperlink"/>
    <w:rsid w:val="0072499A"/>
    <w:rPr>
      <w:color w:val="800080"/>
      <w:u w:val="single"/>
    </w:rPr>
  </w:style>
  <w:style w:type="paragraph" w:customStyle="1" w:styleId="BlockText0">
    <w:name w:val="Block_Text"/>
    <w:basedOn w:val="Normal"/>
    <w:rsid w:val="003C586A"/>
    <w:rPr>
      <w:szCs w:val="20"/>
    </w:rPr>
  </w:style>
  <w:style w:type="paragraph" w:customStyle="1" w:styleId="BulletText3">
    <w:name w:val="Bullet Text 3"/>
    <w:basedOn w:val="Normal"/>
    <w:rsid w:val="0072499A"/>
    <w:pPr>
      <w:numPr>
        <w:numId w:val="3"/>
      </w:numPr>
      <w:tabs>
        <w:tab w:val="clear" w:pos="173"/>
      </w:tabs>
      <w:ind w:left="518" w:hanging="173"/>
    </w:pPr>
    <w:rPr>
      <w:szCs w:val="20"/>
    </w:rPr>
  </w:style>
  <w:style w:type="character" w:styleId="HTMLAcronym">
    <w:name w:val="HTML Acronym"/>
    <w:basedOn w:val="DefaultParagraphFont"/>
    <w:rsid w:val="0072499A"/>
  </w:style>
  <w:style w:type="paragraph" w:customStyle="1" w:styleId="IMTOC">
    <w:name w:val="IMTOC"/>
    <w:rsid w:val="0072499A"/>
    <w:rPr>
      <w:sz w:val="24"/>
    </w:rPr>
  </w:style>
  <w:style w:type="paragraph" w:styleId="BalloonText">
    <w:name w:val="Balloon Text"/>
    <w:basedOn w:val="Normal"/>
    <w:semiHidden/>
    <w:rsid w:val="0072499A"/>
    <w:rPr>
      <w:rFonts w:ascii="Tahoma" w:hAnsi="Tahoma" w:cs="Tahoma"/>
      <w:sz w:val="16"/>
      <w:szCs w:val="16"/>
    </w:rPr>
  </w:style>
  <w:style w:type="character" w:customStyle="1" w:styleId="FooterChar">
    <w:name w:val="Footer Char"/>
    <w:link w:val="Footer"/>
    <w:rsid w:val="0072499A"/>
    <w:rPr>
      <w:sz w:val="24"/>
      <w:szCs w:val="24"/>
      <w:lang w:val="x-none" w:eastAsia="x-none" w:bidi="ar-SA"/>
    </w:rPr>
  </w:style>
  <w:style w:type="table" w:styleId="TableGrid">
    <w:name w:val="Table Grid"/>
    <w:basedOn w:val="TableNormal"/>
    <w:rsid w:val="007249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
    <w:name w:val="Char Char2"/>
    <w:rsid w:val="00201513"/>
    <w:rPr>
      <w:sz w:val="24"/>
      <w:szCs w:val="24"/>
      <w:lang w:val="x-none" w:eastAsia="x-none"/>
    </w:rPr>
  </w:style>
  <w:style w:type="character" w:customStyle="1" w:styleId="HeaderChar">
    <w:name w:val="Header Char"/>
    <w:link w:val="Header"/>
    <w:rsid w:val="0072499A"/>
    <w:rPr>
      <w:sz w:val="24"/>
      <w:szCs w:val="24"/>
      <w:lang w:val="x-none" w:eastAsia="x-none" w:bidi="ar-SA"/>
    </w:rPr>
  </w:style>
  <w:style w:type="character" w:styleId="CommentReference">
    <w:name w:val="annotation reference"/>
    <w:semiHidden/>
    <w:rsid w:val="00D82F66"/>
    <w:rPr>
      <w:sz w:val="16"/>
      <w:szCs w:val="16"/>
    </w:rPr>
  </w:style>
  <w:style w:type="paragraph" w:styleId="CommentText">
    <w:name w:val="annotation text"/>
    <w:basedOn w:val="Normal"/>
    <w:semiHidden/>
    <w:rsid w:val="00D82F66"/>
    <w:rPr>
      <w:sz w:val="20"/>
      <w:szCs w:val="20"/>
    </w:rPr>
  </w:style>
  <w:style w:type="paragraph" w:styleId="CommentSubject">
    <w:name w:val="annotation subject"/>
    <w:basedOn w:val="CommentText"/>
    <w:next w:val="CommentText"/>
    <w:semiHidden/>
    <w:rsid w:val="00D82F66"/>
    <w:rPr>
      <w:b/>
      <w:bCs/>
    </w:rPr>
  </w:style>
  <w:style w:type="paragraph" w:styleId="ListParagraph">
    <w:name w:val="List Paragraph"/>
    <w:basedOn w:val="Normal"/>
    <w:uiPriority w:val="34"/>
    <w:qFormat/>
    <w:rsid w:val="002F0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99A"/>
    <w:rPr>
      <w:color w:val="000000"/>
      <w:sz w:val="24"/>
      <w:szCs w:val="24"/>
    </w:rPr>
  </w:style>
  <w:style w:type="paragraph" w:styleId="Heading1">
    <w:name w:val="heading 1"/>
    <w:aliases w:val="Part Title"/>
    <w:basedOn w:val="Normal"/>
    <w:next w:val="Heading4"/>
    <w:qFormat/>
    <w:rsid w:val="0072499A"/>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2499A"/>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72499A"/>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72499A"/>
    <w:pPr>
      <w:spacing w:after="240"/>
      <w:outlineLvl w:val="3"/>
    </w:pPr>
    <w:rPr>
      <w:rFonts w:ascii="Arial" w:hAnsi="Arial" w:cs="Arial"/>
      <w:b/>
      <w:sz w:val="32"/>
      <w:szCs w:val="20"/>
    </w:rPr>
  </w:style>
  <w:style w:type="paragraph" w:styleId="Heading5">
    <w:name w:val="heading 5"/>
    <w:aliases w:val="Block Label"/>
    <w:basedOn w:val="Normal"/>
    <w:qFormat/>
    <w:rsid w:val="0072499A"/>
    <w:pPr>
      <w:outlineLvl w:val="4"/>
    </w:pPr>
    <w:rPr>
      <w:b/>
      <w:sz w:val="22"/>
      <w:szCs w:val="20"/>
    </w:rPr>
  </w:style>
  <w:style w:type="paragraph" w:styleId="Heading6">
    <w:name w:val="heading 6"/>
    <w:aliases w:val="Sub Label"/>
    <w:basedOn w:val="Heading5"/>
    <w:next w:val="BlockText"/>
    <w:qFormat/>
    <w:rsid w:val="0072499A"/>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499A"/>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72499A"/>
    <w:pPr>
      <w:pBdr>
        <w:top w:val="single" w:sz="6" w:space="1" w:color="000000"/>
        <w:between w:val="single" w:sz="6" w:space="1" w:color="auto"/>
      </w:pBdr>
      <w:spacing w:before="240"/>
      <w:ind w:left="1728"/>
    </w:pPr>
    <w:rPr>
      <w:szCs w:val="20"/>
    </w:rPr>
  </w:style>
  <w:style w:type="paragraph" w:styleId="BlockText">
    <w:name w:val="Block Text"/>
    <w:basedOn w:val="Normal"/>
    <w:rsid w:val="0072499A"/>
  </w:style>
  <w:style w:type="paragraph" w:customStyle="1" w:styleId="BulletText1">
    <w:name w:val="Bullet Text 1"/>
    <w:basedOn w:val="Normal"/>
    <w:rsid w:val="0072499A"/>
    <w:pPr>
      <w:numPr>
        <w:numId w:val="1"/>
      </w:numPr>
    </w:pPr>
    <w:rPr>
      <w:szCs w:val="20"/>
    </w:rPr>
  </w:style>
  <w:style w:type="paragraph" w:customStyle="1" w:styleId="BulletText2">
    <w:name w:val="Bullet Text 2"/>
    <w:basedOn w:val="Normal"/>
    <w:rsid w:val="0072499A"/>
    <w:pPr>
      <w:numPr>
        <w:numId w:val="2"/>
      </w:numPr>
      <w:ind w:left="346"/>
    </w:pPr>
    <w:rPr>
      <w:szCs w:val="20"/>
    </w:rPr>
  </w:style>
  <w:style w:type="paragraph" w:customStyle="1" w:styleId="ContinuedOnNextPa">
    <w:name w:val="Continued On Next Pa"/>
    <w:basedOn w:val="Normal"/>
    <w:next w:val="Normal"/>
    <w:rsid w:val="0072499A"/>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72499A"/>
    <w:pPr>
      <w:spacing w:after="240"/>
    </w:pPr>
    <w:rPr>
      <w:b/>
      <w:sz w:val="22"/>
      <w:szCs w:val="20"/>
    </w:rPr>
  </w:style>
  <w:style w:type="paragraph" w:customStyle="1" w:styleId="MapTitleContinued">
    <w:name w:val="Map Title. Continued"/>
    <w:basedOn w:val="Normal"/>
    <w:next w:val="Normal"/>
    <w:rsid w:val="0072499A"/>
    <w:pPr>
      <w:spacing w:after="240"/>
    </w:pPr>
    <w:rPr>
      <w:rFonts w:ascii="Arial" w:hAnsi="Arial" w:cs="Arial"/>
      <w:b/>
      <w:sz w:val="32"/>
      <w:szCs w:val="20"/>
    </w:rPr>
  </w:style>
  <w:style w:type="paragraph" w:customStyle="1" w:styleId="MemoLine">
    <w:name w:val="Memo Line"/>
    <w:basedOn w:val="BlockLine"/>
    <w:next w:val="Normal"/>
    <w:rsid w:val="0072499A"/>
    <w:pPr>
      <w:ind w:left="0"/>
    </w:pPr>
  </w:style>
  <w:style w:type="paragraph" w:styleId="Footer">
    <w:name w:val="footer"/>
    <w:basedOn w:val="Normal"/>
    <w:link w:val="FooterChar"/>
    <w:rsid w:val="0072499A"/>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72499A"/>
    <w:rPr>
      <w:szCs w:val="20"/>
    </w:rPr>
  </w:style>
  <w:style w:type="paragraph" w:customStyle="1" w:styleId="NoteText">
    <w:name w:val="Note Text"/>
    <w:basedOn w:val="Normal"/>
    <w:rsid w:val="0072499A"/>
    <w:rPr>
      <w:szCs w:val="20"/>
    </w:rPr>
  </w:style>
  <w:style w:type="paragraph" w:customStyle="1" w:styleId="TableHeaderText">
    <w:name w:val="Table Header Text"/>
    <w:basedOn w:val="Normal"/>
    <w:rsid w:val="0072499A"/>
    <w:pPr>
      <w:jc w:val="center"/>
    </w:pPr>
    <w:rPr>
      <w:b/>
      <w:szCs w:val="20"/>
    </w:rPr>
  </w:style>
  <w:style w:type="paragraph" w:customStyle="1" w:styleId="EmbeddedText">
    <w:name w:val="Embedded Text"/>
    <w:basedOn w:val="Normal"/>
    <w:rsid w:val="0072499A"/>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72499A"/>
    <w:pPr>
      <w:ind w:left="480"/>
    </w:pPr>
  </w:style>
  <w:style w:type="paragraph" w:styleId="TOC4">
    <w:name w:val="toc 4"/>
    <w:basedOn w:val="Normal"/>
    <w:next w:val="Normal"/>
    <w:autoRedefine/>
    <w:uiPriority w:val="39"/>
    <w:rsid w:val="0072499A"/>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72499A"/>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72499A"/>
    <w:pPr>
      <w:spacing w:after="240"/>
      <w:jc w:val="center"/>
    </w:pPr>
    <w:rPr>
      <w:rFonts w:ascii="Arial" w:hAnsi="Arial" w:cs="Arial"/>
      <w:b/>
      <w:sz w:val="32"/>
      <w:szCs w:val="20"/>
    </w:rPr>
  </w:style>
  <w:style w:type="paragraph" w:customStyle="1" w:styleId="TOCTitle">
    <w:name w:val="TOC Title"/>
    <w:basedOn w:val="Normal"/>
    <w:rsid w:val="0072499A"/>
    <w:pPr>
      <w:widowControl w:val="0"/>
    </w:pPr>
    <w:rPr>
      <w:rFonts w:ascii="Arial" w:hAnsi="Arial" w:cs="Arial"/>
      <w:b/>
      <w:sz w:val="32"/>
      <w:szCs w:val="20"/>
    </w:rPr>
  </w:style>
  <w:style w:type="paragraph" w:customStyle="1" w:styleId="TOCItem">
    <w:name w:val="TOCItem"/>
    <w:basedOn w:val="Normal"/>
    <w:rsid w:val="0072499A"/>
    <w:pPr>
      <w:tabs>
        <w:tab w:val="left" w:leader="dot" w:pos="7061"/>
        <w:tab w:val="right" w:pos="7524"/>
      </w:tabs>
      <w:spacing w:before="60" w:after="60"/>
      <w:ind w:right="465"/>
    </w:pPr>
    <w:rPr>
      <w:szCs w:val="20"/>
    </w:rPr>
  </w:style>
  <w:style w:type="paragraph" w:customStyle="1" w:styleId="TOCStem">
    <w:name w:val="TOCStem"/>
    <w:basedOn w:val="Normal"/>
    <w:rsid w:val="0072499A"/>
    <w:rPr>
      <w:szCs w:val="20"/>
    </w:rPr>
  </w:style>
  <w:style w:type="character" w:styleId="Hyperlink">
    <w:name w:val="Hyperlink"/>
    <w:uiPriority w:val="99"/>
    <w:rsid w:val="0072499A"/>
    <w:rPr>
      <w:color w:val="0000FF"/>
      <w:u w:val="single"/>
    </w:rPr>
  </w:style>
  <w:style w:type="character" w:styleId="FollowedHyperlink">
    <w:name w:val="FollowedHyperlink"/>
    <w:rsid w:val="0072499A"/>
    <w:rPr>
      <w:color w:val="800080"/>
      <w:u w:val="single"/>
    </w:rPr>
  </w:style>
  <w:style w:type="paragraph" w:customStyle="1" w:styleId="BlockText0">
    <w:name w:val="Block_Text"/>
    <w:basedOn w:val="Normal"/>
    <w:rsid w:val="003C586A"/>
    <w:rPr>
      <w:szCs w:val="20"/>
    </w:rPr>
  </w:style>
  <w:style w:type="paragraph" w:customStyle="1" w:styleId="BulletText3">
    <w:name w:val="Bullet Text 3"/>
    <w:basedOn w:val="Normal"/>
    <w:rsid w:val="0072499A"/>
    <w:pPr>
      <w:numPr>
        <w:numId w:val="3"/>
      </w:numPr>
      <w:tabs>
        <w:tab w:val="clear" w:pos="173"/>
      </w:tabs>
      <w:ind w:left="518" w:hanging="173"/>
    </w:pPr>
    <w:rPr>
      <w:szCs w:val="20"/>
    </w:rPr>
  </w:style>
  <w:style w:type="character" w:styleId="HTMLAcronym">
    <w:name w:val="HTML Acronym"/>
    <w:basedOn w:val="DefaultParagraphFont"/>
    <w:rsid w:val="0072499A"/>
  </w:style>
  <w:style w:type="paragraph" w:customStyle="1" w:styleId="IMTOC">
    <w:name w:val="IMTOC"/>
    <w:rsid w:val="0072499A"/>
    <w:rPr>
      <w:sz w:val="24"/>
    </w:rPr>
  </w:style>
  <w:style w:type="paragraph" w:styleId="BalloonText">
    <w:name w:val="Balloon Text"/>
    <w:basedOn w:val="Normal"/>
    <w:semiHidden/>
    <w:rsid w:val="0072499A"/>
    <w:rPr>
      <w:rFonts w:ascii="Tahoma" w:hAnsi="Tahoma" w:cs="Tahoma"/>
      <w:sz w:val="16"/>
      <w:szCs w:val="16"/>
    </w:rPr>
  </w:style>
  <w:style w:type="character" w:customStyle="1" w:styleId="FooterChar">
    <w:name w:val="Footer Char"/>
    <w:link w:val="Footer"/>
    <w:rsid w:val="0072499A"/>
    <w:rPr>
      <w:sz w:val="24"/>
      <w:szCs w:val="24"/>
      <w:lang w:val="x-none" w:eastAsia="x-none" w:bidi="ar-SA"/>
    </w:rPr>
  </w:style>
  <w:style w:type="table" w:styleId="TableGrid">
    <w:name w:val="Table Grid"/>
    <w:basedOn w:val="TableNormal"/>
    <w:rsid w:val="007249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
    <w:name w:val="Char Char2"/>
    <w:rsid w:val="00201513"/>
    <w:rPr>
      <w:sz w:val="24"/>
      <w:szCs w:val="24"/>
      <w:lang w:val="x-none" w:eastAsia="x-none"/>
    </w:rPr>
  </w:style>
  <w:style w:type="character" w:customStyle="1" w:styleId="HeaderChar">
    <w:name w:val="Header Char"/>
    <w:link w:val="Header"/>
    <w:rsid w:val="0072499A"/>
    <w:rPr>
      <w:sz w:val="24"/>
      <w:szCs w:val="24"/>
      <w:lang w:val="x-none" w:eastAsia="x-none" w:bidi="ar-SA"/>
    </w:rPr>
  </w:style>
  <w:style w:type="character" w:styleId="CommentReference">
    <w:name w:val="annotation reference"/>
    <w:semiHidden/>
    <w:rsid w:val="00D82F66"/>
    <w:rPr>
      <w:sz w:val="16"/>
      <w:szCs w:val="16"/>
    </w:rPr>
  </w:style>
  <w:style w:type="paragraph" w:styleId="CommentText">
    <w:name w:val="annotation text"/>
    <w:basedOn w:val="Normal"/>
    <w:semiHidden/>
    <w:rsid w:val="00D82F66"/>
    <w:rPr>
      <w:sz w:val="20"/>
      <w:szCs w:val="20"/>
    </w:rPr>
  </w:style>
  <w:style w:type="paragraph" w:styleId="CommentSubject">
    <w:name w:val="annotation subject"/>
    <w:basedOn w:val="CommentText"/>
    <w:next w:val="CommentText"/>
    <w:semiHidden/>
    <w:rsid w:val="00D82F66"/>
    <w:rPr>
      <w:b/>
      <w:bCs/>
    </w:rPr>
  </w:style>
  <w:style w:type="paragraph" w:styleId="ListParagraph">
    <w:name w:val="List Paragraph"/>
    <w:basedOn w:val="Normal"/>
    <w:uiPriority w:val="34"/>
    <w:qFormat/>
    <w:rsid w:val="002F0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61734">
      <w:bodyDiv w:val="1"/>
      <w:marLeft w:val="0"/>
      <w:marRight w:val="0"/>
      <w:marTop w:val="0"/>
      <w:marBottom w:val="0"/>
      <w:divBdr>
        <w:top w:val="none" w:sz="0" w:space="0" w:color="auto"/>
        <w:left w:val="none" w:sz="0" w:space="0" w:color="auto"/>
        <w:bottom w:val="none" w:sz="0" w:space="0" w:color="auto"/>
        <w:right w:val="none" w:sz="0" w:space="0" w:color="auto"/>
      </w:divBdr>
      <w:divsChild>
        <w:div w:id="112674917">
          <w:marLeft w:val="0"/>
          <w:marRight w:val="0"/>
          <w:marTop w:val="0"/>
          <w:marBottom w:val="0"/>
          <w:divBdr>
            <w:top w:val="none" w:sz="0" w:space="0" w:color="auto"/>
            <w:left w:val="none" w:sz="0" w:space="0" w:color="auto"/>
            <w:bottom w:val="none" w:sz="0" w:space="0" w:color="auto"/>
            <w:right w:val="none" w:sz="0" w:space="0" w:color="auto"/>
          </w:divBdr>
          <w:divsChild>
            <w:div w:id="1733383604">
              <w:marLeft w:val="0"/>
              <w:marRight w:val="0"/>
              <w:marTop w:val="0"/>
              <w:marBottom w:val="0"/>
              <w:divBdr>
                <w:top w:val="none" w:sz="0" w:space="0" w:color="auto"/>
                <w:left w:val="none" w:sz="0" w:space="0" w:color="auto"/>
                <w:bottom w:val="none" w:sz="0" w:space="0" w:color="auto"/>
                <w:right w:val="none" w:sz="0" w:space="0" w:color="auto"/>
              </w:divBdr>
              <w:divsChild>
                <w:div w:id="50082502">
                  <w:marLeft w:val="0"/>
                  <w:marRight w:val="0"/>
                  <w:marTop w:val="0"/>
                  <w:marBottom w:val="0"/>
                  <w:divBdr>
                    <w:top w:val="none" w:sz="0" w:space="0" w:color="auto"/>
                    <w:left w:val="none" w:sz="0" w:space="0" w:color="auto"/>
                    <w:bottom w:val="none" w:sz="0" w:space="0" w:color="auto"/>
                    <w:right w:val="none" w:sz="0" w:space="0" w:color="auto"/>
                  </w:divBdr>
                  <w:divsChild>
                    <w:div w:id="669407365">
                      <w:marLeft w:val="0"/>
                      <w:marRight w:val="0"/>
                      <w:marTop w:val="0"/>
                      <w:marBottom w:val="0"/>
                      <w:divBdr>
                        <w:top w:val="none" w:sz="0" w:space="0" w:color="auto"/>
                        <w:left w:val="none" w:sz="0" w:space="0" w:color="auto"/>
                        <w:bottom w:val="none" w:sz="0" w:space="0" w:color="auto"/>
                        <w:right w:val="none" w:sz="0" w:space="0" w:color="auto"/>
                      </w:divBdr>
                      <w:divsChild>
                        <w:div w:id="1076975076">
                          <w:marLeft w:val="0"/>
                          <w:marRight w:val="0"/>
                          <w:marTop w:val="0"/>
                          <w:marBottom w:val="0"/>
                          <w:divBdr>
                            <w:top w:val="none" w:sz="0" w:space="0" w:color="auto"/>
                            <w:left w:val="none" w:sz="0" w:space="0" w:color="auto"/>
                            <w:bottom w:val="none" w:sz="0" w:space="0" w:color="auto"/>
                            <w:right w:val="none" w:sz="0" w:space="0" w:color="auto"/>
                          </w:divBdr>
                          <w:divsChild>
                            <w:div w:id="7414248">
                              <w:marLeft w:val="0"/>
                              <w:marRight w:val="0"/>
                              <w:marTop w:val="0"/>
                              <w:marBottom w:val="0"/>
                              <w:divBdr>
                                <w:top w:val="none" w:sz="0" w:space="0" w:color="auto"/>
                                <w:left w:val="none" w:sz="0" w:space="0" w:color="auto"/>
                                <w:bottom w:val="none" w:sz="0" w:space="0" w:color="auto"/>
                                <w:right w:val="none" w:sz="0" w:space="0" w:color="auto"/>
                              </w:divBdr>
                              <w:divsChild>
                                <w:div w:id="994139729">
                                  <w:marLeft w:val="0"/>
                                  <w:marRight w:val="0"/>
                                  <w:marTop w:val="0"/>
                                  <w:marBottom w:val="0"/>
                                  <w:divBdr>
                                    <w:top w:val="none" w:sz="0" w:space="0" w:color="auto"/>
                                    <w:left w:val="none" w:sz="0" w:space="0" w:color="auto"/>
                                    <w:bottom w:val="none" w:sz="0" w:space="0" w:color="auto"/>
                                    <w:right w:val="none" w:sz="0" w:space="0" w:color="auto"/>
                                  </w:divBdr>
                                  <w:divsChild>
                                    <w:div w:id="575018517">
                                      <w:marLeft w:val="0"/>
                                      <w:marRight w:val="0"/>
                                      <w:marTop w:val="0"/>
                                      <w:marBottom w:val="0"/>
                                      <w:divBdr>
                                        <w:top w:val="none" w:sz="0" w:space="0" w:color="auto"/>
                                        <w:left w:val="none" w:sz="0" w:space="0" w:color="auto"/>
                                        <w:bottom w:val="none" w:sz="0" w:space="0" w:color="auto"/>
                                        <w:right w:val="none" w:sz="0" w:space="0" w:color="auto"/>
                                      </w:divBdr>
                                      <w:divsChild>
                                        <w:div w:id="2043313601">
                                          <w:marLeft w:val="0"/>
                                          <w:marRight w:val="0"/>
                                          <w:marTop w:val="0"/>
                                          <w:marBottom w:val="0"/>
                                          <w:divBdr>
                                            <w:top w:val="none" w:sz="0" w:space="0" w:color="auto"/>
                                            <w:left w:val="none" w:sz="0" w:space="0" w:color="auto"/>
                                            <w:bottom w:val="none" w:sz="0" w:space="0" w:color="auto"/>
                                            <w:right w:val="none" w:sz="0" w:space="0" w:color="auto"/>
                                          </w:divBdr>
                                        </w:div>
                                        <w:div w:id="20247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cfr.gov/cgi-bin/text-idx?SID=daf55667b17b22594bf37857515b4f87&amp;mc=true&amp;node=se38.1.3_1103&amp;rgn=div8" TargetMode="External"/><Relationship Id="rId18" Type="http://schemas.openxmlformats.org/officeDocument/2006/relationships/hyperlink" Target="http://www.ecfr.gov/cgi-bin/text-idx?SID=fb6d5e02996f229227593ea52da3e105&amp;mc=true&amp;node=se38.1.3_1105&amp;rgn=div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vbaw.vba.va.gov/VBMS/Resources_Job_Aids.as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cfr.gov/cgi-bin/text-idx?SID=fb6d5e02996f229227593ea52da3e105&amp;mc=true&amp;node=se38.1.3_1105&amp;rgn=div8"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cfr.gov/cgi-bin/text-idx?SID=fb6d5e02996f229227593ea52da3e105&amp;mc=true&amp;node=se38.1.3_1103&amp;rgn=div8" TargetMode="External"/><Relationship Id="rId20" Type="http://schemas.openxmlformats.org/officeDocument/2006/relationships/hyperlink" Target="http://www.ecfr.gov/cgi-bin/text-idx?SID=f7bbcdf1dbe8a9630d3ae7528ae4bb72&amp;mc=true&amp;node=se38.1.3_1105&amp;rgn=div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ecfr.gov/cgi-bin/text-idx?SID=fb6d5e02996f229227593ea52da3e105&amp;mc=true&amp;node=se38.1.3_1103&amp;rgn=div8"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ecfr.gov/cgi-bin/text-idx?SID=fb6d5e02996f229227593ea52da3e105&amp;mc=true&amp;node=se38.1.3_1105&amp;rgn=div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cfr.gov/cgi-bin/text-idx?SID=fb6d5e02996f229227593ea52da3e105&amp;mc=true&amp;node=se38.1.3_1103&amp;rgn=div8" TargetMode="External"/><Relationship Id="rId22" Type="http://schemas.openxmlformats.org/officeDocument/2006/relationships/header" Target="head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2EFD-A984-4A1B-A8B1-12F9E1232730}">
  <ds:schemaRefs>
    <ds:schemaRef ds:uri="http://schemas.microsoft.com/office/2006/metadata/longProperties"/>
  </ds:schemaRefs>
</ds:datastoreItem>
</file>

<file path=customXml/itemProps2.xml><?xml version="1.0" encoding="utf-8"?>
<ds:datastoreItem xmlns:ds="http://schemas.openxmlformats.org/officeDocument/2006/customXml" ds:itemID="{F7A46048-45DA-4213-9B0C-2707AF79C10C}">
  <ds:schemaRefs>
    <ds:schemaRef ds:uri="http://schemas.microsoft.com/sharepoint/v3/contenttype/forms"/>
  </ds:schemaRefs>
</ds:datastoreItem>
</file>

<file path=customXml/itemProps3.xml><?xml version="1.0" encoding="utf-8"?>
<ds:datastoreItem xmlns:ds="http://schemas.openxmlformats.org/officeDocument/2006/customXml" ds:itemID="{E046AFF2-9D01-4B99-B5DD-350AB66E7E9A}">
  <ds:schemaRefs>
    <ds:schemaRef ds:uri="http://schemas.microsoft.com/office/2006/metadata/properties"/>
    <ds:schemaRef ds:uri="http://schemas.microsoft.com/office/2006/documentManagement/types"/>
    <ds:schemaRef ds:uri="b438dcf7-3998-4283-b7fc-0ec6fa8e430f"/>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6D1CD87-1905-4C1D-BB1E-5DC8EF423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473806-6856-4B75-8B96-6C163745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296</TotalTime>
  <Pages>25</Pages>
  <Words>6275</Words>
  <Characters>35386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Chapter 4. Regional Office (RO) Hearings (U.S. Department of Veterans Affairs)</vt:lpstr>
    </vt:vector>
  </TitlesOfParts>
  <Company>Dept. of Veterans Affairs</Company>
  <LinksUpToDate>false</LinksUpToDate>
  <CharactersWithSpaces>41578</CharactersWithSpaces>
  <SharedDoc>false</SharedDoc>
  <HLinks>
    <vt:vector size="54" baseType="variant">
      <vt:variant>
        <vt:i4>6488118</vt:i4>
      </vt:variant>
      <vt:variant>
        <vt:i4>24</vt:i4>
      </vt:variant>
      <vt:variant>
        <vt:i4>0</vt:i4>
      </vt:variant>
      <vt:variant>
        <vt:i4>5</vt:i4>
      </vt:variant>
      <vt:variant>
        <vt:lpwstr>http://vbaw.vba.va.gov/VBMS/Resources_Job_Aids.asp</vt:lpwstr>
      </vt:variant>
      <vt:variant>
        <vt:lpwstr/>
      </vt:variant>
      <vt:variant>
        <vt:i4>4325464</vt:i4>
      </vt:variant>
      <vt:variant>
        <vt:i4>21</vt:i4>
      </vt:variant>
      <vt:variant>
        <vt:i4>0</vt:i4>
      </vt:variant>
      <vt:variant>
        <vt:i4>5</vt:i4>
      </vt:variant>
      <vt:variant>
        <vt:lpwstr>https://www.law.cornell.edu/rules/fre</vt:lpwstr>
      </vt:variant>
      <vt:variant>
        <vt:lpwstr/>
      </vt:variant>
      <vt:variant>
        <vt:i4>2228288</vt:i4>
      </vt:variant>
      <vt:variant>
        <vt:i4>18</vt:i4>
      </vt:variant>
      <vt:variant>
        <vt:i4>0</vt:i4>
      </vt:variant>
      <vt:variant>
        <vt:i4>5</vt:i4>
      </vt:variant>
      <vt:variant>
        <vt:lpwstr>http://www.ecfr.gov/cgi-bin/text-idx?SID=fb6d5e02996f229227593ea52da3e105&amp;mc=true&amp;node=se38.1.3_1105&amp;rgn=div8</vt:lpwstr>
      </vt:variant>
      <vt:variant>
        <vt:lpwstr/>
      </vt:variant>
      <vt:variant>
        <vt:i4>2228288</vt:i4>
      </vt:variant>
      <vt:variant>
        <vt:i4>15</vt:i4>
      </vt:variant>
      <vt:variant>
        <vt:i4>0</vt:i4>
      </vt:variant>
      <vt:variant>
        <vt:i4>5</vt:i4>
      </vt:variant>
      <vt:variant>
        <vt:lpwstr>http://www.ecfr.gov/cgi-bin/text-idx?SID=fb6d5e02996f229227593ea52da3e105&amp;mc=true&amp;node=se38.1.3_1105&amp;rgn=div8</vt:lpwstr>
      </vt:variant>
      <vt:variant>
        <vt:lpwstr/>
      </vt:variant>
      <vt:variant>
        <vt:i4>2228288</vt:i4>
      </vt:variant>
      <vt:variant>
        <vt:i4>12</vt:i4>
      </vt:variant>
      <vt:variant>
        <vt:i4>0</vt:i4>
      </vt:variant>
      <vt:variant>
        <vt:i4>5</vt:i4>
      </vt:variant>
      <vt:variant>
        <vt:lpwstr>http://www.ecfr.gov/cgi-bin/text-idx?SID=fb6d5e02996f229227593ea52da3e105&amp;mc=true&amp;node=se38.1.3_1105&amp;rgn=div8</vt:lpwstr>
      </vt:variant>
      <vt:variant>
        <vt:lpwstr/>
      </vt:variant>
      <vt:variant>
        <vt:i4>2359360</vt:i4>
      </vt:variant>
      <vt:variant>
        <vt:i4>9</vt:i4>
      </vt:variant>
      <vt:variant>
        <vt:i4>0</vt:i4>
      </vt:variant>
      <vt:variant>
        <vt:i4>5</vt:i4>
      </vt:variant>
      <vt:variant>
        <vt:lpwstr>http://www.ecfr.gov/cgi-bin/text-idx?SID=fb6d5e02996f229227593ea52da3e105&amp;mc=true&amp;node=se38.1.3_1103&amp;rgn=div8</vt:lpwstr>
      </vt:variant>
      <vt:variant>
        <vt:lpwstr/>
      </vt:variant>
      <vt:variant>
        <vt:i4>2359360</vt:i4>
      </vt:variant>
      <vt:variant>
        <vt:i4>6</vt:i4>
      </vt:variant>
      <vt:variant>
        <vt:i4>0</vt:i4>
      </vt:variant>
      <vt:variant>
        <vt:i4>5</vt:i4>
      </vt:variant>
      <vt:variant>
        <vt:lpwstr>http://www.ecfr.gov/cgi-bin/text-idx?SID=fb6d5e02996f229227593ea52da3e105&amp;mc=true&amp;node=se38.1.3_1103&amp;rgn=div8</vt:lpwstr>
      </vt:variant>
      <vt:variant>
        <vt:lpwstr/>
      </vt:variant>
      <vt:variant>
        <vt:i4>2359360</vt:i4>
      </vt:variant>
      <vt:variant>
        <vt:i4>3</vt:i4>
      </vt:variant>
      <vt:variant>
        <vt:i4>0</vt:i4>
      </vt:variant>
      <vt:variant>
        <vt:i4>5</vt:i4>
      </vt:variant>
      <vt:variant>
        <vt:lpwstr>http://www.ecfr.gov/cgi-bin/text-idx?SID=fb6d5e02996f229227593ea52da3e105&amp;mc=true&amp;node=se38.1.3_1103&amp;rgn=div8</vt:lpwstr>
      </vt:variant>
      <vt:variant>
        <vt:lpwstr/>
      </vt:variant>
      <vt:variant>
        <vt:i4>2686994</vt:i4>
      </vt:variant>
      <vt:variant>
        <vt:i4>0</vt:i4>
      </vt:variant>
      <vt:variant>
        <vt:i4>0</vt:i4>
      </vt:variant>
      <vt:variant>
        <vt:i4>5</vt:i4>
      </vt:variant>
      <vt:variant>
        <vt:lpwstr>http://www.ecfr.gov/cgi-bin/text-idx?SID=daf55667b17b22594bf37857515b4f87&amp;mc=true&amp;node=se38.1.3_1103&amp;rgn=div8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Regional Office (RO) Hearings (U.S. Department of Veterans Affairs)</dc:title>
  <dc:subject>Hearings</dc:subject>
  <dc:creator>adjatoml</dc:creator>
  <cp:keywords>hearings, testimony, evidence, pre-decisional, post-decisional, DRO</cp:keywords>
  <dc:description>Topics on hearings including policies and definitions</dc:description>
  <cp:lastModifiedBy>CAPLMAZA</cp:lastModifiedBy>
  <cp:revision>9</cp:revision>
  <cp:lastPrinted>2011-09-21T15:12:00Z</cp:lastPrinted>
  <dcterms:created xsi:type="dcterms:W3CDTF">2016-02-23T15:55:00Z</dcterms:created>
  <dcterms:modified xsi:type="dcterms:W3CDTF">2016-03-01T19:59:00Z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Type">
    <vt:lpwstr>Manual</vt:lpwstr>
  </property>
  <property fmtid="{D5CDD505-2E9C-101B-9397-08002B2CF9AE}" pid="4" name="DateCreated">
    <vt:lpwstr>2005</vt:lpwstr>
  </property>
  <property fmtid="{D5CDD505-2E9C-101B-9397-08002B2CF9AE}" pid="5" name="DateReviewed">
    <vt:lpwstr>20151016</vt:lpwstr>
  </property>
  <property fmtid="{D5CDD505-2E9C-101B-9397-08002B2CF9AE}" pid="6" name="Language">
    <vt:lpwstr>en</vt:lpwstr>
  </property>
  <property fmtid="{D5CDD505-2E9C-101B-9397-08002B2CF9AE}" pid="7" name="ContentTypeId">
    <vt:lpwstr>0x010100A3776AF772BF364D8E899CBB1EA8E540</vt:lpwstr>
  </property>
  <property fmtid="{D5CDD505-2E9C-101B-9397-08002B2CF9AE}" pid="8" name="Order0">
    <vt:r8>1</vt:r8>
  </property>
</Properties>
</file>