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6FBB" w14:textId="2335466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13723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137231">
        <w:rPr>
          <w:rFonts w:ascii="Times New Roman" w:hAnsi="Times New Roman"/>
          <w:sz w:val="20"/>
        </w:rPr>
        <w:t>Chapter 3</w:t>
      </w:r>
    </w:p>
    <w:p w14:paraId="665B3A0A" w14:textId="4729764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0C236B">
        <w:rPr>
          <w:b/>
          <w:bCs/>
          <w:sz w:val="20"/>
        </w:rPr>
        <w:t>July 29, 2015</w:t>
      </w:r>
      <w:r>
        <w:rPr>
          <w:b/>
          <w:bCs/>
          <w:sz w:val="20"/>
        </w:rPr>
        <w:tab/>
      </w:r>
    </w:p>
    <w:p w14:paraId="54CE7B0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053B7BB" w14:textId="77777777" w:rsidR="00504F80" w:rsidRDefault="00504F80" w:rsidP="00504F80">
      <w:pPr>
        <w:rPr>
          <w:b/>
          <w:bCs/>
          <w:sz w:val="20"/>
        </w:rPr>
      </w:pPr>
    </w:p>
    <w:p w14:paraId="76BC4D22" w14:textId="77777777" w:rsidR="00504F80" w:rsidRDefault="00504F80" w:rsidP="00504F80">
      <w:pPr>
        <w:pStyle w:val="Heading4"/>
      </w:pPr>
      <w:r>
        <w:t xml:space="preserve">Transmittal Sheet </w:t>
      </w:r>
    </w:p>
    <w:p w14:paraId="30E8072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7F2DC65" w14:textId="77777777" w:rsidTr="00C24D50">
        <w:tc>
          <w:tcPr>
            <w:tcW w:w="1728" w:type="dxa"/>
          </w:tcPr>
          <w:p w14:paraId="5066B83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FB6AC91" w14:textId="5285C18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137231">
              <w:t>Claimant Rights and Responsibilities,” Chapter 3 “Power of Attorney.”</w:t>
            </w:r>
          </w:p>
          <w:p w14:paraId="6E06F73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C45D55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E162979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341C9A4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3DE18BB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0BAD8E9" w14:textId="77777777" w:rsidR="00A403A5" w:rsidRDefault="00A403A5" w:rsidP="00237C22">
            <w:pPr>
              <w:pStyle w:val="BulletText2"/>
              <w:tabs>
                <w:tab w:val="num" w:pos="547"/>
              </w:tabs>
            </w:pPr>
            <w:r>
              <w:t>renumber topics within the section so that the section starts with topic 1</w:t>
            </w:r>
          </w:p>
          <w:p w14:paraId="6B2010CC" w14:textId="77777777" w:rsidR="00ED7870" w:rsidRDefault="00ED7870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8315E1E" w14:textId="77777777" w:rsidR="00504F80" w:rsidRDefault="00A403A5" w:rsidP="00237C22">
            <w:pPr>
              <w:pStyle w:val="BulletText2"/>
              <w:tabs>
                <w:tab w:val="num" w:pos="547"/>
              </w:tabs>
            </w:pPr>
            <w:r>
              <w:t xml:space="preserve">reassign alphabetical designations to individual blocks to account for new and/or deleted blocks within a topic </w:t>
            </w:r>
            <w:r w:rsidR="00504F80">
              <w:t>update obsolete terminology, where appropriate</w:t>
            </w:r>
          </w:p>
          <w:p w14:paraId="28F4700E" w14:textId="77777777" w:rsidR="00A403A5" w:rsidRDefault="00A403A5" w:rsidP="00237C22">
            <w:pPr>
              <w:pStyle w:val="BulletText2"/>
              <w:tabs>
                <w:tab w:val="num" w:pos="547"/>
              </w:tabs>
            </w:pPr>
            <w:r>
              <w:t>clarify block labels and/or block text,</w:t>
            </w:r>
          </w:p>
          <w:p w14:paraId="447B83AE" w14:textId="77777777" w:rsidR="00624396" w:rsidRDefault="00624396" w:rsidP="00237C22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A403A5">
              <w:t>terminology</w:t>
            </w:r>
          </w:p>
          <w:p w14:paraId="517785B3" w14:textId="77777777" w:rsidR="00624396" w:rsidRDefault="00624396" w:rsidP="00624396">
            <w:pPr>
              <w:pStyle w:val="BulletText2"/>
              <w:tabs>
                <w:tab w:val="num" w:pos="547"/>
              </w:tabs>
            </w:pPr>
            <w:r>
              <w:t>update incorrect or obsolete hyperlink references, and</w:t>
            </w:r>
          </w:p>
          <w:p w14:paraId="7150F58C" w14:textId="7445D72D" w:rsidR="00624396" w:rsidRDefault="00624396" w:rsidP="00624396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  <w:p w14:paraId="49E8EDAD" w14:textId="77777777" w:rsidR="00504F80" w:rsidRPr="00EA3A57" w:rsidRDefault="00504F80" w:rsidP="00624396">
            <w:pPr>
              <w:pStyle w:val="BlockText"/>
            </w:pPr>
          </w:p>
        </w:tc>
      </w:tr>
    </w:tbl>
    <w:p w14:paraId="0AFDBA4E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2340"/>
      </w:tblGrid>
      <w:tr w:rsidR="00137231" w14:paraId="7FF7B925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42E0EADF" w14:textId="77777777" w:rsidR="00137231" w:rsidRPr="00C24D50" w:rsidRDefault="00137231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5" w:type="pct"/>
            <w:shd w:val="clear" w:color="auto" w:fill="auto"/>
          </w:tcPr>
          <w:p w14:paraId="499F511E" w14:textId="77777777" w:rsidR="00137231" w:rsidRPr="00C24D50" w:rsidRDefault="00137231" w:rsidP="002F7397">
            <w:pPr>
              <w:pStyle w:val="TableHeaderText"/>
            </w:pPr>
            <w:r w:rsidRPr="00C24D50">
              <w:t>Citation</w:t>
            </w:r>
          </w:p>
        </w:tc>
      </w:tr>
      <w:tr w:rsidR="00137231" w14:paraId="3EBE7302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D86CB0F" w14:textId="77777777" w:rsidR="00137231" w:rsidRDefault="00137231" w:rsidP="00137231">
            <w:pPr>
              <w:pStyle w:val="BulletText1"/>
            </w:pPr>
            <w:r>
              <w:t>To add several items of guidance on authority for payment of fees.</w:t>
            </w:r>
          </w:p>
          <w:p w14:paraId="1728D9A4" w14:textId="444A258D" w:rsidR="00137231" w:rsidRPr="00C24D50" w:rsidRDefault="00F64279" w:rsidP="00F64279">
            <w:pPr>
              <w:pStyle w:val="BulletText1"/>
            </w:pPr>
            <w:r>
              <w:t>To add</w:t>
            </w:r>
            <w:r w:rsidR="005D11D2">
              <w:t xml:space="preserve"> references</w:t>
            </w:r>
            <w:r w:rsidR="00137231">
              <w:t>.</w:t>
            </w:r>
          </w:p>
        </w:tc>
        <w:tc>
          <w:tcPr>
            <w:tcW w:w="1255" w:type="pct"/>
            <w:shd w:val="clear" w:color="auto" w:fill="auto"/>
          </w:tcPr>
          <w:p w14:paraId="15321E3B" w14:textId="77777777" w:rsidR="00137231" w:rsidRPr="00C24D50" w:rsidRDefault="00137231" w:rsidP="002F7397">
            <w:pPr>
              <w:pStyle w:val="TableText"/>
            </w:pPr>
            <w:r>
              <w:t>M21-1, Part I, Chapter 3, Section C, Topic 1, block a (I.3.C.1.a.)</w:t>
            </w:r>
          </w:p>
        </w:tc>
      </w:tr>
      <w:tr w:rsidR="00137231" w14:paraId="307F3DD4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B4EE8B2" w14:textId="5E59FE34" w:rsidR="00137231" w:rsidRPr="00C24D50" w:rsidRDefault="00137231" w:rsidP="00F64279">
            <w:pPr>
              <w:pStyle w:val="TableText"/>
            </w:pPr>
            <w:r>
              <w:t>To add a new block on unauthorized solicitation of fees</w:t>
            </w:r>
            <w:r w:rsidR="00F64279">
              <w:t>.</w:t>
            </w:r>
            <w:r w:rsidR="00797C1A">
              <w:t xml:space="preserve"> </w:t>
            </w:r>
          </w:p>
        </w:tc>
        <w:tc>
          <w:tcPr>
            <w:tcW w:w="1255" w:type="pct"/>
            <w:shd w:val="clear" w:color="auto" w:fill="auto"/>
          </w:tcPr>
          <w:p w14:paraId="0D41CDC2" w14:textId="77777777" w:rsidR="00137231" w:rsidRPr="00C24D50" w:rsidRDefault="00797C1A" w:rsidP="002F7397">
            <w:pPr>
              <w:pStyle w:val="TableText"/>
            </w:pPr>
            <w:r>
              <w:t>I.3.C.1.b</w:t>
            </w:r>
          </w:p>
        </w:tc>
      </w:tr>
      <w:tr w:rsidR="00137231" w14:paraId="537B635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1C73CA41" w14:textId="77777777" w:rsidR="00137231" w:rsidRPr="00C24D50" w:rsidRDefault="00797C1A" w:rsidP="00797C1A">
            <w:pPr>
              <w:pStyle w:val="TableText"/>
            </w:pPr>
            <w:r>
              <w:t>To add references.</w:t>
            </w:r>
          </w:p>
        </w:tc>
        <w:tc>
          <w:tcPr>
            <w:tcW w:w="1255" w:type="pct"/>
            <w:shd w:val="clear" w:color="auto" w:fill="auto"/>
          </w:tcPr>
          <w:p w14:paraId="2122EA18" w14:textId="77777777" w:rsidR="00137231" w:rsidRPr="00C24D50" w:rsidRDefault="00797C1A" w:rsidP="002F7397">
            <w:pPr>
              <w:pStyle w:val="TableText"/>
            </w:pPr>
            <w:r>
              <w:t>I.3.C.1.d</w:t>
            </w:r>
          </w:p>
        </w:tc>
      </w:tr>
      <w:tr w:rsidR="00137231" w14:paraId="0F3BF6B0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F9E415E" w14:textId="24BC140D" w:rsidR="00774B4E" w:rsidRDefault="00774B4E" w:rsidP="00985780">
            <w:pPr>
              <w:pStyle w:val="BulletText1"/>
            </w:pPr>
            <w:r>
              <w:t xml:space="preserve">To </w:t>
            </w:r>
            <w:r w:rsidR="00985780">
              <w:t xml:space="preserve">reorganize and </w:t>
            </w:r>
            <w:r>
              <w:t>clarify the guidance on Agent and Attorney Fee Coordinator</w:t>
            </w:r>
            <w:r w:rsidR="007B1738">
              <w:t xml:space="preserve"> (AAFC) </w:t>
            </w:r>
            <w:r>
              <w:t xml:space="preserve">duties </w:t>
            </w:r>
            <w:r w:rsidR="007B1738">
              <w:t>relating to</w:t>
            </w:r>
            <w:r>
              <w:t xml:space="preserve"> analysis of direct-pay fee agreements</w:t>
            </w:r>
            <w:r w:rsidR="007B1738">
              <w:t>.</w:t>
            </w:r>
          </w:p>
          <w:p w14:paraId="353E814D" w14:textId="77777777" w:rsidR="00774B4E" w:rsidRDefault="00774B4E" w:rsidP="00985780">
            <w:pPr>
              <w:pStyle w:val="BulletText1"/>
            </w:pPr>
            <w:r>
              <w:t xml:space="preserve">To add information on </w:t>
            </w:r>
            <w:r w:rsidR="00985780">
              <w:t>paperless processing.</w:t>
            </w:r>
          </w:p>
          <w:p w14:paraId="39F32BC2" w14:textId="77777777" w:rsidR="00985780" w:rsidRDefault="00985780" w:rsidP="00985780">
            <w:pPr>
              <w:pStyle w:val="BulletText1"/>
            </w:pPr>
            <w:r>
              <w:t xml:space="preserve">To update information on notices </w:t>
            </w:r>
            <w:proofErr w:type="gramStart"/>
            <w:r>
              <w:t>that are</w:t>
            </w:r>
            <w:proofErr w:type="gramEnd"/>
            <w:r>
              <w:t xml:space="preserve"> not contained in the Letter Creator.</w:t>
            </w:r>
          </w:p>
          <w:p w14:paraId="40E28193" w14:textId="6697A6DB" w:rsidR="00985780" w:rsidRPr="00C24D50" w:rsidRDefault="007B1738" w:rsidP="007B1738">
            <w:pPr>
              <w:pStyle w:val="BulletText1"/>
            </w:pPr>
            <w:r>
              <w:t>To delete</w:t>
            </w:r>
            <w:r w:rsidR="00985780">
              <w:t xml:space="preserve"> information that is being moved to I.3.C.1.f.</w:t>
            </w:r>
          </w:p>
        </w:tc>
        <w:tc>
          <w:tcPr>
            <w:tcW w:w="1255" w:type="pct"/>
            <w:shd w:val="clear" w:color="auto" w:fill="auto"/>
          </w:tcPr>
          <w:p w14:paraId="4C91C4E9" w14:textId="77777777" w:rsidR="00137231" w:rsidRPr="00C24D50" w:rsidRDefault="00985780" w:rsidP="002F7397">
            <w:pPr>
              <w:pStyle w:val="TableText"/>
            </w:pPr>
            <w:r>
              <w:t>I.3.C.1.e</w:t>
            </w:r>
          </w:p>
        </w:tc>
      </w:tr>
      <w:tr w:rsidR="00137231" w14:paraId="4B867128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A7381D3" w14:textId="5AF53C30" w:rsidR="002419C5" w:rsidRPr="00C24D50" w:rsidRDefault="00985780" w:rsidP="00D562A7">
            <w:pPr>
              <w:pStyle w:val="TableText"/>
            </w:pPr>
            <w:r>
              <w:t xml:space="preserve">To </w:t>
            </w:r>
            <w:r w:rsidR="00D562A7">
              <w:t>add a</w:t>
            </w:r>
            <w:r>
              <w:t xml:space="preserve"> new block on determining whether a valid fee agreement has been submitted based in part on </w:t>
            </w:r>
            <w:r w:rsidR="002419C5">
              <w:t>guidance previously contained in I.3.C.1.d.</w:t>
            </w:r>
          </w:p>
        </w:tc>
        <w:tc>
          <w:tcPr>
            <w:tcW w:w="1255" w:type="pct"/>
            <w:shd w:val="clear" w:color="auto" w:fill="auto"/>
          </w:tcPr>
          <w:p w14:paraId="0C4844DC" w14:textId="77777777" w:rsidR="00137231" w:rsidRPr="00C24D50" w:rsidRDefault="004F26A2" w:rsidP="00933BDB">
            <w:pPr>
              <w:pStyle w:val="TableText"/>
            </w:pPr>
            <w:r>
              <w:t>I.3.C.1.f</w:t>
            </w:r>
          </w:p>
        </w:tc>
      </w:tr>
      <w:tr w:rsidR="00137231" w14:paraId="410D08A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FAFDF13" w14:textId="35E1AFC6" w:rsidR="00137231" w:rsidRPr="00C24D50" w:rsidRDefault="004F26A2" w:rsidP="00D562A7">
            <w:pPr>
              <w:pStyle w:val="TableText"/>
            </w:pPr>
            <w:r>
              <w:t xml:space="preserve">To </w:t>
            </w:r>
            <w:r w:rsidR="00D562A7">
              <w:t xml:space="preserve">add a </w:t>
            </w:r>
            <w:r>
              <w:t>new block on determining whether direct payment of fees is at issue based on material located from old topic 16, block a.</w:t>
            </w:r>
          </w:p>
        </w:tc>
        <w:tc>
          <w:tcPr>
            <w:tcW w:w="1255" w:type="pct"/>
            <w:shd w:val="clear" w:color="auto" w:fill="auto"/>
          </w:tcPr>
          <w:p w14:paraId="190DCA0D" w14:textId="77777777" w:rsidR="00137231" w:rsidRPr="00C24D50" w:rsidRDefault="004F26A2" w:rsidP="00933BDB">
            <w:pPr>
              <w:pStyle w:val="TableText"/>
            </w:pPr>
            <w:r>
              <w:t>I.3.C.1.g</w:t>
            </w:r>
          </w:p>
        </w:tc>
      </w:tr>
      <w:tr w:rsidR="00062200" w14:paraId="03A91DD1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C119D6D" w14:textId="77777777" w:rsidR="00062200" w:rsidRDefault="00B107BA" w:rsidP="00062200">
            <w:pPr>
              <w:pStyle w:val="TableText"/>
            </w:pPr>
            <w:r>
              <w:t xml:space="preserve">To delete existing blocks e and f (old topic 14) </w:t>
            </w:r>
            <w:r w:rsidR="00062200">
              <w:t xml:space="preserve">on the process of </w:t>
            </w:r>
            <w:r w:rsidR="00062200">
              <w:lastRenderedPageBreak/>
              <w:t>paying fees from past due benefits and the direct payment of fees when appointment of a fiduciary is pending as these blocks will be relocated to a new topic 2.</w:t>
            </w:r>
          </w:p>
        </w:tc>
        <w:tc>
          <w:tcPr>
            <w:tcW w:w="1255" w:type="pct"/>
            <w:shd w:val="clear" w:color="auto" w:fill="auto"/>
          </w:tcPr>
          <w:p w14:paraId="3AD11F43" w14:textId="77777777" w:rsidR="00062200" w:rsidRDefault="00062200" w:rsidP="00933BDB">
            <w:pPr>
              <w:pStyle w:val="TableText"/>
            </w:pPr>
            <w:r>
              <w:lastRenderedPageBreak/>
              <w:t>I.3.C.1</w:t>
            </w:r>
          </w:p>
        </w:tc>
      </w:tr>
      <w:tr w:rsidR="004F26A2" w14:paraId="65BDC62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9E9918D" w14:textId="77777777" w:rsidR="004F26A2" w:rsidRPr="00C24D50" w:rsidRDefault="004F26A2" w:rsidP="004F26A2">
            <w:pPr>
              <w:pStyle w:val="TableText"/>
            </w:pPr>
            <w:r>
              <w:lastRenderedPageBreak/>
              <w:t xml:space="preserve">To create a new topic on the process of payment of fees directly from past due benefits based on information previously in the first topic (old 14) </w:t>
            </w:r>
          </w:p>
        </w:tc>
        <w:tc>
          <w:tcPr>
            <w:tcW w:w="1255" w:type="pct"/>
            <w:shd w:val="clear" w:color="auto" w:fill="auto"/>
          </w:tcPr>
          <w:p w14:paraId="608191A8" w14:textId="77777777" w:rsidR="004F26A2" w:rsidRDefault="004F26A2" w:rsidP="00933BDB">
            <w:pPr>
              <w:pStyle w:val="TableText"/>
            </w:pPr>
            <w:r>
              <w:t>I.3.C.2</w:t>
            </w:r>
          </w:p>
        </w:tc>
      </w:tr>
      <w:tr w:rsidR="00137231" w14:paraId="60F1686E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C67A421" w14:textId="18338712" w:rsidR="00137231" w:rsidRPr="00C24D50" w:rsidRDefault="002473F4" w:rsidP="00D562A7">
            <w:pPr>
              <w:pStyle w:val="TableText"/>
            </w:pPr>
            <w:r>
              <w:t xml:space="preserve">To </w:t>
            </w:r>
            <w:r w:rsidR="00D562A7">
              <w:t>add a</w:t>
            </w:r>
            <w:r>
              <w:t xml:space="preserve"> new block on the direct fee payment </w:t>
            </w:r>
            <w:proofErr w:type="gramStart"/>
            <w:r>
              <w:t>process,</w:t>
            </w:r>
            <w:proofErr w:type="gramEnd"/>
            <w:r>
              <w:t xml:space="preserve"> relocated from the first topic (old 14).</w:t>
            </w:r>
          </w:p>
        </w:tc>
        <w:tc>
          <w:tcPr>
            <w:tcW w:w="1255" w:type="pct"/>
            <w:shd w:val="clear" w:color="auto" w:fill="auto"/>
          </w:tcPr>
          <w:p w14:paraId="6F105748" w14:textId="77777777" w:rsidR="00137231" w:rsidRPr="00C24D50" w:rsidRDefault="004F26A2" w:rsidP="00933BDB">
            <w:pPr>
              <w:pStyle w:val="TableText"/>
            </w:pPr>
            <w:r>
              <w:t>I.3.C.2.a</w:t>
            </w:r>
          </w:p>
        </w:tc>
      </w:tr>
      <w:tr w:rsidR="00137231" w14:paraId="3420EEB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84026CB" w14:textId="646F7B0E" w:rsidR="00137231" w:rsidRPr="00C24D50" w:rsidRDefault="002473F4" w:rsidP="00D562A7">
            <w:pPr>
              <w:pStyle w:val="TableText"/>
            </w:pPr>
            <w:r>
              <w:t xml:space="preserve">To </w:t>
            </w:r>
            <w:r w:rsidR="00D562A7">
              <w:t>add a</w:t>
            </w:r>
            <w:r>
              <w:t xml:space="preserve"> new block on direct payment of fees when appointment of a fiduciary is pending</w:t>
            </w:r>
            <w:r w:rsidR="007B1738">
              <w:t>, that was</w:t>
            </w:r>
            <w:r>
              <w:t xml:space="preserve"> relocated from the first topic (old 14). </w:t>
            </w:r>
          </w:p>
        </w:tc>
        <w:tc>
          <w:tcPr>
            <w:tcW w:w="1255" w:type="pct"/>
            <w:shd w:val="clear" w:color="auto" w:fill="auto"/>
          </w:tcPr>
          <w:p w14:paraId="401D03A0" w14:textId="77777777" w:rsidR="00137231" w:rsidRPr="00C24D50" w:rsidRDefault="004F26A2" w:rsidP="00933BDB">
            <w:pPr>
              <w:pStyle w:val="TableText"/>
            </w:pPr>
            <w:r>
              <w:t>I.3.C.2.b</w:t>
            </w:r>
          </w:p>
        </w:tc>
      </w:tr>
      <w:tr w:rsidR="004F26A2" w14:paraId="49845AE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E7290EF" w14:textId="77777777" w:rsidR="004F26A2" w:rsidRDefault="00730E0C" w:rsidP="00324018">
            <w:pPr>
              <w:pStyle w:val="BulletText1"/>
            </w:pPr>
            <w:r>
              <w:t xml:space="preserve">To move information from the block text to a table on when to withhold a portion of past due benefits for potential payment of fees before making an attorney or agent fee eligibility decision and sending notice as provided in the next topic. </w:t>
            </w:r>
          </w:p>
          <w:p w14:paraId="3C2F1257" w14:textId="77777777" w:rsidR="00324018" w:rsidRDefault="00324018" w:rsidP="00324018">
            <w:pPr>
              <w:pStyle w:val="BulletText1"/>
            </w:pPr>
            <w:r>
              <w:t xml:space="preserve">To clarify that the policy on withholding applies each time the amount of past due benefits arising from a particular rating changes.  </w:t>
            </w:r>
          </w:p>
          <w:p w14:paraId="74DF74A2" w14:textId="03039A58" w:rsidR="00324018" w:rsidRPr="00C24D50" w:rsidRDefault="00324018" w:rsidP="00950411">
            <w:pPr>
              <w:pStyle w:val="BulletText1"/>
            </w:pPr>
            <w:r>
              <w:t xml:space="preserve">To add references </w:t>
            </w:r>
          </w:p>
        </w:tc>
        <w:tc>
          <w:tcPr>
            <w:tcW w:w="1255" w:type="pct"/>
            <w:shd w:val="clear" w:color="auto" w:fill="auto"/>
          </w:tcPr>
          <w:p w14:paraId="3B8A73AC" w14:textId="77777777" w:rsidR="004F26A2" w:rsidRPr="00C24D50" w:rsidRDefault="00945712" w:rsidP="00933BDB">
            <w:pPr>
              <w:pStyle w:val="TableText"/>
            </w:pPr>
            <w:r>
              <w:t>I.3.C.3.a</w:t>
            </w:r>
          </w:p>
        </w:tc>
      </w:tr>
      <w:tr w:rsidR="004F26A2" w14:paraId="206916A4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59F824A" w14:textId="77777777" w:rsidR="004F26A2" w:rsidRPr="00C24D50" w:rsidRDefault="00324018" w:rsidP="00324018">
            <w:pPr>
              <w:pStyle w:val="TableText"/>
            </w:pPr>
            <w:r>
              <w:t xml:space="preserve">To provide updated information on sending the correct decision notice using the Letter Creator.  </w:t>
            </w:r>
          </w:p>
        </w:tc>
        <w:tc>
          <w:tcPr>
            <w:tcW w:w="1255" w:type="pct"/>
            <w:shd w:val="clear" w:color="auto" w:fill="auto"/>
          </w:tcPr>
          <w:p w14:paraId="03564A32" w14:textId="77777777" w:rsidR="004F26A2" w:rsidRPr="00C24D50" w:rsidRDefault="00945712" w:rsidP="00933BDB">
            <w:pPr>
              <w:pStyle w:val="TableText"/>
            </w:pPr>
            <w:r>
              <w:t>I.3.C.3.b</w:t>
            </w:r>
          </w:p>
        </w:tc>
      </w:tr>
      <w:tr w:rsidR="004F26A2" w14:paraId="73AB45FC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A964713" w14:textId="3550412B" w:rsidR="004F26A2" w:rsidRPr="00C24D50" w:rsidRDefault="00324018" w:rsidP="00D562A7">
            <w:pPr>
              <w:pStyle w:val="TableText"/>
            </w:pPr>
            <w:r>
              <w:t xml:space="preserve">To </w:t>
            </w:r>
            <w:r w:rsidR="00D562A7">
              <w:t>add</w:t>
            </w:r>
            <w:r>
              <w:t xml:space="preserve"> a new block on the appropriate period to use when calculating past due benefits. </w:t>
            </w:r>
          </w:p>
        </w:tc>
        <w:tc>
          <w:tcPr>
            <w:tcW w:w="1255" w:type="pct"/>
            <w:shd w:val="clear" w:color="auto" w:fill="auto"/>
          </w:tcPr>
          <w:p w14:paraId="72319843" w14:textId="77777777" w:rsidR="004F26A2" w:rsidRPr="00C24D50" w:rsidRDefault="00945712" w:rsidP="00933BDB">
            <w:pPr>
              <w:pStyle w:val="TableText"/>
            </w:pPr>
            <w:r>
              <w:t>I.3.C.3.c</w:t>
            </w:r>
          </w:p>
        </w:tc>
      </w:tr>
      <w:tr w:rsidR="004F26A2" w14:paraId="4712D36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CA8DA4C" w14:textId="1A0B2DE4" w:rsidR="000A311D" w:rsidRPr="00C24D50" w:rsidRDefault="000A311D" w:rsidP="00F64279">
            <w:pPr>
              <w:pStyle w:val="TableText"/>
            </w:pPr>
            <w:r>
              <w:t xml:space="preserve">To </w:t>
            </w:r>
            <w:r w:rsidR="00D562A7">
              <w:t>add</w:t>
            </w:r>
            <w:r>
              <w:t xml:space="preserve"> a new block</w:t>
            </w:r>
            <w:r w:rsidR="00925D98">
              <w:t xml:space="preserve"> </w:t>
            </w:r>
            <w:r w:rsidR="00F64279">
              <w:t xml:space="preserve">based on existing material, regarding </w:t>
            </w:r>
            <w:r>
              <w:t>how to calculate the amount of past due benefits for</w:t>
            </w:r>
            <w:r w:rsidRPr="000A311D">
              <w:t xml:space="preserve"> the purpose of withholding amounts for potential direct payment of fees when the award requires a reduction or offse</w:t>
            </w:r>
            <w:r>
              <w:t xml:space="preserve">t. </w:t>
            </w:r>
          </w:p>
        </w:tc>
        <w:tc>
          <w:tcPr>
            <w:tcW w:w="1255" w:type="pct"/>
            <w:shd w:val="clear" w:color="auto" w:fill="auto"/>
          </w:tcPr>
          <w:p w14:paraId="44CB51ED" w14:textId="77777777" w:rsidR="004F26A2" w:rsidRPr="00C24D50" w:rsidRDefault="00945712" w:rsidP="00933BDB">
            <w:pPr>
              <w:pStyle w:val="TableText"/>
            </w:pPr>
            <w:r>
              <w:t>I.3.C.3.d</w:t>
            </w:r>
          </w:p>
        </w:tc>
      </w:tr>
      <w:tr w:rsidR="004F26A2" w14:paraId="6096193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844FC3F" w14:textId="425269BC" w:rsidR="004F26A2" w:rsidRPr="00C24D50" w:rsidRDefault="000A311D" w:rsidP="00D562A7">
            <w:pPr>
              <w:pStyle w:val="TableText"/>
            </w:pPr>
            <w:r>
              <w:t>To</w:t>
            </w:r>
            <w:r w:rsidR="00D562A7">
              <w:t xml:space="preserve"> add</w:t>
            </w:r>
            <w:r>
              <w:t xml:space="preserve"> a new block on making a direct pay fee decision based on the past-due benefit calculation.</w:t>
            </w:r>
          </w:p>
        </w:tc>
        <w:tc>
          <w:tcPr>
            <w:tcW w:w="1255" w:type="pct"/>
            <w:shd w:val="clear" w:color="auto" w:fill="auto"/>
          </w:tcPr>
          <w:p w14:paraId="498DD0F5" w14:textId="77777777" w:rsidR="004F26A2" w:rsidRPr="00C24D50" w:rsidRDefault="00945712" w:rsidP="00933BDB">
            <w:pPr>
              <w:pStyle w:val="TableText"/>
            </w:pPr>
            <w:r>
              <w:t>I.3.C.3.e</w:t>
            </w:r>
          </w:p>
        </w:tc>
      </w:tr>
      <w:tr w:rsidR="004F26A2" w14:paraId="6464AB3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9519D54" w14:textId="77777777" w:rsidR="004F26A2" w:rsidRPr="00C24D50" w:rsidRDefault="00062200" w:rsidP="00062200">
            <w:pPr>
              <w:pStyle w:val="TableText"/>
            </w:pPr>
            <w:r>
              <w:t xml:space="preserve">To update the block to reflect that withholding will now be via VBMS rather than VETSNET.  </w:t>
            </w:r>
          </w:p>
        </w:tc>
        <w:tc>
          <w:tcPr>
            <w:tcW w:w="1255" w:type="pct"/>
            <w:shd w:val="clear" w:color="auto" w:fill="auto"/>
          </w:tcPr>
          <w:p w14:paraId="4B0D9D9F" w14:textId="77777777" w:rsidR="004F26A2" w:rsidRPr="00C24D50" w:rsidRDefault="00945712" w:rsidP="00933BDB">
            <w:pPr>
              <w:pStyle w:val="TableText"/>
            </w:pPr>
            <w:r>
              <w:t>I.3.C.3.f</w:t>
            </w:r>
          </w:p>
        </w:tc>
      </w:tr>
      <w:tr w:rsidR="004F26A2" w14:paraId="3CC5785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5091747" w14:textId="77777777" w:rsidR="004F26A2" w:rsidRDefault="00062200" w:rsidP="00DF6805">
            <w:pPr>
              <w:pStyle w:val="BulletText1"/>
            </w:pPr>
            <w:r>
              <w:t xml:space="preserve">To remove obsolete content on processing an award in BDN and VETSNET. </w:t>
            </w:r>
          </w:p>
          <w:p w14:paraId="48CEBE68" w14:textId="77777777" w:rsidR="00062200" w:rsidRPr="00C24D50" w:rsidRDefault="00062200" w:rsidP="00DF6805">
            <w:pPr>
              <w:pStyle w:val="BulletText1"/>
            </w:pPr>
            <w:r>
              <w:t xml:space="preserve">To provide references when authorizing a case involving direct payment of fees from past due amounts awarded to </w:t>
            </w:r>
            <w:r w:rsidR="00DF6805">
              <w:t>an incompetent claimant pending appointment of a fiduciary.</w:t>
            </w:r>
          </w:p>
        </w:tc>
        <w:tc>
          <w:tcPr>
            <w:tcW w:w="1255" w:type="pct"/>
            <w:shd w:val="clear" w:color="auto" w:fill="auto"/>
          </w:tcPr>
          <w:p w14:paraId="3E6B7DCA" w14:textId="77777777" w:rsidR="004F26A2" w:rsidRPr="00C24D50" w:rsidRDefault="00945712" w:rsidP="00933BDB">
            <w:pPr>
              <w:pStyle w:val="TableText"/>
            </w:pPr>
            <w:r>
              <w:t>I.3.C.3.g</w:t>
            </w:r>
          </w:p>
        </w:tc>
      </w:tr>
      <w:tr w:rsidR="00062200" w14:paraId="103E01CE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EA65FCB" w14:textId="77777777" w:rsidR="00062200" w:rsidRPr="00C24D50" w:rsidRDefault="00062200" w:rsidP="00062200">
            <w:pPr>
              <w:pStyle w:val="TableText"/>
            </w:pPr>
            <w:r>
              <w:t xml:space="preserve">To delete existing blocks c and d </w:t>
            </w:r>
            <w:r w:rsidR="00B107BA">
              <w:t xml:space="preserve">(old topic 15) </w:t>
            </w:r>
            <w:r>
              <w:t>which contain obsolete information on withholding via BDN</w:t>
            </w:r>
          </w:p>
        </w:tc>
        <w:tc>
          <w:tcPr>
            <w:tcW w:w="1255" w:type="pct"/>
            <w:shd w:val="clear" w:color="auto" w:fill="auto"/>
          </w:tcPr>
          <w:p w14:paraId="4FB5E5CE" w14:textId="77777777" w:rsidR="00062200" w:rsidRDefault="00062200" w:rsidP="00933BDB">
            <w:pPr>
              <w:pStyle w:val="TableText"/>
            </w:pPr>
            <w:r>
              <w:t>I.3.C.3</w:t>
            </w:r>
          </w:p>
        </w:tc>
      </w:tr>
      <w:tr w:rsidR="004F26A2" w14:paraId="6185D545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5D7F9E1" w14:textId="76373452" w:rsidR="004F26A2" w:rsidRPr="00C24D50" w:rsidRDefault="00925D98" w:rsidP="008B58EB">
            <w:pPr>
              <w:pStyle w:val="TableText"/>
            </w:pPr>
            <w:r>
              <w:t xml:space="preserve">To </w:t>
            </w:r>
            <w:r w:rsidR="008B58EB">
              <w:t>add</w:t>
            </w:r>
            <w:r>
              <w:t xml:space="preserve"> a new block </w:t>
            </w:r>
            <w:r w:rsidR="00C026BD">
              <w:t xml:space="preserve">on the concept </w:t>
            </w:r>
            <w:proofErr w:type="gramStart"/>
            <w:r w:rsidR="00C026BD">
              <w:t>of  the</w:t>
            </w:r>
            <w:proofErr w:type="gramEnd"/>
            <w:r w:rsidR="00C026BD">
              <w:t xml:space="preserve"> </w:t>
            </w:r>
            <w:r w:rsidR="00573613">
              <w:t xml:space="preserve">“case” </w:t>
            </w:r>
            <w:r w:rsidR="00C026BD">
              <w:t xml:space="preserve">on which fee eligibility can be established. </w:t>
            </w:r>
          </w:p>
        </w:tc>
        <w:tc>
          <w:tcPr>
            <w:tcW w:w="1255" w:type="pct"/>
            <w:shd w:val="clear" w:color="auto" w:fill="auto"/>
          </w:tcPr>
          <w:p w14:paraId="3999EF80" w14:textId="77777777" w:rsidR="004F26A2" w:rsidRPr="00C24D50" w:rsidRDefault="00945712" w:rsidP="00933BDB">
            <w:pPr>
              <w:pStyle w:val="TableText"/>
            </w:pPr>
            <w:r>
              <w:t>I.3.C.4.a</w:t>
            </w:r>
          </w:p>
        </w:tc>
      </w:tr>
      <w:tr w:rsidR="004F26A2" w14:paraId="22B61BE1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65394C0" w14:textId="12C077C7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the case concept.  </w:t>
            </w:r>
          </w:p>
        </w:tc>
        <w:tc>
          <w:tcPr>
            <w:tcW w:w="1255" w:type="pct"/>
            <w:shd w:val="clear" w:color="auto" w:fill="auto"/>
          </w:tcPr>
          <w:p w14:paraId="2F7E7E0A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b</w:t>
            </w:r>
          </w:p>
        </w:tc>
      </w:tr>
      <w:tr w:rsidR="004F26A2" w14:paraId="4ABE573B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F583CD6" w14:textId="4A70181D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3722BD20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c</w:t>
            </w:r>
          </w:p>
        </w:tc>
      </w:tr>
      <w:tr w:rsidR="004F26A2" w14:paraId="3B2763A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3254DC6" w14:textId="1736D0EF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49256884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d</w:t>
            </w:r>
          </w:p>
        </w:tc>
      </w:tr>
      <w:tr w:rsidR="004F26A2" w14:paraId="2EE93060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126C406" w14:textId="1059E61D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773B0985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e</w:t>
            </w:r>
          </w:p>
        </w:tc>
      </w:tr>
      <w:tr w:rsidR="004F26A2" w14:paraId="075B669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42F18C7F" w14:textId="497B1EF7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47A7B1C3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f</w:t>
            </w:r>
          </w:p>
        </w:tc>
      </w:tr>
      <w:tr w:rsidR="004F26A2" w14:paraId="118CDCA8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87ADBFC" w14:textId="5D263AF7" w:rsidR="004F26A2" w:rsidRPr="00C24D50" w:rsidRDefault="00573613" w:rsidP="00573613">
            <w:pPr>
              <w:pStyle w:val="TableText"/>
            </w:pPr>
            <w:r>
              <w:lastRenderedPageBreak/>
              <w:t>To</w:t>
            </w:r>
            <w:r w:rsidR="008B58EB">
              <w:t xml:space="preserve"> add a new block to</w:t>
            </w:r>
            <w:r>
              <w:t xml:space="preserve"> 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7C56306E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g</w:t>
            </w:r>
          </w:p>
        </w:tc>
      </w:tr>
      <w:tr w:rsidR="004F26A2" w14:paraId="3A57CE7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3F9D3B3" w14:textId="0927D492" w:rsidR="004F26A2" w:rsidRPr="00C24D50" w:rsidRDefault="00573613" w:rsidP="00573613">
            <w:pPr>
              <w:pStyle w:val="TableText"/>
            </w:pPr>
            <w:r>
              <w:t xml:space="preserve">To </w:t>
            </w:r>
            <w:r w:rsidR="008B58EB">
              <w:t xml:space="preserve">add a new block to </w:t>
            </w:r>
            <w:r>
              <w:t xml:space="preserve">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023B5C7D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h</w:t>
            </w:r>
          </w:p>
        </w:tc>
      </w:tr>
      <w:tr w:rsidR="004F26A2" w14:paraId="09F550A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597DD9B" w14:textId="5D690680" w:rsidR="004F26A2" w:rsidRPr="00C24D50" w:rsidRDefault="00573613" w:rsidP="00573613">
            <w:pPr>
              <w:pStyle w:val="TableText"/>
            </w:pPr>
            <w:r>
              <w:t>To</w:t>
            </w:r>
            <w:r w:rsidR="008B58EB">
              <w:t xml:space="preserve"> add a new block to</w:t>
            </w:r>
            <w:r>
              <w:t xml:space="preserve"> provide an example of application of principles relating to the case concept.  </w:t>
            </w:r>
          </w:p>
        </w:tc>
        <w:tc>
          <w:tcPr>
            <w:tcW w:w="1255" w:type="pct"/>
            <w:shd w:val="clear" w:color="auto" w:fill="auto"/>
          </w:tcPr>
          <w:p w14:paraId="3E1D6D42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i</w:t>
            </w:r>
          </w:p>
        </w:tc>
      </w:tr>
      <w:tr w:rsidR="004F26A2" w14:paraId="7F9C850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324AC34" w14:textId="0EA6912A" w:rsidR="004F26A2" w:rsidRPr="00C24D50" w:rsidRDefault="00F13E30" w:rsidP="008B58EB">
            <w:pPr>
              <w:pStyle w:val="TableText"/>
            </w:pPr>
            <w:r>
              <w:t xml:space="preserve">To </w:t>
            </w:r>
            <w:r w:rsidR="008B58EB">
              <w:t>add</w:t>
            </w:r>
            <w:r>
              <w:t xml:space="preserve"> a new block containing guidance on action to take on a qualifying case based on whether or not a NOD has been received, and</w:t>
            </w:r>
            <w:r w:rsidR="00131594">
              <w:t xml:space="preserve"> – if </w:t>
            </w:r>
            <w:r>
              <w:t>a NOD has been received</w:t>
            </w:r>
            <w:r w:rsidR="00131594">
              <w:t xml:space="preserve"> – when the NOD was filed. </w:t>
            </w:r>
          </w:p>
        </w:tc>
        <w:tc>
          <w:tcPr>
            <w:tcW w:w="1255" w:type="pct"/>
            <w:shd w:val="clear" w:color="auto" w:fill="auto"/>
          </w:tcPr>
          <w:p w14:paraId="50EF18F0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j</w:t>
            </w:r>
          </w:p>
        </w:tc>
      </w:tr>
      <w:tr w:rsidR="004F26A2" w14:paraId="3544A5D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2A94A12" w14:textId="405E347F" w:rsidR="004F26A2" w:rsidRPr="00C24D50" w:rsidRDefault="00131594" w:rsidP="00933BDB">
            <w:pPr>
              <w:pStyle w:val="TableText"/>
            </w:pPr>
            <w:r>
              <w:t>To reorganize and update the guidance on final decision and attorney retention criteria that apply in cases where the NO</w:t>
            </w:r>
            <w:r w:rsidR="00C026BD">
              <w:t xml:space="preserve">D was received on or </w:t>
            </w:r>
            <w:r>
              <w:t>before June 19, 2007.</w:t>
            </w:r>
          </w:p>
        </w:tc>
        <w:tc>
          <w:tcPr>
            <w:tcW w:w="1255" w:type="pct"/>
            <w:shd w:val="clear" w:color="auto" w:fill="auto"/>
          </w:tcPr>
          <w:p w14:paraId="238B623E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k</w:t>
            </w:r>
          </w:p>
        </w:tc>
      </w:tr>
      <w:tr w:rsidR="004F26A2" w14:paraId="216A291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59BD1C0" w14:textId="448FD87C" w:rsidR="004F26A2" w:rsidRPr="00C24D50" w:rsidRDefault="00131594" w:rsidP="00D562A7">
            <w:pPr>
              <w:pStyle w:val="TableText"/>
            </w:pPr>
            <w:r>
              <w:t xml:space="preserve">To </w:t>
            </w:r>
            <w:r w:rsidR="00D562A7">
              <w:t>add</w:t>
            </w:r>
            <w:r>
              <w:t xml:space="preserve"> a new block containing guidance on making a decision and taking related actions on direct payment of fees in cases where the NOD was received on or before June 19, 2007.</w:t>
            </w:r>
          </w:p>
        </w:tc>
        <w:tc>
          <w:tcPr>
            <w:tcW w:w="1255" w:type="pct"/>
            <w:shd w:val="clear" w:color="auto" w:fill="auto"/>
          </w:tcPr>
          <w:p w14:paraId="65CA6AA5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l</w:t>
            </w:r>
          </w:p>
        </w:tc>
      </w:tr>
      <w:tr w:rsidR="004F26A2" w14:paraId="0504BCD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0B809F7" w14:textId="20C6251F" w:rsidR="004F26A2" w:rsidRPr="00C24D50" w:rsidRDefault="00131594" w:rsidP="00D562A7">
            <w:pPr>
              <w:pStyle w:val="TableText"/>
            </w:pPr>
            <w:r>
              <w:t xml:space="preserve">To </w:t>
            </w:r>
            <w:r w:rsidR="00D562A7">
              <w:t>add</w:t>
            </w:r>
            <w:r>
              <w:t xml:space="preserve"> a new block containing guidance on representation criteria </w:t>
            </w:r>
            <w:proofErr w:type="gramStart"/>
            <w:r>
              <w:t>that are</w:t>
            </w:r>
            <w:proofErr w:type="gramEnd"/>
            <w:r>
              <w:t xml:space="preserve"> applicable in cases where a NOD was received on or after June 20, 2007.</w:t>
            </w:r>
          </w:p>
        </w:tc>
        <w:tc>
          <w:tcPr>
            <w:tcW w:w="1255" w:type="pct"/>
            <w:shd w:val="clear" w:color="auto" w:fill="auto"/>
          </w:tcPr>
          <w:p w14:paraId="2F6306B3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m</w:t>
            </w:r>
          </w:p>
        </w:tc>
      </w:tr>
      <w:tr w:rsidR="004F26A2" w14:paraId="7BEBCED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1CCA7AF" w14:textId="6552C350" w:rsidR="004F26A2" w:rsidRPr="00C24D50" w:rsidRDefault="00131594" w:rsidP="00D562A7">
            <w:pPr>
              <w:pStyle w:val="TableText"/>
            </w:pPr>
            <w:r>
              <w:t xml:space="preserve">To </w:t>
            </w:r>
            <w:r w:rsidR="00D562A7">
              <w:t>add</w:t>
            </w:r>
            <w:r>
              <w:t xml:space="preserve"> a new block containing guidance on making a decision and taking related actions on direct payment of fees in cases where the NOD was received on or after June 20, 2007.</w:t>
            </w:r>
          </w:p>
        </w:tc>
        <w:tc>
          <w:tcPr>
            <w:tcW w:w="1255" w:type="pct"/>
            <w:shd w:val="clear" w:color="auto" w:fill="auto"/>
          </w:tcPr>
          <w:p w14:paraId="4349A92C" w14:textId="77777777" w:rsidR="004F26A2" w:rsidRPr="00C24D50" w:rsidRDefault="00945712" w:rsidP="00933BDB">
            <w:pPr>
              <w:pStyle w:val="TableText"/>
            </w:pPr>
            <w:r>
              <w:t>I.3.C.4.</w:t>
            </w:r>
            <w:r w:rsidR="003F70F5">
              <w:t>n</w:t>
            </w:r>
          </w:p>
        </w:tc>
      </w:tr>
      <w:tr w:rsidR="004F26AB" w14:paraId="63C7904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4840B12D" w14:textId="72B12513" w:rsidR="004F26AB" w:rsidRDefault="004F26AB" w:rsidP="000A3B10">
            <w:pPr>
              <w:pStyle w:val="TableText"/>
            </w:pPr>
            <w:r>
              <w:t>T</w:t>
            </w:r>
            <w:r w:rsidR="008B58EB">
              <w:t xml:space="preserve">o </w:t>
            </w:r>
            <w:r w:rsidR="000A3B10">
              <w:t>add</w:t>
            </w:r>
            <w:r w:rsidR="008B58EB">
              <w:t xml:space="preserve"> a new block</w:t>
            </w:r>
            <w:r>
              <w:t xml:space="preserve"> on calculation of attorney or agent assessments at the time of an eligibility determination for cases where the NOD was received on or after June 20, 2007.</w:t>
            </w:r>
          </w:p>
        </w:tc>
        <w:tc>
          <w:tcPr>
            <w:tcW w:w="1255" w:type="pct"/>
            <w:shd w:val="clear" w:color="auto" w:fill="auto"/>
          </w:tcPr>
          <w:p w14:paraId="74D9D4D9" w14:textId="4730B076" w:rsidR="004F26AB" w:rsidRDefault="004F26AB" w:rsidP="00933BDB">
            <w:pPr>
              <w:pStyle w:val="TableText"/>
            </w:pPr>
            <w:r>
              <w:t>I.3.C.4.o</w:t>
            </w:r>
          </w:p>
        </w:tc>
      </w:tr>
      <w:tr w:rsidR="00925D98" w14:paraId="6D6263F8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06B0C23" w14:textId="2007C078" w:rsidR="00B107BA" w:rsidRDefault="00925D98" w:rsidP="00933BDB">
            <w:pPr>
              <w:pStyle w:val="TableText"/>
            </w:pPr>
            <w:r>
              <w:t xml:space="preserve">To delete </w:t>
            </w:r>
            <w:r w:rsidR="00B107BA">
              <w:t>the following existing blocks (old topic 1</w:t>
            </w:r>
            <w:r w:rsidR="007B1738">
              <w:t>6</w:t>
            </w:r>
            <w:r w:rsidR="00B107BA">
              <w:t>)</w:t>
            </w:r>
          </w:p>
          <w:p w14:paraId="45BD621F" w14:textId="77777777" w:rsidR="00925D98" w:rsidRDefault="00B107BA" w:rsidP="00B107BA">
            <w:pPr>
              <w:pStyle w:val="BulletText1"/>
            </w:pPr>
            <w:r>
              <w:t xml:space="preserve">block a, </w:t>
            </w:r>
            <w:r w:rsidR="00925D98">
              <w:t xml:space="preserve">which was incorporated into </w:t>
            </w:r>
            <w:r>
              <w:t>t</w:t>
            </w:r>
            <w:r w:rsidR="00925D98">
              <w:t>opic 1</w:t>
            </w:r>
            <w:r>
              <w:t>, block g</w:t>
            </w:r>
          </w:p>
          <w:p w14:paraId="0D6A1D13" w14:textId="77777777" w:rsidR="00925D98" w:rsidRDefault="00925D98" w:rsidP="00B107BA">
            <w:pPr>
              <w:pStyle w:val="BulletText1"/>
            </w:pPr>
            <w:r>
              <w:t>block b</w:t>
            </w:r>
            <w:r w:rsidR="00B107BA">
              <w:t>,</w:t>
            </w:r>
            <w:r>
              <w:t xml:space="preserve"> which was moved to in topic 3</w:t>
            </w:r>
            <w:r w:rsidR="00B107BA">
              <w:t>, block d</w:t>
            </w:r>
          </w:p>
          <w:p w14:paraId="3AEA2543" w14:textId="77777777" w:rsidR="00B107BA" w:rsidRDefault="00B107BA" w:rsidP="00B107BA">
            <w:pPr>
              <w:pStyle w:val="BulletText1"/>
            </w:pPr>
            <w:r>
              <w:t>block d, which was included in topic 4, block l</w:t>
            </w:r>
          </w:p>
          <w:p w14:paraId="43A4607E" w14:textId="77777777" w:rsidR="00B107BA" w:rsidRDefault="00B107BA" w:rsidP="000237F7">
            <w:pPr>
              <w:pStyle w:val="BulletText1"/>
            </w:pPr>
            <w:r>
              <w:t xml:space="preserve">block </w:t>
            </w:r>
            <w:r w:rsidR="005D109F">
              <w:t>e, which</w:t>
            </w:r>
            <w:r>
              <w:t xml:space="preserve"> was replaced by </w:t>
            </w:r>
            <w:r w:rsidR="000237F7">
              <w:t xml:space="preserve">topic 4, blocks a to i </w:t>
            </w:r>
          </w:p>
          <w:p w14:paraId="1416A3DC" w14:textId="77777777" w:rsidR="00930C9E" w:rsidRDefault="00930C9E" w:rsidP="000237F7">
            <w:pPr>
              <w:pStyle w:val="BulletText1"/>
            </w:pPr>
            <w:r>
              <w:t>block f, which was replaced by topic 4, block m</w:t>
            </w:r>
          </w:p>
          <w:p w14:paraId="4398D97B" w14:textId="77777777" w:rsidR="00930C9E" w:rsidRPr="00C24D50" w:rsidRDefault="00930C9E" w:rsidP="000237F7">
            <w:pPr>
              <w:pStyle w:val="BulletText1"/>
            </w:pPr>
            <w:r>
              <w:t>block g, which was replace by topic 4, block n</w:t>
            </w:r>
          </w:p>
        </w:tc>
        <w:tc>
          <w:tcPr>
            <w:tcW w:w="1255" w:type="pct"/>
            <w:shd w:val="clear" w:color="auto" w:fill="auto"/>
          </w:tcPr>
          <w:p w14:paraId="59DC241D" w14:textId="77777777" w:rsidR="00925D98" w:rsidRDefault="00925D98" w:rsidP="00933BDB">
            <w:pPr>
              <w:pStyle w:val="TableText"/>
            </w:pPr>
            <w:r>
              <w:t>I.3.C.4</w:t>
            </w:r>
          </w:p>
        </w:tc>
      </w:tr>
      <w:tr w:rsidR="00F93460" w14:paraId="05C01E5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EB5D386" w14:textId="50204BEC" w:rsidR="00F93460" w:rsidRDefault="00F93460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focused on guidance on fee eligibility appeals.</w:t>
            </w:r>
          </w:p>
        </w:tc>
        <w:tc>
          <w:tcPr>
            <w:tcW w:w="1255" w:type="pct"/>
            <w:shd w:val="clear" w:color="auto" w:fill="auto"/>
          </w:tcPr>
          <w:p w14:paraId="2080BC2F" w14:textId="53A605FB" w:rsidR="00F93460" w:rsidRDefault="00F93460" w:rsidP="00933BDB">
            <w:pPr>
              <w:pStyle w:val="TableText"/>
            </w:pPr>
            <w:r>
              <w:t>I.3.C.5.a</w:t>
            </w:r>
          </w:p>
        </w:tc>
      </w:tr>
      <w:tr w:rsidR="00F93460" w14:paraId="5A3044D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0154DE3" w14:textId="72799AA4" w:rsidR="00F93460" w:rsidRDefault="00F93460" w:rsidP="00F64279">
            <w:pPr>
              <w:pStyle w:val="TableText"/>
            </w:pPr>
            <w:r>
              <w:t xml:space="preserve">To </w:t>
            </w:r>
            <w:r w:rsidR="00F64279">
              <w:t xml:space="preserve">add </w:t>
            </w:r>
            <w:r>
              <w:t>a new block focused on who handles fee eligibility appeals.</w:t>
            </w:r>
          </w:p>
        </w:tc>
        <w:tc>
          <w:tcPr>
            <w:tcW w:w="1255" w:type="pct"/>
            <w:shd w:val="clear" w:color="auto" w:fill="auto"/>
          </w:tcPr>
          <w:p w14:paraId="3C59C03A" w14:textId="0FA0448A" w:rsidR="00F93460" w:rsidRDefault="00F93460" w:rsidP="00933BDB">
            <w:pPr>
              <w:pStyle w:val="TableText"/>
            </w:pPr>
            <w:r>
              <w:t>I.3.C.5.b</w:t>
            </w:r>
          </w:p>
        </w:tc>
      </w:tr>
      <w:tr w:rsidR="00F93460" w14:paraId="7E173F49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D70AFBA" w14:textId="35CB90DD" w:rsidR="00F93460" w:rsidRDefault="00F93460" w:rsidP="00BD59F0">
            <w:pPr>
              <w:pStyle w:val="BulletText1"/>
            </w:pPr>
            <w:r>
              <w:t xml:space="preserve">To </w:t>
            </w:r>
            <w:r w:rsidR="00F64279">
              <w:t>add</w:t>
            </w:r>
            <w:r>
              <w:t xml:space="preserve"> a new block based on the prior block a focused on the prohibition against releasing funds during the appeal period or when an appeal is ongoing.</w:t>
            </w:r>
          </w:p>
          <w:p w14:paraId="58809B8D" w14:textId="22B3B979" w:rsidR="00F93460" w:rsidRDefault="00F93460" w:rsidP="00BD59F0">
            <w:pPr>
              <w:pStyle w:val="BulletText1"/>
            </w:pPr>
            <w:r>
              <w:t xml:space="preserve">To emphasize that VA does not honor requests from the parties </w:t>
            </w:r>
            <w:r w:rsidR="00BD59F0">
              <w:t>seeking to expedite payment of fees.</w:t>
            </w:r>
          </w:p>
          <w:p w14:paraId="728A59B9" w14:textId="366AEB2D" w:rsidR="00F93460" w:rsidRDefault="00F93460" w:rsidP="00BD59F0">
            <w:pPr>
              <w:pStyle w:val="BulletText1"/>
            </w:pPr>
            <w:r>
              <w:t>To relocate content to new block a</w:t>
            </w:r>
            <w:r w:rsidR="00BD59F0">
              <w:t>.</w:t>
            </w:r>
          </w:p>
        </w:tc>
        <w:tc>
          <w:tcPr>
            <w:tcW w:w="1255" w:type="pct"/>
            <w:shd w:val="clear" w:color="auto" w:fill="auto"/>
          </w:tcPr>
          <w:p w14:paraId="40A11108" w14:textId="63DF25B4" w:rsidR="00F93460" w:rsidRDefault="00BD59F0" w:rsidP="00933BDB">
            <w:pPr>
              <w:pStyle w:val="TableText"/>
            </w:pPr>
            <w:r>
              <w:t>I.3.C.5.c.</w:t>
            </w:r>
          </w:p>
        </w:tc>
      </w:tr>
      <w:tr w:rsidR="004F26A2" w14:paraId="57F63B8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C7B1CDC" w14:textId="086FFC0C" w:rsidR="004F26A2" w:rsidRDefault="00BD59F0" w:rsidP="00BD59F0">
            <w:pPr>
              <w:pStyle w:val="BulletText1"/>
            </w:pPr>
            <w:r>
              <w:t xml:space="preserve">To clarify the guidance on releasing withheld funds in appealed fee decisions. </w:t>
            </w:r>
          </w:p>
          <w:p w14:paraId="72A20F76" w14:textId="4FC8CD1E" w:rsidR="00BD59F0" w:rsidRPr="00C24D50" w:rsidRDefault="00BD59F0" w:rsidP="00BD59F0">
            <w:pPr>
              <w:pStyle w:val="BulletText1"/>
            </w:pPr>
            <w:r>
              <w:t xml:space="preserve">To relocate content to new block b. </w:t>
            </w:r>
          </w:p>
        </w:tc>
        <w:tc>
          <w:tcPr>
            <w:tcW w:w="1255" w:type="pct"/>
            <w:shd w:val="clear" w:color="auto" w:fill="auto"/>
          </w:tcPr>
          <w:p w14:paraId="4E381123" w14:textId="77777777" w:rsidR="004F26A2" w:rsidRPr="00C24D50" w:rsidRDefault="00945712" w:rsidP="00933BDB">
            <w:pPr>
              <w:pStyle w:val="TableText"/>
            </w:pPr>
            <w:r>
              <w:t>I.3.C.5.</w:t>
            </w:r>
            <w:r w:rsidR="003F70F5">
              <w:t>d</w:t>
            </w:r>
          </w:p>
        </w:tc>
      </w:tr>
      <w:tr w:rsidR="00BD59F0" w14:paraId="0B52C99A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519C59C" w14:textId="28E290E7" w:rsidR="00BD59F0" w:rsidRDefault="00BD59F0" w:rsidP="00BD59F0">
            <w:pPr>
              <w:pStyle w:val="TableText"/>
            </w:pPr>
            <w:r>
              <w:t xml:space="preserve">To clarify the guidance on releasing withheld funds when the fee decision is not appealed. </w:t>
            </w:r>
          </w:p>
        </w:tc>
        <w:tc>
          <w:tcPr>
            <w:tcW w:w="1255" w:type="pct"/>
            <w:shd w:val="clear" w:color="auto" w:fill="auto"/>
          </w:tcPr>
          <w:p w14:paraId="38BED088" w14:textId="026F8A70" w:rsidR="00BD59F0" w:rsidRDefault="00BD59F0" w:rsidP="00933BDB">
            <w:pPr>
              <w:pStyle w:val="TableText"/>
            </w:pPr>
            <w:r>
              <w:t>I.3.C.5.e</w:t>
            </w:r>
          </w:p>
        </w:tc>
      </w:tr>
      <w:tr w:rsidR="00BD59F0" w14:paraId="14BF1AB0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DF2875F" w14:textId="17BAFF3B" w:rsidR="00BD59F0" w:rsidRDefault="00851BC6" w:rsidP="00981254">
            <w:pPr>
              <w:pStyle w:val="TableText"/>
            </w:pPr>
            <w:r>
              <w:t xml:space="preserve">To </w:t>
            </w:r>
            <w:r w:rsidR="00981254">
              <w:t>provide guidance</w:t>
            </w:r>
            <w:r>
              <w:t xml:space="preserve"> </w:t>
            </w:r>
            <w:r w:rsidR="00981254">
              <w:t xml:space="preserve">relating to when the claimant dies before promulgation of an award on remand. </w:t>
            </w:r>
          </w:p>
        </w:tc>
        <w:tc>
          <w:tcPr>
            <w:tcW w:w="1255" w:type="pct"/>
            <w:shd w:val="clear" w:color="auto" w:fill="auto"/>
          </w:tcPr>
          <w:p w14:paraId="0C402B05" w14:textId="0C1E9C85" w:rsidR="00BD59F0" w:rsidRDefault="00BD59F0" w:rsidP="00933BDB">
            <w:pPr>
              <w:pStyle w:val="TableText"/>
            </w:pPr>
            <w:r>
              <w:t>I.3.C.5.f</w:t>
            </w:r>
          </w:p>
        </w:tc>
      </w:tr>
      <w:tr w:rsidR="00883766" w14:paraId="49E3A94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B820002" w14:textId="2AF2F3EB" w:rsidR="00883766" w:rsidRDefault="00C61EB8" w:rsidP="00F64279">
            <w:pPr>
              <w:pStyle w:val="TableText"/>
            </w:pPr>
            <w:r>
              <w:t xml:space="preserve">To </w:t>
            </w:r>
            <w:r w:rsidR="00F64279">
              <w:t xml:space="preserve">delete existing </w:t>
            </w:r>
            <w:r>
              <w:t xml:space="preserve">blocks g, h and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F64279">
              <w:t xml:space="preserve">(old 17) </w:t>
            </w:r>
            <w:r>
              <w:t xml:space="preserve">on </w:t>
            </w:r>
            <w:r w:rsidR="00883766">
              <w:t>reasonableness review</w:t>
            </w:r>
            <w:r>
              <w:t xml:space="preserve"> </w:t>
            </w:r>
            <w:r>
              <w:lastRenderedPageBreak/>
              <w:t>of fees,</w:t>
            </w:r>
            <w:r w:rsidR="00883766">
              <w:t xml:space="preserve"> which </w:t>
            </w:r>
            <w:r>
              <w:t xml:space="preserve">is </w:t>
            </w:r>
            <w:r w:rsidR="00883766">
              <w:t>now discussed in new topic 6.</w:t>
            </w:r>
          </w:p>
        </w:tc>
        <w:tc>
          <w:tcPr>
            <w:tcW w:w="1255" w:type="pct"/>
            <w:shd w:val="clear" w:color="auto" w:fill="auto"/>
          </w:tcPr>
          <w:p w14:paraId="75474309" w14:textId="3DE1F01F" w:rsidR="00883766" w:rsidRDefault="00883766" w:rsidP="00933BDB">
            <w:pPr>
              <w:pStyle w:val="TableText"/>
            </w:pPr>
            <w:r>
              <w:lastRenderedPageBreak/>
              <w:t>I.3.C.5</w:t>
            </w:r>
          </w:p>
        </w:tc>
      </w:tr>
      <w:tr w:rsidR="00883766" w14:paraId="02FBF35B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C6D58DB" w14:textId="3149F055" w:rsidR="00883766" w:rsidRDefault="00883766" w:rsidP="00F64279">
            <w:pPr>
              <w:pStyle w:val="TableText"/>
            </w:pPr>
            <w:r>
              <w:lastRenderedPageBreak/>
              <w:t>To create a new topic</w:t>
            </w:r>
            <w:r w:rsidR="00C61EB8">
              <w:t xml:space="preserve"> </w:t>
            </w:r>
            <w:r>
              <w:t>on reasonableness review of fees by Office of General Counsel</w:t>
            </w:r>
            <w:r w:rsidR="00C61EB8">
              <w:t xml:space="preserve"> including material from rel</w:t>
            </w:r>
            <w:r w:rsidR="00F64279">
              <w:t xml:space="preserve">ocated from deleted </w:t>
            </w:r>
            <w:r w:rsidR="00C61EB8">
              <w:t xml:space="preserve">blocks g, h and </w:t>
            </w:r>
            <w:proofErr w:type="spellStart"/>
            <w:r w:rsidR="00C61EB8">
              <w:t>i</w:t>
            </w:r>
            <w:proofErr w:type="spellEnd"/>
            <w:r w:rsidR="00C61EB8">
              <w:t xml:space="preserve"> of topic 5 (old topic 17)</w:t>
            </w:r>
            <w:r>
              <w:t xml:space="preserve">. </w:t>
            </w:r>
          </w:p>
        </w:tc>
        <w:tc>
          <w:tcPr>
            <w:tcW w:w="1255" w:type="pct"/>
            <w:shd w:val="clear" w:color="auto" w:fill="auto"/>
          </w:tcPr>
          <w:p w14:paraId="79F68FEA" w14:textId="060D5C20" w:rsidR="00883766" w:rsidRDefault="00883766" w:rsidP="00933BDB">
            <w:pPr>
              <w:pStyle w:val="TableText"/>
            </w:pPr>
            <w:r>
              <w:t>I.3.C.6</w:t>
            </w:r>
          </w:p>
        </w:tc>
      </w:tr>
      <w:tr w:rsidR="00883766" w14:paraId="6307C87B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2D31A09" w14:textId="348CBB6E" w:rsidR="00883766" w:rsidRDefault="007E3FF0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</w:t>
            </w:r>
            <w:proofErr w:type="gramStart"/>
            <w:r>
              <w:t xml:space="preserve">block </w:t>
            </w:r>
            <w:r w:rsidR="00C61EB8">
              <w:t xml:space="preserve"> introducing</w:t>
            </w:r>
            <w:proofErr w:type="gramEnd"/>
            <w:r w:rsidR="00C61EB8">
              <w:t xml:space="preserve"> the concept of reasonableness reviews.   </w:t>
            </w:r>
          </w:p>
        </w:tc>
        <w:tc>
          <w:tcPr>
            <w:tcW w:w="1255" w:type="pct"/>
            <w:shd w:val="clear" w:color="auto" w:fill="auto"/>
          </w:tcPr>
          <w:p w14:paraId="579AA70F" w14:textId="3B32D80E" w:rsidR="00883766" w:rsidRDefault="00C61EB8" w:rsidP="00933BDB">
            <w:pPr>
              <w:pStyle w:val="TableText"/>
            </w:pPr>
            <w:r>
              <w:t>I.3.C.6.a</w:t>
            </w:r>
          </w:p>
        </w:tc>
      </w:tr>
      <w:tr w:rsidR="00883766" w14:paraId="4A5DA846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05D6C66" w14:textId="07215ADC" w:rsidR="00883766" w:rsidRDefault="00C61EB8" w:rsidP="00F64279">
            <w:pPr>
              <w:pStyle w:val="TableText"/>
            </w:pPr>
            <w:r>
              <w:t xml:space="preserve">To </w:t>
            </w:r>
            <w:r w:rsidR="00F64279">
              <w:t xml:space="preserve">add </w:t>
            </w:r>
            <w:r>
              <w:t xml:space="preserve">a new block on the time limit for motions for reasonableness review. </w:t>
            </w:r>
          </w:p>
        </w:tc>
        <w:tc>
          <w:tcPr>
            <w:tcW w:w="1255" w:type="pct"/>
            <w:shd w:val="clear" w:color="auto" w:fill="auto"/>
          </w:tcPr>
          <w:p w14:paraId="2B1471C7" w14:textId="79747D0E" w:rsidR="00883766" w:rsidRDefault="00C61EB8" w:rsidP="00933BDB">
            <w:pPr>
              <w:pStyle w:val="TableText"/>
            </w:pPr>
            <w:r>
              <w:t>I.3.C.6.b</w:t>
            </w:r>
          </w:p>
        </w:tc>
      </w:tr>
      <w:tr w:rsidR="00C61EB8" w14:paraId="1C92F8EE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13ED8EED" w14:textId="5AB23890" w:rsidR="00C61EB8" w:rsidRDefault="00C61EB8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</w:t>
            </w:r>
            <w:r w:rsidR="002D6F0D">
              <w:t xml:space="preserve">based on </w:t>
            </w:r>
            <w:r w:rsidR="00F64279">
              <w:t>deleted</w:t>
            </w:r>
            <w:r w:rsidR="002D6F0D">
              <w:t xml:space="preserve"> block g of topic 5 (old 17) </w:t>
            </w:r>
            <w:r>
              <w:t xml:space="preserve">on RO </w:t>
            </w:r>
            <w:proofErr w:type="gramStart"/>
            <w:r>
              <w:t>referral  of</w:t>
            </w:r>
            <w:proofErr w:type="gramEnd"/>
            <w:r>
              <w:t xml:space="preserve"> statements that could constitute requests for reasonableness review to Office of General Counsel.</w:t>
            </w:r>
          </w:p>
        </w:tc>
        <w:tc>
          <w:tcPr>
            <w:tcW w:w="1255" w:type="pct"/>
            <w:shd w:val="clear" w:color="auto" w:fill="auto"/>
          </w:tcPr>
          <w:p w14:paraId="1B90C99B" w14:textId="7819228F" w:rsidR="00C61EB8" w:rsidRDefault="00C61EB8" w:rsidP="00933BDB">
            <w:pPr>
              <w:pStyle w:val="TableText"/>
            </w:pPr>
            <w:r>
              <w:t>I.3.C.6.c</w:t>
            </w:r>
          </w:p>
        </w:tc>
      </w:tr>
      <w:tr w:rsidR="00C61EB8" w14:paraId="7A11C369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48D5B227" w14:textId="670E04DD" w:rsidR="00C61EB8" w:rsidRDefault="002D6F0D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based on </w:t>
            </w:r>
            <w:r w:rsidR="00F64279">
              <w:t>deleted</w:t>
            </w:r>
            <w:r>
              <w:t xml:space="preserve"> block h of topic 5 (old 17) specifying that when two or more attorneys or agents are found eligible for payment of fees referral for reasonableness review is required. </w:t>
            </w:r>
          </w:p>
        </w:tc>
        <w:tc>
          <w:tcPr>
            <w:tcW w:w="1255" w:type="pct"/>
            <w:shd w:val="clear" w:color="auto" w:fill="auto"/>
          </w:tcPr>
          <w:p w14:paraId="4920600E" w14:textId="6D2D3F71" w:rsidR="00C61EB8" w:rsidRDefault="00C61EB8" w:rsidP="00933BDB">
            <w:pPr>
              <w:pStyle w:val="TableText"/>
            </w:pPr>
            <w:r>
              <w:t>I.3.C.6.d</w:t>
            </w:r>
          </w:p>
        </w:tc>
      </w:tr>
      <w:tr w:rsidR="002D6F0D" w14:paraId="2B32F6C4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5F4A95B" w14:textId="5A32FAB4" w:rsidR="002D6F0D" w:rsidRDefault="002D6F0D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emphasizing the importance of prompt referrals for reasonableness reviews. </w:t>
            </w:r>
          </w:p>
        </w:tc>
        <w:tc>
          <w:tcPr>
            <w:tcW w:w="1255" w:type="pct"/>
            <w:shd w:val="clear" w:color="auto" w:fill="auto"/>
          </w:tcPr>
          <w:p w14:paraId="7611FD65" w14:textId="4FFE2F61" w:rsidR="002D6F0D" w:rsidRDefault="002D6F0D" w:rsidP="00933BDB">
            <w:pPr>
              <w:pStyle w:val="TableText"/>
            </w:pPr>
            <w:r>
              <w:t>I.3.C.6.e</w:t>
            </w:r>
          </w:p>
        </w:tc>
      </w:tr>
      <w:tr w:rsidR="004F26A2" w14:paraId="5B37934E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E70DE84" w14:textId="2E3BDB31" w:rsidR="002D6F0D" w:rsidRDefault="002D6F0D" w:rsidP="00D6625E">
            <w:pPr>
              <w:pStyle w:val="BulletText1"/>
            </w:pPr>
            <w:r>
              <w:t xml:space="preserve">To </w:t>
            </w:r>
            <w:r w:rsidR="00F64279">
              <w:t>add</w:t>
            </w:r>
            <w:r>
              <w:t xml:space="preserve"> a new block</w:t>
            </w:r>
            <w:r w:rsidR="00203C72">
              <w:t xml:space="preserve"> </w:t>
            </w:r>
            <w:r>
              <w:t xml:space="preserve">based on </w:t>
            </w:r>
            <w:r w:rsidR="00F64279">
              <w:t xml:space="preserve">deleted </w:t>
            </w:r>
            <w:r>
              <w:t xml:space="preserve">block </w:t>
            </w:r>
            <w:proofErr w:type="spellStart"/>
            <w:r>
              <w:t>i</w:t>
            </w:r>
            <w:proofErr w:type="spellEnd"/>
            <w:r>
              <w:t xml:space="preserve"> of topic 5 (old 17) </w:t>
            </w:r>
            <w:r w:rsidR="00203C72">
              <w:t xml:space="preserve">on the </w:t>
            </w:r>
            <w:r>
              <w:t xml:space="preserve">RO process for referrals for reasonableness review.  </w:t>
            </w:r>
          </w:p>
          <w:p w14:paraId="4B66305C" w14:textId="2E35D202" w:rsidR="004F26A2" w:rsidRPr="00C24D50" w:rsidRDefault="00D6625E" w:rsidP="00D6625E">
            <w:pPr>
              <w:pStyle w:val="BulletText1"/>
            </w:pPr>
            <w:r>
              <w:t xml:space="preserve">To update the requirements for what must be provided to OGC when making a referral for a reasonableness review. </w:t>
            </w:r>
          </w:p>
        </w:tc>
        <w:tc>
          <w:tcPr>
            <w:tcW w:w="1255" w:type="pct"/>
            <w:shd w:val="clear" w:color="auto" w:fill="auto"/>
          </w:tcPr>
          <w:p w14:paraId="2A5A09D2" w14:textId="60C19B4B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6.f</w:t>
            </w:r>
          </w:p>
        </w:tc>
      </w:tr>
      <w:tr w:rsidR="004F26A2" w14:paraId="0053FCE8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E1B0541" w14:textId="29340005" w:rsidR="004F26A2" w:rsidRPr="00C24D50" w:rsidRDefault="004D4413" w:rsidP="00F64279">
            <w:pPr>
              <w:pStyle w:val="TableText"/>
              <w:tabs>
                <w:tab w:val="left" w:pos="1358"/>
              </w:tabs>
            </w:pPr>
            <w:r>
              <w:t xml:space="preserve">To </w:t>
            </w:r>
            <w:r w:rsidR="00F64279">
              <w:t xml:space="preserve">add </w:t>
            </w:r>
            <w:r>
              <w:t xml:space="preserve">a new block </w:t>
            </w:r>
            <w:r w:rsidR="00DD07A5">
              <w:t xml:space="preserve">on when to consider the matter of failure to withhold past due benefits. </w:t>
            </w:r>
          </w:p>
        </w:tc>
        <w:tc>
          <w:tcPr>
            <w:tcW w:w="1255" w:type="pct"/>
            <w:shd w:val="clear" w:color="auto" w:fill="auto"/>
          </w:tcPr>
          <w:p w14:paraId="6DA57A5C" w14:textId="1283ED7A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7</w:t>
            </w:r>
            <w:r>
              <w:t>.a</w:t>
            </w:r>
          </w:p>
        </w:tc>
      </w:tr>
      <w:tr w:rsidR="004F26A2" w14:paraId="7854CADD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311A0FE6" w14:textId="3C2278BB" w:rsidR="004F26A2" w:rsidRPr="00C24D50" w:rsidRDefault="00DD07A5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stating the principle that failure to withhold a portion of past due benefits for the possible direct payment of fees does not relieve VA of the obligation to pay the fees when entitlement is established. </w:t>
            </w:r>
          </w:p>
        </w:tc>
        <w:tc>
          <w:tcPr>
            <w:tcW w:w="1255" w:type="pct"/>
            <w:shd w:val="clear" w:color="auto" w:fill="auto"/>
          </w:tcPr>
          <w:p w14:paraId="4FE0A633" w14:textId="54110731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7</w:t>
            </w:r>
            <w:r>
              <w:t>.b</w:t>
            </w:r>
          </w:p>
        </w:tc>
      </w:tr>
      <w:tr w:rsidR="004F26A2" w14:paraId="07026562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67F78668" w14:textId="0FB23C01" w:rsidR="004F26A2" w:rsidRPr="00C24D50" w:rsidRDefault="004D4413" w:rsidP="00DD07A5">
            <w:pPr>
              <w:pStyle w:val="TableText"/>
            </w:pPr>
            <w:r>
              <w:t xml:space="preserve">To </w:t>
            </w:r>
            <w:r w:rsidR="00DD07A5">
              <w:t xml:space="preserve">delete material moved to blocks a and d and premise action </w:t>
            </w:r>
            <w:r w:rsidR="007E3FF0">
              <w:t xml:space="preserve"> </w:t>
            </w:r>
            <w:proofErr w:type="spellStart"/>
            <w:r w:rsidR="007E3FF0">
              <w:t>uner</w:t>
            </w:r>
            <w:proofErr w:type="spellEnd"/>
            <w:r w:rsidR="007E3FF0">
              <w:t xml:space="preserve"> the block </w:t>
            </w:r>
            <w:r w:rsidR="00DD07A5">
              <w:t>upon an evidentiary sho</w:t>
            </w:r>
            <w:bookmarkStart w:id="0" w:name="_GoBack"/>
            <w:bookmarkEnd w:id="0"/>
            <w:r w:rsidR="00DD07A5">
              <w:t xml:space="preserve">wing that there was a qualifying failure to withhold benefits as provided in new block a. </w:t>
            </w:r>
          </w:p>
        </w:tc>
        <w:tc>
          <w:tcPr>
            <w:tcW w:w="1255" w:type="pct"/>
            <w:shd w:val="clear" w:color="auto" w:fill="auto"/>
          </w:tcPr>
          <w:p w14:paraId="1DEC22DE" w14:textId="3CD1F6AF" w:rsidR="004F26A2" w:rsidRPr="00945712" w:rsidRDefault="00945712" w:rsidP="00D6625E">
            <w:pPr>
              <w:pStyle w:val="TableText"/>
              <w:rPr>
                <w:b/>
              </w:rPr>
            </w:pPr>
            <w:r>
              <w:t>I.3.C.</w:t>
            </w:r>
            <w:r w:rsidR="00D6625E">
              <w:t>7</w:t>
            </w:r>
            <w:r>
              <w:t>.c</w:t>
            </w:r>
          </w:p>
        </w:tc>
      </w:tr>
      <w:tr w:rsidR="004F26A2" w14:paraId="495E5A57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1F82610" w14:textId="79E8CB22" w:rsidR="004F26A2" w:rsidRPr="00C24D50" w:rsidRDefault="004D4413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block based on material </w:t>
            </w:r>
            <w:r w:rsidR="00DD07A5">
              <w:t xml:space="preserve"> moved from block c. </w:t>
            </w:r>
          </w:p>
        </w:tc>
        <w:tc>
          <w:tcPr>
            <w:tcW w:w="1255" w:type="pct"/>
            <w:shd w:val="clear" w:color="auto" w:fill="auto"/>
          </w:tcPr>
          <w:p w14:paraId="27D8F5E7" w14:textId="0FB8E24A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7</w:t>
            </w:r>
            <w:r>
              <w:t>.d</w:t>
            </w:r>
          </w:p>
        </w:tc>
      </w:tr>
      <w:tr w:rsidR="004F26A2" w14:paraId="36ACF180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43BC87A8" w14:textId="77777777" w:rsidR="004F26A2" w:rsidRPr="00C24D50" w:rsidRDefault="004D4413" w:rsidP="004D4413">
            <w:pPr>
              <w:pStyle w:val="TableText"/>
            </w:pPr>
            <w:r>
              <w:t>To provide updated guidance to send notices using the Letter Creator in place of references to exhibits of notice content.</w:t>
            </w:r>
          </w:p>
        </w:tc>
        <w:tc>
          <w:tcPr>
            <w:tcW w:w="1255" w:type="pct"/>
            <w:shd w:val="clear" w:color="auto" w:fill="auto"/>
          </w:tcPr>
          <w:p w14:paraId="32AD1FE2" w14:textId="728D0EC2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7</w:t>
            </w:r>
            <w:r>
              <w:t>.e</w:t>
            </w:r>
          </w:p>
        </w:tc>
      </w:tr>
      <w:tr w:rsidR="004F26A2" w14:paraId="0CADF0C3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3B99185" w14:textId="77777777" w:rsidR="004F26A2" w:rsidRPr="00C24D50" w:rsidRDefault="004D4413" w:rsidP="004D4413">
            <w:pPr>
              <w:pStyle w:val="TableText"/>
            </w:pPr>
            <w:r>
              <w:t xml:space="preserve">To provide updated guidance to send a decision notice using the Letter Creator in place of a reference an exhibit of notice content.  </w:t>
            </w:r>
          </w:p>
        </w:tc>
        <w:tc>
          <w:tcPr>
            <w:tcW w:w="1255" w:type="pct"/>
            <w:shd w:val="clear" w:color="auto" w:fill="auto"/>
          </w:tcPr>
          <w:p w14:paraId="211062E0" w14:textId="3EF4E42A" w:rsidR="004F26A2" w:rsidRPr="00C24D50" w:rsidRDefault="00945712" w:rsidP="00D6625E">
            <w:pPr>
              <w:pStyle w:val="TableText"/>
            </w:pPr>
            <w:r>
              <w:t>I.3.C.</w:t>
            </w:r>
            <w:r w:rsidR="00D6625E">
              <w:t>7</w:t>
            </w:r>
            <w:r>
              <w:t>.f</w:t>
            </w:r>
          </w:p>
        </w:tc>
      </w:tr>
      <w:tr w:rsidR="004F26A2" w14:paraId="6599C651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07FA23F6" w14:textId="53F2B93D" w:rsidR="004F26A2" w:rsidRPr="00C24D50" w:rsidRDefault="007E3FF0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topic</w:t>
            </w:r>
            <w:r w:rsidR="00945712">
              <w:t xml:space="preserve"> for an exhibit of a decision notice used when the decision is that there is no valid power of attorney.</w:t>
            </w:r>
          </w:p>
        </w:tc>
        <w:tc>
          <w:tcPr>
            <w:tcW w:w="1255" w:type="pct"/>
            <w:shd w:val="clear" w:color="auto" w:fill="auto"/>
          </w:tcPr>
          <w:p w14:paraId="224253E9" w14:textId="4B8F432B" w:rsidR="004F26A2" w:rsidRPr="00C24D50" w:rsidRDefault="00945712" w:rsidP="007E3FF0">
            <w:pPr>
              <w:pStyle w:val="TableText"/>
            </w:pPr>
            <w:r>
              <w:t>I.3.C.</w:t>
            </w:r>
            <w:r w:rsidR="007E3FF0">
              <w:t>8</w:t>
            </w:r>
          </w:p>
        </w:tc>
      </w:tr>
      <w:tr w:rsidR="004F26A2" w14:paraId="15805074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75A05DD" w14:textId="6E9DA25B" w:rsidR="004F26A2" w:rsidRPr="00C24D50" w:rsidRDefault="00945712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topic for an exhibit of a decision notice used when the decision is that there was no fee agreement and/or valid POA in a claim involving a survivor</w:t>
            </w:r>
          </w:p>
        </w:tc>
        <w:tc>
          <w:tcPr>
            <w:tcW w:w="1255" w:type="pct"/>
            <w:shd w:val="clear" w:color="auto" w:fill="auto"/>
          </w:tcPr>
          <w:p w14:paraId="339FD377" w14:textId="61AE6C20" w:rsidR="004F26A2" w:rsidRPr="00C24D50" w:rsidRDefault="00A539BA" w:rsidP="007E3FF0">
            <w:pPr>
              <w:pStyle w:val="TableText"/>
            </w:pPr>
            <w:r>
              <w:t>I.3.C.</w:t>
            </w:r>
            <w:r w:rsidR="007E3FF0">
              <w:t>9</w:t>
            </w:r>
          </w:p>
        </w:tc>
      </w:tr>
      <w:tr w:rsidR="00137231" w14:paraId="56677ABE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769B2BE8" w14:textId="42A7FAC3" w:rsidR="00137231" w:rsidRDefault="00F64279" w:rsidP="00F64279">
            <w:pPr>
              <w:pStyle w:val="TableText"/>
            </w:pPr>
            <w:r>
              <w:t>To add</w:t>
            </w:r>
            <w:r w:rsidR="00945712">
              <w:t xml:space="preserve"> a </w:t>
            </w:r>
            <w:r w:rsidR="00A539BA">
              <w:t>new topic for an exhibit of a decision notice used when the decision is that no NOD was filed in a claim involving a survivor.</w:t>
            </w:r>
          </w:p>
        </w:tc>
        <w:tc>
          <w:tcPr>
            <w:tcW w:w="1255" w:type="pct"/>
            <w:shd w:val="clear" w:color="auto" w:fill="auto"/>
          </w:tcPr>
          <w:p w14:paraId="39F06535" w14:textId="1BC78188" w:rsidR="00137231" w:rsidRDefault="00A539BA" w:rsidP="007E3FF0">
            <w:pPr>
              <w:pStyle w:val="TableText"/>
            </w:pPr>
            <w:r>
              <w:t>I.3.C.</w:t>
            </w:r>
            <w:r w:rsidR="007E3FF0">
              <w:t>10</w:t>
            </w:r>
          </w:p>
        </w:tc>
      </w:tr>
      <w:tr w:rsidR="00945712" w14:paraId="0B8FC46C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5ADCB8B8" w14:textId="78DDB4BC" w:rsidR="00945712" w:rsidRDefault="003F70F5" w:rsidP="00F64279">
            <w:pPr>
              <w:pStyle w:val="TableText"/>
            </w:pPr>
            <w:r>
              <w:t xml:space="preserve">To </w:t>
            </w:r>
            <w:r w:rsidR="00F64279">
              <w:t>add</w:t>
            </w:r>
            <w:r>
              <w:t xml:space="preserve"> a new </w:t>
            </w:r>
            <w:r w:rsidR="00A539BA">
              <w:t xml:space="preserve">topic </w:t>
            </w:r>
            <w:r w:rsidR="00AF7C00">
              <w:t xml:space="preserve">for an exhibit of a decision notice used when the decision is that there was no cash payment to the claimant. </w:t>
            </w:r>
          </w:p>
        </w:tc>
        <w:tc>
          <w:tcPr>
            <w:tcW w:w="1255" w:type="pct"/>
            <w:shd w:val="clear" w:color="auto" w:fill="auto"/>
          </w:tcPr>
          <w:p w14:paraId="60A741AF" w14:textId="38C154A0" w:rsidR="00945712" w:rsidRDefault="00A539BA" w:rsidP="007E3FF0">
            <w:pPr>
              <w:pStyle w:val="TableText"/>
            </w:pPr>
            <w:r>
              <w:t>I.3.C.1</w:t>
            </w:r>
            <w:r w:rsidR="007E3FF0">
              <w:t>1</w:t>
            </w:r>
          </w:p>
        </w:tc>
      </w:tr>
      <w:tr w:rsidR="00945712" w14:paraId="21C423D0" w14:textId="77777777" w:rsidTr="00524643">
        <w:trPr>
          <w:trHeight w:val="180"/>
        </w:trPr>
        <w:tc>
          <w:tcPr>
            <w:tcW w:w="3745" w:type="pct"/>
            <w:shd w:val="clear" w:color="auto" w:fill="auto"/>
          </w:tcPr>
          <w:p w14:paraId="256F21A7" w14:textId="77777777" w:rsidR="00945712" w:rsidRDefault="00AF7C00" w:rsidP="006D7FFD">
            <w:pPr>
              <w:pStyle w:val="TableText"/>
            </w:pPr>
            <w:r>
              <w:t>To re</w:t>
            </w:r>
            <w:r w:rsidR="006D7FFD">
              <w:t xml:space="preserve">move exhibits of notice letters, old </w:t>
            </w:r>
            <w:r>
              <w:t>topic</w:t>
            </w:r>
            <w:r w:rsidR="006D7FFD">
              <w:t xml:space="preserve"> numbers 19, 20, 21, and 23, as the notice content has been incorporated into the Letter Creator. </w:t>
            </w:r>
          </w:p>
        </w:tc>
        <w:tc>
          <w:tcPr>
            <w:tcW w:w="1255" w:type="pct"/>
            <w:shd w:val="clear" w:color="auto" w:fill="auto"/>
          </w:tcPr>
          <w:p w14:paraId="336AC2E9" w14:textId="77777777" w:rsidR="00945712" w:rsidRDefault="00945712" w:rsidP="00933BDB">
            <w:pPr>
              <w:pStyle w:val="TableText"/>
            </w:pPr>
          </w:p>
        </w:tc>
      </w:tr>
    </w:tbl>
    <w:p w14:paraId="7C9E9AC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C869685" w14:textId="77777777" w:rsidTr="00237C22">
        <w:tc>
          <w:tcPr>
            <w:tcW w:w="1728" w:type="dxa"/>
          </w:tcPr>
          <w:p w14:paraId="6BA3E7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Rescissions</w:t>
            </w:r>
          </w:p>
        </w:tc>
        <w:tc>
          <w:tcPr>
            <w:tcW w:w="7740" w:type="dxa"/>
          </w:tcPr>
          <w:p w14:paraId="09E7CBE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2491CD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A251A9A" w14:textId="77777777" w:rsidTr="00237C22">
        <w:tc>
          <w:tcPr>
            <w:tcW w:w="1728" w:type="dxa"/>
          </w:tcPr>
          <w:p w14:paraId="79E5657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072409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C7A6AE0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5219F1" w14:textId="77777777" w:rsidTr="00237C22">
        <w:tc>
          <w:tcPr>
            <w:tcW w:w="1728" w:type="dxa"/>
          </w:tcPr>
          <w:p w14:paraId="6F62E08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F4D5E82" w14:textId="77777777" w:rsidR="00504F80" w:rsidRPr="00B4163A" w:rsidRDefault="00504F80" w:rsidP="00237C22">
            <w:pPr>
              <w:pStyle w:val="BlockText"/>
            </w:pPr>
          </w:p>
          <w:p w14:paraId="162F809D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765C34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601562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4B9DFE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6D7811C" w14:textId="77777777" w:rsidTr="00237C22">
        <w:tc>
          <w:tcPr>
            <w:tcW w:w="1728" w:type="dxa"/>
          </w:tcPr>
          <w:p w14:paraId="29CEB6D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A48685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480EF2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1639F2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F67B23">
        <w:fldChar w:fldCharType="begin">
          <w:fldData xml:space="preserve">RABvAGMAVABlAG0AcAAxAFYAYQByAFQAcgBhAGQAaQB0AGkAbwBuAGEAbAA=
</w:fldData>
        </w:fldChar>
      </w:r>
      <w:r w:rsidR="00F67B23">
        <w:instrText xml:space="preserve"> ADDIN  \* MERGEFORMAT </w:instrText>
      </w:r>
      <w:r w:rsidR="00F67B23">
        <w:fldChar w:fldCharType="end"/>
      </w:r>
      <w:r w:rsidR="00F67B23">
        <w:fldChar w:fldCharType="begin">
          <w:fldData xml:space="preserve">RgBvAG4AdABTAGUAdABGAG8AbgB0AFMAZQB0AGkAbQBpAHMAdAB5AGwAZQBzAC4AeABtAGwA
</w:fldData>
        </w:fldChar>
      </w:r>
      <w:r w:rsidR="00F67B23">
        <w:instrText xml:space="preserve"> ADDIN  \* MERGEFORMAT </w:instrText>
      </w:r>
      <w:r w:rsidR="00F67B2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D1669" w14:textId="77777777" w:rsidR="0058089C" w:rsidRDefault="0058089C" w:rsidP="00C765C7">
      <w:r>
        <w:separator/>
      </w:r>
    </w:p>
  </w:endnote>
  <w:endnote w:type="continuationSeparator" w:id="0">
    <w:p w14:paraId="4CEAB5A4" w14:textId="77777777" w:rsidR="0058089C" w:rsidRDefault="0058089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E57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2FB9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F74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36B">
      <w:rPr>
        <w:rStyle w:val="PageNumber"/>
        <w:noProof/>
      </w:rPr>
      <w:t>iv</w:t>
    </w:r>
    <w:r>
      <w:rPr>
        <w:rStyle w:val="PageNumber"/>
      </w:rPr>
      <w:fldChar w:fldCharType="end"/>
    </w:r>
  </w:p>
  <w:p w14:paraId="735C2B3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A244" w14:textId="77777777" w:rsidR="0058089C" w:rsidRDefault="0058089C" w:rsidP="00C765C7">
      <w:r>
        <w:separator/>
      </w:r>
    </w:p>
  </w:footnote>
  <w:footnote w:type="continuationSeparator" w:id="0">
    <w:p w14:paraId="04BA9B48" w14:textId="77777777" w:rsidR="0058089C" w:rsidRDefault="0058089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fspro_2columns"/>
      </v:shape>
    </w:pict>
  </w:numPicBullet>
  <w:numPicBullet w:numPicBulletId="1">
    <w:pict>
      <v:shape id="_x0000_i1027" type="#_x0000_t75" style="width:11.2pt;height:11.2pt" o:bullet="t">
        <v:imagedata r:id="rId2" o:title="advanced"/>
      </v:shape>
    </w:pict>
  </w:numPicBullet>
  <w:numPicBullet w:numPicBulletId="2">
    <w:pict>
      <v:shape id="_x0000_i1028" type="#_x0000_t75" style="width:11.2pt;height:11.2pt" o:bullet="t">
        <v:imagedata r:id="rId3" o:title="continue"/>
      </v:shape>
    </w:pict>
  </w:numPicBullet>
  <w:numPicBullet w:numPicBulletId="3">
    <w:pict>
      <v:shape id="_x0000_i1029" type="#_x0000_t75" style="width:11.2pt;height:11.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37F7"/>
    <w:rsid w:val="000252C6"/>
    <w:rsid w:val="000256FB"/>
    <w:rsid w:val="00062200"/>
    <w:rsid w:val="00065186"/>
    <w:rsid w:val="00093228"/>
    <w:rsid w:val="000A311D"/>
    <w:rsid w:val="000A3B10"/>
    <w:rsid w:val="000A7776"/>
    <w:rsid w:val="000C236B"/>
    <w:rsid w:val="00100433"/>
    <w:rsid w:val="0010215F"/>
    <w:rsid w:val="00106EEF"/>
    <w:rsid w:val="00123973"/>
    <w:rsid w:val="001253ED"/>
    <w:rsid w:val="0012638B"/>
    <w:rsid w:val="00131594"/>
    <w:rsid w:val="00137231"/>
    <w:rsid w:val="00186D46"/>
    <w:rsid w:val="001B369C"/>
    <w:rsid w:val="001C3AE3"/>
    <w:rsid w:val="001C3EB5"/>
    <w:rsid w:val="00203C72"/>
    <w:rsid w:val="002041BE"/>
    <w:rsid w:val="00237C22"/>
    <w:rsid w:val="00240624"/>
    <w:rsid w:val="002419C5"/>
    <w:rsid w:val="002473F4"/>
    <w:rsid w:val="00292ABB"/>
    <w:rsid w:val="002B7A7E"/>
    <w:rsid w:val="002D6F0D"/>
    <w:rsid w:val="002F5B21"/>
    <w:rsid w:val="002F7397"/>
    <w:rsid w:val="00324018"/>
    <w:rsid w:val="00326991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3F70F5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D4413"/>
    <w:rsid w:val="004F26A2"/>
    <w:rsid w:val="004F26AB"/>
    <w:rsid w:val="004F375E"/>
    <w:rsid w:val="00504F80"/>
    <w:rsid w:val="00506485"/>
    <w:rsid w:val="00513DA7"/>
    <w:rsid w:val="00516C82"/>
    <w:rsid w:val="00524643"/>
    <w:rsid w:val="00573613"/>
    <w:rsid w:val="0058089C"/>
    <w:rsid w:val="00594258"/>
    <w:rsid w:val="005D109F"/>
    <w:rsid w:val="005D11D2"/>
    <w:rsid w:val="005E4363"/>
    <w:rsid w:val="00600DC7"/>
    <w:rsid w:val="0062068D"/>
    <w:rsid w:val="00624396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D7FFD"/>
    <w:rsid w:val="006F6D37"/>
    <w:rsid w:val="00724248"/>
    <w:rsid w:val="00730E0C"/>
    <w:rsid w:val="00732186"/>
    <w:rsid w:val="00737049"/>
    <w:rsid w:val="00774B4E"/>
    <w:rsid w:val="00797C1A"/>
    <w:rsid w:val="007A0C5F"/>
    <w:rsid w:val="007B1738"/>
    <w:rsid w:val="007D5B97"/>
    <w:rsid w:val="007E3FF0"/>
    <w:rsid w:val="007E5515"/>
    <w:rsid w:val="0080590C"/>
    <w:rsid w:val="008112DA"/>
    <w:rsid w:val="008144E7"/>
    <w:rsid w:val="00822A16"/>
    <w:rsid w:val="008375CC"/>
    <w:rsid w:val="00851BC6"/>
    <w:rsid w:val="0086475B"/>
    <w:rsid w:val="00875AFA"/>
    <w:rsid w:val="00883766"/>
    <w:rsid w:val="0088609E"/>
    <w:rsid w:val="008B4CB5"/>
    <w:rsid w:val="008B58EB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D98"/>
    <w:rsid w:val="00930C9E"/>
    <w:rsid w:val="00933BDB"/>
    <w:rsid w:val="00945712"/>
    <w:rsid w:val="00945950"/>
    <w:rsid w:val="00950411"/>
    <w:rsid w:val="009769CD"/>
    <w:rsid w:val="00981254"/>
    <w:rsid w:val="00985780"/>
    <w:rsid w:val="00997D98"/>
    <w:rsid w:val="009C22C8"/>
    <w:rsid w:val="009E6E1A"/>
    <w:rsid w:val="00A315CB"/>
    <w:rsid w:val="00A3579D"/>
    <w:rsid w:val="00A403A5"/>
    <w:rsid w:val="00A539BA"/>
    <w:rsid w:val="00A55356"/>
    <w:rsid w:val="00A557BB"/>
    <w:rsid w:val="00A8520D"/>
    <w:rsid w:val="00AC2993"/>
    <w:rsid w:val="00AD0EDC"/>
    <w:rsid w:val="00AF2CD6"/>
    <w:rsid w:val="00AF7C00"/>
    <w:rsid w:val="00B0548B"/>
    <w:rsid w:val="00B107BA"/>
    <w:rsid w:val="00B30D2F"/>
    <w:rsid w:val="00B50AD7"/>
    <w:rsid w:val="00B64F2F"/>
    <w:rsid w:val="00B93A3C"/>
    <w:rsid w:val="00B96287"/>
    <w:rsid w:val="00BB3345"/>
    <w:rsid w:val="00BD59F0"/>
    <w:rsid w:val="00BF7FE3"/>
    <w:rsid w:val="00C026BD"/>
    <w:rsid w:val="00C0404B"/>
    <w:rsid w:val="00C24D50"/>
    <w:rsid w:val="00C273AD"/>
    <w:rsid w:val="00C4783F"/>
    <w:rsid w:val="00C61EB8"/>
    <w:rsid w:val="00C765C7"/>
    <w:rsid w:val="00CB597F"/>
    <w:rsid w:val="00CD2D08"/>
    <w:rsid w:val="00D20666"/>
    <w:rsid w:val="00D33A6E"/>
    <w:rsid w:val="00D36508"/>
    <w:rsid w:val="00D562A7"/>
    <w:rsid w:val="00D57B91"/>
    <w:rsid w:val="00D61497"/>
    <w:rsid w:val="00D6625E"/>
    <w:rsid w:val="00D77146"/>
    <w:rsid w:val="00D823AF"/>
    <w:rsid w:val="00D87741"/>
    <w:rsid w:val="00D9207B"/>
    <w:rsid w:val="00DA11C2"/>
    <w:rsid w:val="00DB074F"/>
    <w:rsid w:val="00DB2902"/>
    <w:rsid w:val="00DB743E"/>
    <w:rsid w:val="00DD07A5"/>
    <w:rsid w:val="00DE0E35"/>
    <w:rsid w:val="00DF44AC"/>
    <w:rsid w:val="00DF6805"/>
    <w:rsid w:val="00E2529E"/>
    <w:rsid w:val="00E36906"/>
    <w:rsid w:val="00E648E9"/>
    <w:rsid w:val="00E964FD"/>
    <w:rsid w:val="00ED4D5E"/>
    <w:rsid w:val="00ED71C8"/>
    <w:rsid w:val="00ED7870"/>
    <w:rsid w:val="00F006B2"/>
    <w:rsid w:val="00F13E30"/>
    <w:rsid w:val="00F43DFA"/>
    <w:rsid w:val="00F64279"/>
    <w:rsid w:val="00F67B23"/>
    <w:rsid w:val="00F87670"/>
    <w:rsid w:val="00F90609"/>
    <w:rsid w:val="00F9346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557698-20CD-4146-AC53-10BACEC80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261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31</cp:revision>
  <dcterms:created xsi:type="dcterms:W3CDTF">2015-07-21T12:53:00Z</dcterms:created>
  <dcterms:modified xsi:type="dcterms:W3CDTF">2015-07-31T18:04:00Z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