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34986" w14:textId="77777777" w:rsidR="005C6B9F" w:rsidRPr="00A06F2F" w:rsidRDefault="005C6B9F" w:rsidP="005C6B9F"/>
    <w:p w14:paraId="7999DD1C" w14:textId="77777777" w:rsidR="00963DD7" w:rsidRPr="00521A11" w:rsidRDefault="00963DD7" w:rsidP="00C315B9">
      <w:pPr>
        <w:pStyle w:val="Heading3"/>
      </w:pPr>
      <w:r w:rsidRPr="00521A11">
        <w:t>Section C.  Adverse Action Proposal Period</w:t>
      </w:r>
    </w:p>
    <w:p w14:paraId="7999DD1D" w14:textId="77777777" w:rsidR="00963DD7" w:rsidRPr="00521A11" w:rsidRDefault="00963DD7" w:rsidP="00C315B9">
      <w:pPr>
        <w:pStyle w:val="Heading4"/>
      </w:pPr>
      <w:r w:rsidRPr="00521A11">
        <w:fldChar w:fldCharType="begin"/>
      </w:r>
      <w:r w:rsidRPr="00521A11">
        <w:instrText xml:space="preserve"> PRIVATE INFOTYPE="OTHER" </w:instrText>
      </w:r>
      <w:r w:rsidRPr="00521A11">
        <w:fldChar w:fldCharType="end"/>
      </w:r>
      <w:r w:rsidRPr="00521A11">
        <w:t>Overview</w:t>
      </w:r>
    </w:p>
    <w:p w14:paraId="7999DD1E" w14:textId="77777777" w:rsidR="00963DD7" w:rsidRPr="00521A11" w:rsidRDefault="00963DD7">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963DD7" w:rsidRPr="00521A11" w14:paraId="7999DD21" w14:textId="77777777">
        <w:trPr>
          <w:cantSplit/>
        </w:trPr>
        <w:tc>
          <w:tcPr>
            <w:tcW w:w="1728" w:type="dxa"/>
          </w:tcPr>
          <w:p w14:paraId="7999DD1F" w14:textId="3775876D" w:rsidR="00963DD7" w:rsidRPr="00521A11" w:rsidRDefault="00963DD7" w:rsidP="00E62EE5">
            <w:pPr>
              <w:pStyle w:val="Heading5"/>
              <w:numPr>
                <w:ilvl w:val="12"/>
                <w:numId w:val="0"/>
              </w:numPr>
            </w:pPr>
            <w:r w:rsidRPr="00521A11">
              <w:t xml:space="preserve">In </w:t>
            </w:r>
            <w:r w:rsidR="003A591B" w:rsidRPr="00521A11">
              <w:t>T</w:t>
            </w:r>
            <w:r w:rsidRPr="00521A11">
              <w:t xml:space="preserve">his Section </w:t>
            </w:r>
          </w:p>
        </w:tc>
        <w:tc>
          <w:tcPr>
            <w:tcW w:w="7740" w:type="dxa"/>
          </w:tcPr>
          <w:p w14:paraId="7999DD20" w14:textId="0B467E09" w:rsidR="00963DD7" w:rsidRPr="00521A11" w:rsidRDefault="00963DD7" w:rsidP="00591630">
            <w:pPr>
              <w:pStyle w:val="BlockText"/>
              <w:numPr>
                <w:ilvl w:val="12"/>
                <w:numId w:val="0"/>
              </w:numPr>
            </w:pPr>
            <w:r w:rsidRPr="00521A11">
              <w:t>This section contains the following topics:</w:t>
            </w:r>
          </w:p>
        </w:tc>
      </w:tr>
    </w:tbl>
    <w:p w14:paraId="7999DD22" w14:textId="77777777" w:rsidR="00963DD7" w:rsidRPr="00521A11" w:rsidRDefault="00963DD7">
      <w:pPr>
        <w:numPr>
          <w:ilvl w:val="12"/>
          <w:numId w:val="0"/>
        </w:numPr>
      </w:pPr>
    </w:p>
    <w:tbl>
      <w:tblPr>
        <w:tblW w:w="0" w:type="auto"/>
        <w:tblInd w:w="1800" w:type="dxa"/>
        <w:tblLayout w:type="fixed"/>
        <w:tblCellMar>
          <w:left w:w="80" w:type="dxa"/>
          <w:right w:w="80" w:type="dxa"/>
        </w:tblCellMar>
        <w:tblLook w:val="0000" w:firstRow="0" w:lastRow="0" w:firstColumn="0" w:lastColumn="0" w:noHBand="0" w:noVBand="0"/>
      </w:tblPr>
      <w:tblGrid>
        <w:gridCol w:w="1160"/>
        <w:gridCol w:w="6480"/>
      </w:tblGrid>
      <w:tr w:rsidR="006C1AF2" w:rsidRPr="00521A11" w14:paraId="7999DD25" w14:textId="77777777" w:rsidTr="006C1AF2">
        <w:trPr>
          <w:cantSplit/>
        </w:trPr>
        <w:tc>
          <w:tcPr>
            <w:tcW w:w="1160" w:type="dxa"/>
            <w:tcBorders>
              <w:top w:val="single" w:sz="6" w:space="0" w:color="auto"/>
              <w:left w:val="single" w:sz="6" w:space="0" w:color="auto"/>
              <w:bottom w:val="single" w:sz="6" w:space="0" w:color="auto"/>
              <w:right w:val="single" w:sz="6" w:space="0" w:color="auto"/>
            </w:tcBorders>
          </w:tcPr>
          <w:p w14:paraId="7999DD23" w14:textId="77777777" w:rsidR="006C1AF2" w:rsidRPr="00521A11" w:rsidRDefault="006C1AF2">
            <w:pPr>
              <w:pStyle w:val="TableHeaderText"/>
              <w:numPr>
                <w:ilvl w:val="12"/>
                <w:numId w:val="0"/>
              </w:numPr>
            </w:pPr>
            <w:r w:rsidRPr="00521A11">
              <w:t xml:space="preserve">Topic </w:t>
            </w:r>
          </w:p>
        </w:tc>
        <w:tc>
          <w:tcPr>
            <w:tcW w:w="6480" w:type="dxa"/>
            <w:tcBorders>
              <w:top w:val="single" w:sz="6" w:space="0" w:color="auto"/>
              <w:left w:val="single" w:sz="6" w:space="0" w:color="auto"/>
              <w:bottom w:val="single" w:sz="6" w:space="0" w:color="auto"/>
              <w:right w:val="single" w:sz="6" w:space="0" w:color="auto"/>
            </w:tcBorders>
          </w:tcPr>
          <w:p w14:paraId="7999DD24" w14:textId="77777777" w:rsidR="006C1AF2" w:rsidRPr="00521A11" w:rsidRDefault="006C1AF2">
            <w:pPr>
              <w:pStyle w:val="TableHeaderText"/>
              <w:numPr>
                <w:ilvl w:val="12"/>
                <w:numId w:val="0"/>
              </w:numPr>
            </w:pPr>
            <w:r w:rsidRPr="00521A11">
              <w:t>Topic Name</w:t>
            </w:r>
          </w:p>
        </w:tc>
      </w:tr>
      <w:tr w:rsidR="006C1AF2" w:rsidRPr="00521A11" w14:paraId="7999DD28" w14:textId="77777777" w:rsidTr="006C1AF2">
        <w:trPr>
          <w:cantSplit/>
        </w:trPr>
        <w:tc>
          <w:tcPr>
            <w:tcW w:w="1160" w:type="dxa"/>
            <w:tcBorders>
              <w:top w:val="single" w:sz="6" w:space="0" w:color="auto"/>
              <w:left w:val="single" w:sz="6" w:space="0" w:color="auto"/>
              <w:bottom w:val="single" w:sz="6" w:space="0" w:color="auto"/>
              <w:right w:val="single" w:sz="6" w:space="0" w:color="auto"/>
            </w:tcBorders>
          </w:tcPr>
          <w:p w14:paraId="7999DD26" w14:textId="218AC590" w:rsidR="006C1AF2" w:rsidRPr="00521A11" w:rsidRDefault="006C1AF2" w:rsidP="00EC22B2">
            <w:pPr>
              <w:pStyle w:val="TableText"/>
              <w:numPr>
                <w:ilvl w:val="12"/>
                <w:numId w:val="0"/>
              </w:numPr>
              <w:jc w:val="center"/>
            </w:pPr>
            <w:r w:rsidRPr="00521A11">
              <w:t xml:space="preserve">1 </w:t>
            </w:r>
          </w:p>
        </w:tc>
        <w:tc>
          <w:tcPr>
            <w:tcW w:w="6480" w:type="dxa"/>
            <w:tcBorders>
              <w:top w:val="single" w:sz="6" w:space="0" w:color="auto"/>
              <w:left w:val="single" w:sz="6" w:space="0" w:color="auto"/>
              <w:bottom w:val="single" w:sz="6" w:space="0" w:color="auto"/>
              <w:right w:val="single" w:sz="6" w:space="0" w:color="auto"/>
            </w:tcBorders>
          </w:tcPr>
          <w:p w14:paraId="7999DD27" w14:textId="77777777" w:rsidR="006C1AF2" w:rsidRPr="00521A11" w:rsidRDefault="006C1AF2" w:rsidP="007374C9">
            <w:pPr>
              <w:pStyle w:val="TableText"/>
              <w:numPr>
                <w:ilvl w:val="12"/>
                <w:numId w:val="0"/>
              </w:numPr>
            </w:pPr>
            <w:r w:rsidRPr="00521A11">
              <w:t>General Information on the Adverse Action Proposal Period</w:t>
            </w:r>
          </w:p>
        </w:tc>
      </w:tr>
      <w:tr w:rsidR="006C1AF2" w:rsidRPr="00521A11" w14:paraId="7999DD2B" w14:textId="77777777" w:rsidTr="006C1AF2">
        <w:trPr>
          <w:cantSplit/>
        </w:trPr>
        <w:tc>
          <w:tcPr>
            <w:tcW w:w="1160" w:type="dxa"/>
            <w:tcBorders>
              <w:top w:val="single" w:sz="6" w:space="0" w:color="auto"/>
              <w:left w:val="single" w:sz="6" w:space="0" w:color="auto"/>
              <w:bottom w:val="single" w:sz="6" w:space="0" w:color="auto"/>
              <w:right w:val="single" w:sz="6" w:space="0" w:color="auto"/>
            </w:tcBorders>
          </w:tcPr>
          <w:p w14:paraId="7999DD29" w14:textId="019F7F11" w:rsidR="006C1AF2" w:rsidRPr="00521A11" w:rsidRDefault="006C1AF2" w:rsidP="00EC22B2">
            <w:pPr>
              <w:pStyle w:val="TableText"/>
              <w:numPr>
                <w:ilvl w:val="12"/>
                <w:numId w:val="0"/>
              </w:numPr>
              <w:jc w:val="center"/>
            </w:pPr>
            <w:r w:rsidRPr="00521A11">
              <w:t xml:space="preserve">2 </w:t>
            </w:r>
          </w:p>
        </w:tc>
        <w:tc>
          <w:tcPr>
            <w:tcW w:w="6480" w:type="dxa"/>
            <w:tcBorders>
              <w:top w:val="single" w:sz="6" w:space="0" w:color="auto"/>
              <w:left w:val="single" w:sz="6" w:space="0" w:color="auto"/>
              <w:bottom w:val="single" w:sz="6" w:space="0" w:color="auto"/>
              <w:right w:val="single" w:sz="6" w:space="0" w:color="auto"/>
            </w:tcBorders>
          </w:tcPr>
          <w:p w14:paraId="7999DD2A" w14:textId="77777777" w:rsidR="006C1AF2" w:rsidRPr="00521A11" w:rsidRDefault="006C1AF2">
            <w:pPr>
              <w:pStyle w:val="TableText"/>
              <w:numPr>
                <w:ilvl w:val="12"/>
                <w:numId w:val="0"/>
              </w:numPr>
            </w:pPr>
            <w:r w:rsidRPr="00521A11">
              <w:t xml:space="preserve">Responding to the Beneficiary </w:t>
            </w:r>
          </w:p>
        </w:tc>
      </w:tr>
      <w:tr w:rsidR="006C1AF2" w:rsidRPr="00521A11" w14:paraId="7999DD2E" w14:textId="77777777" w:rsidTr="006C1AF2">
        <w:trPr>
          <w:cantSplit/>
        </w:trPr>
        <w:tc>
          <w:tcPr>
            <w:tcW w:w="1160" w:type="dxa"/>
            <w:tcBorders>
              <w:top w:val="single" w:sz="6" w:space="0" w:color="auto"/>
              <w:left w:val="single" w:sz="6" w:space="0" w:color="auto"/>
              <w:bottom w:val="single" w:sz="6" w:space="0" w:color="auto"/>
              <w:right w:val="single" w:sz="6" w:space="0" w:color="auto"/>
            </w:tcBorders>
          </w:tcPr>
          <w:p w14:paraId="7999DD2C" w14:textId="76B477B2" w:rsidR="006C1AF2" w:rsidRPr="00521A11" w:rsidRDefault="006C1AF2" w:rsidP="00EC22B2">
            <w:pPr>
              <w:pStyle w:val="TableText"/>
              <w:numPr>
                <w:ilvl w:val="12"/>
                <w:numId w:val="0"/>
              </w:numPr>
              <w:jc w:val="center"/>
            </w:pPr>
            <w:r w:rsidRPr="00521A11">
              <w:t xml:space="preserve">3 </w:t>
            </w:r>
          </w:p>
        </w:tc>
        <w:tc>
          <w:tcPr>
            <w:tcW w:w="6480" w:type="dxa"/>
            <w:tcBorders>
              <w:top w:val="single" w:sz="6" w:space="0" w:color="auto"/>
              <w:left w:val="single" w:sz="6" w:space="0" w:color="auto"/>
              <w:bottom w:val="single" w:sz="6" w:space="0" w:color="auto"/>
              <w:right w:val="single" w:sz="6" w:space="0" w:color="auto"/>
            </w:tcBorders>
          </w:tcPr>
          <w:p w14:paraId="7999DD2D" w14:textId="3B35990A" w:rsidR="006C1AF2" w:rsidRPr="00521A11" w:rsidRDefault="003F3A0B" w:rsidP="007374C9">
            <w:pPr>
              <w:pStyle w:val="TableText"/>
              <w:numPr>
                <w:ilvl w:val="12"/>
                <w:numId w:val="0"/>
              </w:numPr>
            </w:pPr>
            <w:r w:rsidRPr="00521A11">
              <w:t>Hearings Requested in Response to a Proposed Adverse Action</w:t>
            </w:r>
          </w:p>
        </w:tc>
      </w:tr>
      <w:tr w:rsidR="006C1AF2" w:rsidRPr="00521A11" w14:paraId="7999DD31" w14:textId="77777777" w:rsidTr="006C1AF2">
        <w:trPr>
          <w:cantSplit/>
        </w:trPr>
        <w:tc>
          <w:tcPr>
            <w:tcW w:w="1160" w:type="dxa"/>
            <w:tcBorders>
              <w:top w:val="single" w:sz="6" w:space="0" w:color="auto"/>
              <w:left w:val="single" w:sz="6" w:space="0" w:color="auto"/>
              <w:bottom w:val="single" w:sz="6" w:space="0" w:color="auto"/>
              <w:right w:val="single" w:sz="6" w:space="0" w:color="auto"/>
            </w:tcBorders>
          </w:tcPr>
          <w:p w14:paraId="7999DD2F" w14:textId="67222189" w:rsidR="006C1AF2" w:rsidRPr="00521A11" w:rsidRDefault="006C1AF2" w:rsidP="00EC22B2">
            <w:pPr>
              <w:pStyle w:val="TableText"/>
              <w:numPr>
                <w:ilvl w:val="12"/>
                <w:numId w:val="0"/>
              </w:numPr>
              <w:jc w:val="center"/>
            </w:pPr>
            <w:r w:rsidRPr="00521A11">
              <w:t xml:space="preserve">4 </w:t>
            </w:r>
          </w:p>
        </w:tc>
        <w:tc>
          <w:tcPr>
            <w:tcW w:w="6480" w:type="dxa"/>
            <w:tcBorders>
              <w:top w:val="single" w:sz="6" w:space="0" w:color="auto"/>
              <w:left w:val="single" w:sz="6" w:space="0" w:color="auto"/>
              <w:bottom w:val="single" w:sz="6" w:space="0" w:color="auto"/>
              <w:right w:val="single" w:sz="6" w:space="0" w:color="auto"/>
            </w:tcBorders>
          </w:tcPr>
          <w:p w14:paraId="7999DD30" w14:textId="1F4898A0" w:rsidR="006C1AF2" w:rsidRPr="00521A11" w:rsidRDefault="006C1AF2">
            <w:pPr>
              <w:pStyle w:val="TableText"/>
              <w:numPr>
                <w:ilvl w:val="12"/>
                <w:numId w:val="0"/>
              </w:numPr>
            </w:pPr>
            <w:r w:rsidRPr="00521A11">
              <w:t xml:space="preserve">Sending Final </w:t>
            </w:r>
            <w:r w:rsidR="00CF2194" w:rsidRPr="00521A11">
              <w:t xml:space="preserve">Decision </w:t>
            </w:r>
            <w:r w:rsidRPr="00521A11">
              <w:t>Notice</w:t>
            </w:r>
          </w:p>
        </w:tc>
      </w:tr>
    </w:tbl>
    <w:p w14:paraId="7999DD32" w14:textId="77777777" w:rsidR="00963DD7" w:rsidRPr="00521A11" w:rsidRDefault="00963DD7">
      <w:pPr>
        <w:pStyle w:val="BlockLine"/>
        <w:numPr>
          <w:ilvl w:val="12"/>
          <w:numId w:val="0"/>
        </w:numPr>
        <w:ind w:left="1700"/>
      </w:pPr>
    </w:p>
    <w:p w14:paraId="7999DD33" w14:textId="123CEA47" w:rsidR="00963DD7" w:rsidRPr="00521A11" w:rsidRDefault="00963DD7">
      <w:pPr>
        <w:pStyle w:val="Heading4"/>
      </w:pPr>
      <w:r w:rsidRPr="00521A11">
        <w:br w:type="page"/>
      </w:r>
      <w:r w:rsidR="00FA24FF" w:rsidRPr="00521A11">
        <w:lastRenderedPageBreak/>
        <w:t>1</w:t>
      </w:r>
      <w:r w:rsidRPr="00521A11">
        <w:t>.  General Information on the Adverse Action Proposal Period</w:t>
      </w:r>
    </w:p>
    <w:p w14:paraId="7999DD34" w14:textId="77777777" w:rsidR="00963DD7" w:rsidRPr="00521A11" w:rsidRDefault="00963DD7">
      <w:pPr>
        <w:pStyle w:val="BlockLine"/>
        <w:numPr>
          <w:ilvl w:val="12"/>
          <w:numId w:val="0"/>
        </w:numPr>
        <w:ind w:left="1700"/>
      </w:pPr>
      <w:r w:rsidRPr="00521A11">
        <w:fldChar w:fldCharType="begin"/>
      </w:r>
      <w:r w:rsidRPr="00521A11">
        <w:instrText xml:space="preserve"> PRIVATE INFOTYPE="OTHER" </w:instrText>
      </w:r>
      <w:r w:rsidRPr="00521A11">
        <w:fldChar w:fldCharType="end"/>
      </w:r>
    </w:p>
    <w:tbl>
      <w:tblPr>
        <w:tblW w:w="0" w:type="auto"/>
        <w:tblLayout w:type="fixed"/>
        <w:tblLook w:val="0000" w:firstRow="0" w:lastRow="0" w:firstColumn="0" w:lastColumn="0" w:noHBand="0" w:noVBand="0"/>
      </w:tblPr>
      <w:tblGrid>
        <w:gridCol w:w="1728"/>
        <w:gridCol w:w="7740"/>
      </w:tblGrid>
      <w:tr w:rsidR="00963DD7" w:rsidRPr="00521A11" w14:paraId="7999DD3C" w14:textId="77777777">
        <w:trPr>
          <w:cantSplit/>
        </w:trPr>
        <w:tc>
          <w:tcPr>
            <w:tcW w:w="1728" w:type="dxa"/>
          </w:tcPr>
          <w:p w14:paraId="7999DD35" w14:textId="77777777" w:rsidR="00963DD7" w:rsidRPr="00521A11" w:rsidRDefault="00963DD7">
            <w:pPr>
              <w:pStyle w:val="Heading5"/>
              <w:numPr>
                <w:ilvl w:val="12"/>
                <w:numId w:val="0"/>
              </w:numPr>
            </w:pPr>
            <w:r w:rsidRPr="00521A11">
              <w:t>Introduction</w:t>
            </w:r>
          </w:p>
        </w:tc>
        <w:tc>
          <w:tcPr>
            <w:tcW w:w="7740" w:type="dxa"/>
          </w:tcPr>
          <w:p w14:paraId="7999DD36" w14:textId="77777777" w:rsidR="00963DD7" w:rsidRPr="00521A11" w:rsidRDefault="00963DD7">
            <w:pPr>
              <w:pStyle w:val="BlockText"/>
              <w:numPr>
                <w:ilvl w:val="12"/>
                <w:numId w:val="0"/>
              </w:numPr>
            </w:pPr>
            <w:r w:rsidRPr="00521A11">
              <w:t xml:space="preserve">This topic contains general information </w:t>
            </w:r>
            <w:r w:rsidR="007374C9" w:rsidRPr="00521A11">
              <w:t>on the adverse action proposal period</w:t>
            </w:r>
            <w:r w:rsidRPr="00521A11">
              <w:t>, including</w:t>
            </w:r>
          </w:p>
          <w:p w14:paraId="7999DD37" w14:textId="77777777" w:rsidR="00963DD7" w:rsidRPr="00521A11" w:rsidRDefault="00963DD7">
            <w:pPr>
              <w:pStyle w:val="BlockText"/>
              <w:numPr>
                <w:ilvl w:val="12"/>
                <w:numId w:val="0"/>
              </w:numPr>
            </w:pPr>
          </w:p>
          <w:p w14:paraId="7999DD38" w14:textId="77777777" w:rsidR="00963DD7" w:rsidRPr="00521A11" w:rsidRDefault="00963DD7">
            <w:pPr>
              <w:pStyle w:val="BulletText1"/>
            </w:pPr>
            <w:r w:rsidRPr="00521A11">
              <w:t>definition of adverse action proposal period</w:t>
            </w:r>
          </w:p>
          <w:p w14:paraId="7999DD39" w14:textId="45F470DF" w:rsidR="00963DD7" w:rsidRPr="00521A11" w:rsidRDefault="00963DD7">
            <w:pPr>
              <w:pStyle w:val="BulletText1"/>
            </w:pPr>
            <w:r w:rsidRPr="00521A11">
              <w:t xml:space="preserve">basic rule </w:t>
            </w:r>
            <w:r w:rsidR="00BF1994" w:rsidRPr="00521A11">
              <w:t>for</w:t>
            </w:r>
            <w:r w:rsidRPr="00521A11">
              <w:t xml:space="preserve"> 65-day limit</w:t>
            </w:r>
          </w:p>
          <w:p w14:paraId="7999DD3A" w14:textId="4D9AF500" w:rsidR="00963DD7" w:rsidRPr="00521A11" w:rsidRDefault="00B132D8">
            <w:pPr>
              <w:pStyle w:val="BulletText1"/>
            </w:pPr>
            <w:r w:rsidRPr="00521A11">
              <w:t>calculating</w:t>
            </w:r>
            <w:r w:rsidR="00BF1994" w:rsidRPr="00521A11">
              <w:t xml:space="preserve"> </w:t>
            </w:r>
            <w:r w:rsidR="00963DD7" w:rsidRPr="00521A11">
              <w:t>the adverse action proposal period, and</w:t>
            </w:r>
          </w:p>
          <w:p w14:paraId="7999DD3B" w14:textId="77777777" w:rsidR="00963DD7" w:rsidRPr="00521A11" w:rsidRDefault="00963DD7">
            <w:pPr>
              <w:pStyle w:val="BulletText1"/>
            </w:pPr>
            <w:r w:rsidRPr="00521A11">
              <w:t>extending the adverse action proposal period.</w:t>
            </w:r>
          </w:p>
        </w:tc>
      </w:tr>
    </w:tbl>
    <w:p w14:paraId="7999DD3D" w14:textId="77777777" w:rsidR="00963DD7" w:rsidRPr="00521A11" w:rsidRDefault="00963DD7">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963DD7" w:rsidRPr="00521A11" w14:paraId="7999DD40" w14:textId="77777777">
        <w:trPr>
          <w:cantSplit/>
        </w:trPr>
        <w:tc>
          <w:tcPr>
            <w:tcW w:w="1728" w:type="dxa"/>
          </w:tcPr>
          <w:p w14:paraId="7999DD3E" w14:textId="77777777" w:rsidR="00963DD7" w:rsidRPr="00521A11" w:rsidRDefault="00963DD7">
            <w:pPr>
              <w:pStyle w:val="Heading5"/>
            </w:pPr>
            <w:r w:rsidRPr="00521A11">
              <w:t>Change Date</w:t>
            </w:r>
          </w:p>
        </w:tc>
        <w:tc>
          <w:tcPr>
            <w:tcW w:w="7740" w:type="dxa"/>
          </w:tcPr>
          <w:p w14:paraId="7999DD3F" w14:textId="14A61583" w:rsidR="00963DD7" w:rsidRPr="00521A11" w:rsidRDefault="008433DD" w:rsidP="00052417">
            <w:pPr>
              <w:pStyle w:val="BlockText"/>
            </w:pPr>
            <w:r w:rsidRPr="00521A11">
              <w:t>March 1, 2016</w:t>
            </w:r>
          </w:p>
        </w:tc>
      </w:tr>
    </w:tbl>
    <w:p w14:paraId="7999DD41" w14:textId="77777777" w:rsidR="00963DD7" w:rsidRPr="00521A11" w:rsidRDefault="001B3CE9">
      <w:pPr>
        <w:pStyle w:val="BlockLine"/>
      </w:pPr>
      <w:r w:rsidRPr="00521A11">
        <w:fldChar w:fldCharType="begin"/>
      </w:r>
      <w:r w:rsidRPr="00521A11">
        <w:instrText xml:space="preserve"> PRIVATE INFOTYPE="CONCEPT" </w:instrText>
      </w:r>
      <w:r w:rsidRPr="00521A11">
        <w:fldChar w:fldCharType="end"/>
      </w:r>
      <w:r w:rsidR="00963DD7" w:rsidRPr="00521A11">
        <w:t xml:space="preserve"> </w:t>
      </w:r>
    </w:p>
    <w:tbl>
      <w:tblPr>
        <w:tblW w:w="0" w:type="auto"/>
        <w:tblLayout w:type="fixed"/>
        <w:tblLook w:val="0000" w:firstRow="0" w:lastRow="0" w:firstColumn="0" w:lastColumn="0" w:noHBand="0" w:noVBand="0"/>
      </w:tblPr>
      <w:tblGrid>
        <w:gridCol w:w="1728"/>
        <w:gridCol w:w="7740"/>
      </w:tblGrid>
      <w:tr w:rsidR="00963DD7" w:rsidRPr="00521A11" w14:paraId="7999DD46" w14:textId="77777777">
        <w:trPr>
          <w:cantSplit/>
        </w:trPr>
        <w:tc>
          <w:tcPr>
            <w:tcW w:w="1728" w:type="dxa"/>
          </w:tcPr>
          <w:p w14:paraId="7999DD42" w14:textId="1B2B4E3E" w:rsidR="00963DD7" w:rsidRPr="00521A11" w:rsidRDefault="00963DD7" w:rsidP="00CE6C69">
            <w:pPr>
              <w:pStyle w:val="Heading5"/>
              <w:numPr>
                <w:ilvl w:val="12"/>
                <w:numId w:val="0"/>
              </w:numPr>
            </w:pPr>
            <w:r w:rsidRPr="00521A11">
              <w:t>a.  Definition:</w:t>
            </w:r>
            <w:r w:rsidRPr="00521A11">
              <w:rPr>
                <w:i/>
              </w:rPr>
              <w:t xml:space="preserve">  </w:t>
            </w:r>
            <w:r w:rsidRPr="00521A11">
              <w:t>Adverse Action Proposal Period</w:t>
            </w:r>
          </w:p>
        </w:tc>
        <w:tc>
          <w:tcPr>
            <w:tcW w:w="7740" w:type="dxa"/>
          </w:tcPr>
          <w:p w14:paraId="7999DD43" w14:textId="71650E05" w:rsidR="00963DD7" w:rsidRPr="00521A11" w:rsidRDefault="00963DD7">
            <w:pPr>
              <w:pStyle w:val="BlockText"/>
              <w:numPr>
                <w:ilvl w:val="12"/>
                <w:numId w:val="0"/>
              </w:numPr>
            </w:pPr>
            <w:r w:rsidRPr="00521A11">
              <w:t xml:space="preserve">The </w:t>
            </w:r>
            <w:r w:rsidRPr="00521A11">
              <w:rPr>
                <w:b/>
                <w:i/>
              </w:rPr>
              <w:t>adverse action proposal period</w:t>
            </w:r>
            <w:r w:rsidRPr="00521A11">
              <w:t xml:space="preserve"> is the control period between the date the notice of proposed adverse action is mailed to the beneficiary and the date that the final </w:t>
            </w:r>
            <w:r w:rsidR="006F5620" w:rsidRPr="00521A11">
              <w:t xml:space="preserve">decision </w:t>
            </w:r>
            <w:r w:rsidRPr="00521A11">
              <w:t xml:space="preserve">notice is sent.  The minimum period for the proposed adverse action is 60 days. </w:t>
            </w:r>
          </w:p>
          <w:p w14:paraId="7999DD44" w14:textId="77777777" w:rsidR="00963DD7" w:rsidRPr="00521A11" w:rsidRDefault="00963DD7">
            <w:pPr>
              <w:pStyle w:val="BlockText"/>
              <w:numPr>
                <w:ilvl w:val="12"/>
                <w:numId w:val="0"/>
              </w:numPr>
            </w:pPr>
          </w:p>
          <w:p w14:paraId="7999DD45" w14:textId="59DB9990" w:rsidR="00963DD7" w:rsidRPr="00521A11" w:rsidRDefault="00963DD7">
            <w:pPr>
              <w:pStyle w:val="BlockText"/>
              <w:numPr>
                <w:ilvl w:val="12"/>
                <w:numId w:val="0"/>
              </w:numPr>
            </w:pPr>
            <w:r w:rsidRPr="00521A11">
              <w:rPr>
                <w:b/>
                <w:i/>
              </w:rPr>
              <w:t>Important</w:t>
            </w:r>
            <w:r w:rsidRPr="00521A11">
              <w:t xml:space="preserve">:  Legally, the beneficiary has 60 days to respond.  However, adverse action should not be taken until </w:t>
            </w:r>
            <w:r w:rsidR="009D4A7C" w:rsidRPr="00521A11">
              <w:t xml:space="preserve">at least </w:t>
            </w:r>
            <w:r w:rsidRPr="00521A11">
              <w:t>the 65</w:t>
            </w:r>
            <w:r w:rsidRPr="00521A11">
              <w:rPr>
                <w:vertAlign w:val="superscript"/>
              </w:rPr>
              <w:t>th</w:t>
            </w:r>
            <w:r w:rsidRPr="00521A11">
              <w:t xml:space="preserve"> day to allow time for evidence to reach the </w:t>
            </w:r>
            <w:r w:rsidR="00580115" w:rsidRPr="00521A11">
              <w:t>development or authorization activity</w:t>
            </w:r>
            <w:r w:rsidRPr="00521A11">
              <w:t xml:space="preserve">. </w:t>
            </w:r>
          </w:p>
        </w:tc>
      </w:tr>
    </w:tbl>
    <w:p w14:paraId="7999DD47" w14:textId="77777777" w:rsidR="00963DD7" w:rsidRPr="00521A11" w:rsidRDefault="001B3CE9">
      <w:pPr>
        <w:pStyle w:val="BlockLine"/>
        <w:numPr>
          <w:ilvl w:val="12"/>
          <w:numId w:val="0"/>
        </w:numPr>
        <w:ind w:left="1700"/>
      </w:pPr>
      <w:r w:rsidRPr="00521A11">
        <w:fldChar w:fldCharType="begin"/>
      </w:r>
      <w:r w:rsidRPr="00521A11">
        <w:instrText xml:space="preserve"> PRIVATE INFOTYPE="PRINCIPLE" </w:instrText>
      </w:r>
      <w:r w:rsidRPr="00521A11">
        <w:fldChar w:fldCharType="end"/>
      </w:r>
    </w:p>
    <w:tbl>
      <w:tblPr>
        <w:tblW w:w="0" w:type="auto"/>
        <w:tblLayout w:type="fixed"/>
        <w:tblLook w:val="0000" w:firstRow="0" w:lastRow="0" w:firstColumn="0" w:lastColumn="0" w:noHBand="0" w:noVBand="0"/>
      </w:tblPr>
      <w:tblGrid>
        <w:gridCol w:w="1728"/>
        <w:gridCol w:w="7740"/>
      </w:tblGrid>
      <w:tr w:rsidR="00963DD7" w:rsidRPr="00521A11" w14:paraId="7999DD4D" w14:textId="77777777">
        <w:trPr>
          <w:cantSplit/>
        </w:trPr>
        <w:tc>
          <w:tcPr>
            <w:tcW w:w="1728" w:type="dxa"/>
          </w:tcPr>
          <w:p w14:paraId="7999DD48" w14:textId="77777777" w:rsidR="00963DD7" w:rsidRPr="00521A11" w:rsidRDefault="00963DD7">
            <w:pPr>
              <w:pStyle w:val="Heading5"/>
              <w:numPr>
                <w:ilvl w:val="12"/>
                <w:numId w:val="0"/>
              </w:numPr>
            </w:pPr>
            <w:r w:rsidRPr="00521A11">
              <w:t>b.  Basic Rule:  65-Day Limit</w:t>
            </w:r>
          </w:p>
        </w:tc>
        <w:tc>
          <w:tcPr>
            <w:tcW w:w="7740" w:type="dxa"/>
          </w:tcPr>
          <w:p w14:paraId="7999DD49" w14:textId="64756842" w:rsidR="00963DD7" w:rsidRPr="00521A11" w:rsidRDefault="00963DD7">
            <w:pPr>
              <w:pStyle w:val="BlockText"/>
              <w:numPr>
                <w:ilvl w:val="12"/>
                <w:numId w:val="0"/>
              </w:numPr>
            </w:pPr>
            <w:r w:rsidRPr="00521A11">
              <w:t>Take no adverse action until</w:t>
            </w:r>
            <w:r w:rsidR="009D4A7C" w:rsidRPr="00521A11">
              <w:t xml:space="preserve"> at least</w:t>
            </w:r>
            <w:r w:rsidRPr="00521A11">
              <w:t xml:space="preserve"> the </w:t>
            </w:r>
            <w:r w:rsidRPr="00521A11">
              <w:rPr>
                <w:b/>
                <w:i/>
              </w:rPr>
              <w:t>65</w:t>
            </w:r>
            <w:r w:rsidRPr="00521A11">
              <w:rPr>
                <w:b/>
                <w:i/>
                <w:vertAlign w:val="superscript"/>
              </w:rPr>
              <w:t>th</w:t>
            </w:r>
            <w:r w:rsidRPr="00521A11">
              <w:rPr>
                <w:b/>
                <w:i/>
              </w:rPr>
              <w:t xml:space="preserve"> day</w:t>
            </w:r>
            <w:r w:rsidRPr="00521A11">
              <w:t xml:space="preserve"> following the date of the notice of proposed adverse action, unless</w:t>
            </w:r>
            <w:r w:rsidRPr="00521A11">
              <w:rPr>
                <w:i/>
              </w:rPr>
              <w:t xml:space="preserve"> </w:t>
            </w:r>
            <w:r w:rsidRPr="00521A11">
              <w:t>the beneficiary</w:t>
            </w:r>
          </w:p>
          <w:p w14:paraId="7999DD4A" w14:textId="77777777" w:rsidR="00963DD7" w:rsidRPr="00521A11" w:rsidRDefault="00963DD7">
            <w:pPr>
              <w:pStyle w:val="BlockText"/>
              <w:numPr>
                <w:ilvl w:val="12"/>
                <w:numId w:val="0"/>
              </w:numPr>
            </w:pPr>
          </w:p>
          <w:p w14:paraId="7999DD4B" w14:textId="77777777" w:rsidR="00963DD7" w:rsidRPr="00521A11" w:rsidRDefault="00963DD7">
            <w:pPr>
              <w:pStyle w:val="BulletText1"/>
            </w:pPr>
            <w:r w:rsidRPr="00521A11">
              <w:t xml:space="preserve">specifically asks that the award be reduced or suspended to minimize any possible overpayment, or </w:t>
            </w:r>
          </w:p>
          <w:p w14:paraId="7999DD4C" w14:textId="77777777" w:rsidR="00963DD7" w:rsidRPr="00521A11" w:rsidRDefault="00963DD7">
            <w:pPr>
              <w:pStyle w:val="BulletText1"/>
            </w:pPr>
            <w:r w:rsidRPr="00521A11">
              <w:t>submits documentary evidence confirming earlier oral information, which is sufficient to justify the proposed adverse action.</w:t>
            </w:r>
          </w:p>
        </w:tc>
      </w:tr>
    </w:tbl>
    <w:p w14:paraId="7999DD4E" w14:textId="77777777" w:rsidR="00963DD7" w:rsidRPr="00521A11" w:rsidRDefault="001B3CE9">
      <w:pPr>
        <w:pStyle w:val="BlockLine"/>
      </w:pPr>
      <w:r w:rsidRPr="00521A11">
        <w:fldChar w:fldCharType="begin"/>
      </w:r>
      <w:r w:rsidRPr="00521A11">
        <w:instrText xml:space="preserve"> PRIVATE INFOTYPE="PROCEDURE" </w:instrText>
      </w:r>
      <w:r w:rsidRPr="00521A11">
        <w:fldChar w:fldCharType="end"/>
      </w:r>
      <w:r w:rsidR="00963DD7" w:rsidRPr="00521A11">
        <w:t xml:space="preserve"> </w:t>
      </w:r>
    </w:p>
    <w:tbl>
      <w:tblPr>
        <w:tblW w:w="0" w:type="auto"/>
        <w:tblLayout w:type="fixed"/>
        <w:tblLook w:val="0000" w:firstRow="0" w:lastRow="0" w:firstColumn="0" w:lastColumn="0" w:noHBand="0" w:noVBand="0"/>
      </w:tblPr>
      <w:tblGrid>
        <w:gridCol w:w="1728"/>
        <w:gridCol w:w="7740"/>
      </w:tblGrid>
      <w:tr w:rsidR="00963DD7" w:rsidRPr="00521A11" w14:paraId="7999DD51" w14:textId="77777777">
        <w:trPr>
          <w:cantSplit/>
        </w:trPr>
        <w:tc>
          <w:tcPr>
            <w:tcW w:w="1728" w:type="dxa"/>
          </w:tcPr>
          <w:p w14:paraId="7999DD4F" w14:textId="589F0074" w:rsidR="00963DD7" w:rsidRPr="00521A11" w:rsidRDefault="00963DD7" w:rsidP="00B132D8">
            <w:pPr>
              <w:pStyle w:val="Heading5"/>
              <w:numPr>
                <w:ilvl w:val="12"/>
                <w:numId w:val="0"/>
              </w:numPr>
            </w:pPr>
            <w:r w:rsidRPr="00521A11">
              <w:t xml:space="preserve">c.  </w:t>
            </w:r>
            <w:r w:rsidR="00B132D8" w:rsidRPr="00521A11">
              <w:t xml:space="preserve">Calculating </w:t>
            </w:r>
            <w:r w:rsidRPr="00521A11">
              <w:t>the Adverse Action Proposal Period</w:t>
            </w:r>
          </w:p>
        </w:tc>
        <w:tc>
          <w:tcPr>
            <w:tcW w:w="7740" w:type="dxa"/>
          </w:tcPr>
          <w:p w14:paraId="7999DD50" w14:textId="77777777" w:rsidR="00963DD7" w:rsidRPr="00521A11" w:rsidRDefault="00963DD7">
            <w:pPr>
              <w:pStyle w:val="BlockText"/>
              <w:numPr>
                <w:ilvl w:val="12"/>
                <w:numId w:val="0"/>
              </w:numPr>
              <w:rPr>
                <w:u w:val="single"/>
              </w:rPr>
            </w:pPr>
            <w:r w:rsidRPr="00521A11">
              <w:t>The first day of the adverse action proposal period is the date that the notice of proposed adverse action is mailed to the beneficiary.  The date of the letter is the date of the mailing for purposes of computing the time limits for the adverse action proposal period.  Use the table below to compute the adverse action proposal period.</w:t>
            </w:r>
          </w:p>
        </w:tc>
      </w:tr>
    </w:tbl>
    <w:p w14:paraId="7999DD52" w14:textId="77777777" w:rsidR="00963DD7" w:rsidRPr="00521A11" w:rsidRDefault="00963DD7">
      <w:pPr>
        <w:numPr>
          <w:ilvl w:val="12"/>
          <w:numId w:val="0"/>
        </w:numPr>
      </w:pPr>
    </w:p>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963DD7" w:rsidRPr="00521A11" w14:paraId="7999DD55" w14:textId="77777777">
        <w:trPr>
          <w:cantSplit/>
        </w:trPr>
        <w:tc>
          <w:tcPr>
            <w:tcW w:w="3773" w:type="dxa"/>
            <w:tcBorders>
              <w:top w:val="single" w:sz="6" w:space="0" w:color="auto"/>
              <w:left w:val="single" w:sz="6" w:space="0" w:color="auto"/>
              <w:bottom w:val="single" w:sz="6" w:space="0" w:color="auto"/>
              <w:right w:val="single" w:sz="6" w:space="0" w:color="auto"/>
            </w:tcBorders>
          </w:tcPr>
          <w:p w14:paraId="7999DD53" w14:textId="77777777" w:rsidR="00963DD7" w:rsidRPr="00521A11" w:rsidRDefault="00963DD7">
            <w:pPr>
              <w:pStyle w:val="TableHeaderText"/>
              <w:numPr>
                <w:ilvl w:val="12"/>
                <w:numId w:val="0"/>
              </w:numPr>
              <w:jc w:val="left"/>
            </w:pPr>
            <w:r w:rsidRPr="00521A11">
              <w:t>If the adverse action proposal period time limit expires on a ...</w:t>
            </w:r>
          </w:p>
        </w:tc>
        <w:tc>
          <w:tcPr>
            <w:tcW w:w="3787" w:type="dxa"/>
            <w:tcBorders>
              <w:top w:val="single" w:sz="6" w:space="0" w:color="auto"/>
              <w:left w:val="single" w:sz="6" w:space="0" w:color="auto"/>
              <w:bottom w:val="single" w:sz="6" w:space="0" w:color="auto"/>
              <w:right w:val="single" w:sz="6" w:space="0" w:color="auto"/>
            </w:tcBorders>
          </w:tcPr>
          <w:p w14:paraId="7999DD54" w14:textId="77777777" w:rsidR="00963DD7" w:rsidRPr="00521A11" w:rsidRDefault="00963DD7">
            <w:pPr>
              <w:pStyle w:val="TableHeaderText"/>
              <w:numPr>
                <w:ilvl w:val="12"/>
                <w:numId w:val="0"/>
              </w:numPr>
              <w:jc w:val="left"/>
            </w:pPr>
            <w:r w:rsidRPr="00521A11">
              <w:t>Then ...</w:t>
            </w:r>
          </w:p>
        </w:tc>
      </w:tr>
      <w:tr w:rsidR="00963DD7" w:rsidRPr="00521A11" w14:paraId="7999DD59" w14:textId="77777777">
        <w:trPr>
          <w:cantSplit/>
        </w:trPr>
        <w:tc>
          <w:tcPr>
            <w:tcW w:w="3773" w:type="dxa"/>
            <w:tcBorders>
              <w:top w:val="single" w:sz="6" w:space="0" w:color="auto"/>
              <w:left w:val="single" w:sz="6" w:space="0" w:color="auto"/>
              <w:bottom w:val="single" w:sz="6" w:space="0" w:color="auto"/>
              <w:right w:val="single" w:sz="6" w:space="0" w:color="auto"/>
            </w:tcBorders>
          </w:tcPr>
          <w:p w14:paraId="7999DD56" w14:textId="77777777" w:rsidR="00963DD7" w:rsidRPr="00521A11" w:rsidRDefault="00963DD7">
            <w:pPr>
              <w:pStyle w:val="TableText"/>
              <w:numPr>
                <w:ilvl w:val="12"/>
                <w:numId w:val="0"/>
              </w:numPr>
            </w:pPr>
            <w:r w:rsidRPr="00521A11">
              <w:t>workday</w:t>
            </w:r>
          </w:p>
        </w:tc>
        <w:tc>
          <w:tcPr>
            <w:tcW w:w="3787" w:type="dxa"/>
            <w:tcBorders>
              <w:top w:val="single" w:sz="6" w:space="0" w:color="auto"/>
              <w:left w:val="single" w:sz="6" w:space="0" w:color="auto"/>
              <w:bottom w:val="single" w:sz="6" w:space="0" w:color="auto"/>
              <w:right w:val="single" w:sz="6" w:space="0" w:color="auto"/>
            </w:tcBorders>
          </w:tcPr>
          <w:p w14:paraId="7999DD57" w14:textId="77777777" w:rsidR="00963DD7" w:rsidRPr="00521A11" w:rsidRDefault="00963DD7">
            <w:pPr>
              <w:pStyle w:val="BulletText1"/>
            </w:pPr>
            <w:r w:rsidRPr="00521A11">
              <w:t>exclude the first day of the adverse action proposal period, and</w:t>
            </w:r>
          </w:p>
          <w:p w14:paraId="7999DD58" w14:textId="77777777" w:rsidR="00963DD7" w:rsidRPr="00521A11" w:rsidRDefault="00963DD7">
            <w:pPr>
              <w:pStyle w:val="BulletText1"/>
            </w:pPr>
            <w:r w:rsidRPr="00521A11">
              <w:t>include the last day.</w:t>
            </w:r>
          </w:p>
        </w:tc>
      </w:tr>
      <w:tr w:rsidR="00963DD7" w:rsidRPr="00521A11" w14:paraId="7999DD5E" w14:textId="77777777">
        <w:trPr>
          <w:cantSplit/>
        </w:trPr>
        <w:tc>
          <w:tcPr>
            <w:tcW w:w="3773" w:type="dxa"/>
            <w:tcBorders>
              <w:top w:val="single" w:sz="6" w:space="0" w:color="auto"/>
              <w:left w:val="single" w:sz="6" w:space="0" w:color="auto"/>
              <w:bottom w:val="single" w:sz="6" w:space="0" w:color="auto"/>
              <w:right w:val="single" w:sz="6" w:space="0" w:color="auto"/>
            </w:tcBorders>
          </w:tcPr>
          <w:p w14:paraId="7999DD5A" w14:textId="77777777" w:rsidR="00963DD7" w:rsidRPr="00521A11" w:rsidRDefault="00963DD7">
            <w:pPr>
              <w:pStyle w:val="BulletText1"/>
            </w:pPr>
            <w:r w:rsidRPr="00521A11">
              <w:lastRenderedPageBreak/>
              <w:t xml:space="preserve">Saturday </w:t>
            </w:r>
          </w:p>
          <w:p w14:paraId="7999DD5B" w14:textId="77777777" w:rsidR="00963DD7" w:rsidRPr="00521A11" w:rsidRDefault="00963DD7">
            <w:pPr>
              <w:pStyle w:val="BulletText1"/>
            </w:pPr>
            <w:r w:rsidRPr="00521A11">
              <w:t xml:space="preserve">Sunday, or </w:t>
            </w:r>
          </w:p>
          <w:p w14:paraId="7999DD5C" w14:textId="77777777" w:rsidR="00963DD7" w:rsidRPr="00521A11" w:rsidRDefault="00963DD7">
            <w:pPr>
              <w:pStyle w:val="BulletText1"/>
            </w:pPr>
            <w:r w:rsidRPr="00521A11">
              <w:t>holiday</w:t>
            </w:r>
          </w:p>
        </w:tc>
        <w:tc>
          <w:tcPr>
            <w:tcW w:w="3787" w:type="dxa"/>
            <w:tcBorders>
              <w:top w:val="single" w:sz="6" w:space="0" w:color="auto"/>
              <w:left w:val="single" w:sz="6" w:space="0" w:color="auto"/>
              <w:bottom w:val="single" w:sz="6" w:space="0" w:color="auto"/>
              <w:right w:val="single" w:sz="6" w:space="0" w:color="auto"/>
            </w:tcBorders>
          </w:tcPr>
          <w:p w14:paraId="7999DD5D" w14:textId="77777777" w:rsidR="00963DD7" w:rsidRPr="00521A11" w:rsidRDefault="00963DD7" w:rsidP="00720FF9">
            <w:pPr>
              <w:pStyle w:val="TableText"/>
            </w:pPr>
            <w:r w:rsidRPr="00521A11">
              <w:t>include the next workday following the weekend or holiday.</w:t>
            </w:r>
          </w:p>
        </w:tc>
      </w:tr>
    </w:tbl>
    <w:p w14:paraId="7999DD5F" w14:textId="77777777" w:rsidR="00963DD7" w:rsidRPr="00521A11" w:rsidRDefault="00963DD7">
      <w:pPr>
        <w:numPr>
          <w:ilvl w:val="12"/>
          <w:numId w:val="0"/>
        </w:numPr>
      </w:pPr>
    </w:p>
    <w:tbl>
      <w:tblPr>
        <w:tblW w:w="0" w:type="auto"/>
        <w:tblInd w:w="1728" w:type="dxa"/>
        <w:tblLayout w:type="fixed"/>
        <w:tblLook w:val="0000" w:firstRow="0" w:lastRow="0" w:firstColumn="0" w:lastColumn="0" w:noHBand="0" w:noVBand="0"/>
      </w:tblPr>
      <w:tblGrid>
        <w:gridCol w:w="7740"/>
      </w:tblGrid>
      <w:tr w:rsidR="00963DD7" w:rsidRPr="00521A11" w14:paraId="7999DD61" w14:textId="77777777">
        <w:trPr>
          <w:cantSplit/>
        </w:trPr>
        <w:tc>
          <w:tcPr>
            <w:tcW w:w="7740" w:type="dxa"/>
          </w:tcPr>
          <w:p w14:paraId="7999DD60" w14:textId="4F2355E6" w:rsidR="00963DD7" w:rsidRPr="00521A11" w:rsidRDefault="00963DD7" w:rsidP="00580115">
            <w:pPr>
              <w:pStyle w:val="NoteText"/>
              <w:numPr>
                <w:ilvl w:val="12"/>
                <w:numId w:val="0"/>
              </w:numPr>
            </w:pPr>
            <w:r w:rsidRPr="00521A11">
              <w:rPr>
                <w:b/>
                <w:i/>
              </w:rPr>
              <w:t>Reference</w:t>
            </w:r>
            <w:r w:rsidRPr="00521A11">
              <w:t>:</w:t>
            </w:r>
            <w:r w:rsidRPr="00521A11">
              <w:rPr>
                <w:b/>
              </w:rPr>
              <w:t xml:space="preserve">  </w:t>
            </w:r>
            <w:r w:rsidRPr="00521A11">
              <w:t>For more information on computing the time limit, see</w:t>
            </w:r>
            <w:r w:rsidRPr="00521A11">
              <w:rPr>
                <w:b/>
              </w:rPr>
              <w:t xml:space="preserve"> </w:t>
            </w:r>
            <w:hyperlink r:id="rId13" w:history="1">
              <w:r w:rsidRPr="00521A11">
                <w:rPr>
                  <w:rStyle w:val="Hyperlink"/>
                </w:rPr>
                <w:t>38 CFR 3.110</w:t>
              </w:r>
            </w:hyperlink>
            <w:r w:rsidR="00580115" w:rsidRPr="00521A11">
              <w:t>.</w:t>
            </w:r>
          </w:p>
        </w:tc>
      </w:tr>
    </w:tbl>
    <w:p w14:paraId="7999DD62" w14:textId="77777777" w:rsidR="00963DD7" w:rsidRPr="00521A11" w:rsidRDefault="001B3CE9">
      <w:pPr>
        <w:pStyle w:val="BlockLine"/>
      </w:pPr>
      <w:r w:rsidRPr="00521A11">
        <w:fldChar w:fldCharType="begin"/>
      </w:r>
      <w:r w:rsidRPr="00521A11">
        <w:instrText xml:space="preserve"> PRIVATE INFOTYPE="PRINCIPLE" </w:instrText>
      </w:r>
      <w:r w:rsidRPr="00521A11">
        <w:fldChar w:fldCharType="end"/>
      </w:r>
    </w:p>
    <w:tbl>
      <w:tblPr>
        <w:tblW w:w="0" w:type="auto"/>
        <w:tblLayout w:type="fixed"/>
        <w:tblLook w:val="0000" w:firstRow="0" w:lastRow="0" w:firstColumn="0" w:lastColumn="0" w:noHBand="0" w:noVBand="0"/>
      </w:tblPr>
      <w:tblGrid>
        <w:gridCol w:w="1728"/>
        <w:gridCol w:w="7740"/>
      </w:tblGrid>
      <w:tr w:rsidR="00963DD7" w:rsidRPr="00521A11" w14:paraId="7999DD6E" w14:textId="77777777">
        <w:trPr>
          <w:cantSplit/>
        </w:trPr>
        <w:tc>
          <w:tcPr>
            <w:tcW w:w="1728" w:type="dxa"/>
          </w:tcPr>
          <w:p w14:paraId="7999DD63" w14:textId="3D5B3767" w:rsidR="00963DD7" w:rsidRPr="00521A11" w:rsidRDefault="00963DD7">
            <w:pPr>
              <w:pStyle w:val="Heading5"/>
              <w:numPr>
                <w:ilvl w:val="12"/>
                <w:numId w:val="0"/>
              </w:numPr>
            </w:pPr>
            <w:r w:rsidRPr="00521A11">
              <w:t>d.  Extending the Adverse Action Proposal Period</w:t>
            </w:r>
          </w:p>
        </w:tc>
        <w:tc>
          <w:tcPr>
            <w:tcW w:w="7740" w:type="dxa"/>
          </w:tcPr>
          <w:p w14:paraId="7999DD64" w14:textId="77777777" w:rsidR="00963DD7" w:rsidRPr="00521A11" w:rsidRDefault="00963DD7">
            <w:pPr>
              <w:pStyle w:val="BlockText"/>
              <w:numPr>
                <w:ilvl w:val="12"/>
                <w:numId w:val="0"/>
              </w:numPr>
            </w:pPr>
            <w:r w:rsidRPr="00521A11">
              <w:t>The adverse action proposal period may be extended for</w:t>
            </w:r>
          </w:p>
          <w:p w14:paraId="7999DD65" w14:textId="77777777" w:rsidR="00963DD7" w:rsidRPr="00521A11" w:rsidRDefault="00963DD7">
            <w:pPr>
              <w:pStyle w:val="BlockText"/>
              <w:numPr>
                <w:ilvl w:val="12"/>
                <w:numId w:val="0"/>
              </w:numPr>
            </w:pPr>
          </w:p>
          <w:p w14:paraId="7999DD66" w14:textId="6B33ED6E" w:rsidR="00963DD7" w:rsidRPr="00521A11" w:rsidRDefault="00963DD7">
            <w:pPr>
              <w:pStyle w:val="BulletText1"/>
            </w:pPr>
            <w:r w:rsidRPr="00521A11">
              <w:t>the development of evidence</w:t>
            </w:r>
          </w:p>
          <w:p w14:paraId="0DB93A75" w14:textId="60FE95DE" w:rsidR="00D97EA2" w:rsidRPr="00521A11" w:rsidRDefault="00963DD7" w:rsidP="00580115">
            <w:pPr>
              <w:pStyle w:val="BulletText1"/>
            </w:pPr>
            <w:r w:rsidRPr="00521A11">
              <w:t>a hearing</w:t>
            </w:r>
            <w:r w:rsidR="00D97EA2" w:rsidRPr="00521A11">
              <w:t>,</w:t>
            </w:r>
            <w:r w:rsidR="006A020E" w:rsidRPr="00521A11">
              <w:t xml:space="preserve"> if the hearing is requested within 30 days following the release of a notice of proposed adverse action,</w:t>
            </w:r>
            <w:r w:rsidR="00D97EA2" w:rsidRPr="00521A11">
              <w:t xml:space="preserve"> or</w:t>
            </w:r>
          </w:p>
          <w:p w14:paraId="6CA204B0" w14:textId="38A4B374" w:rsidR="00D97EA2" w:rsidRPr="00521A11" w:rsidRDefault="00D97EA2" w:rsidP="00D97EA2">
            <w:pPr>
              <w:pStyle w:val="BulletText1"/>
            </w:pPr>
            <w:r w:rsidRPr="00521A11">
              <w:t xml:space="preserve">a </w:t>
            </w:r>
            <w:r w:rsidR="00E07DCE" w:rsidRPr="00521A11">
              <w:t xml:space="preserve">hearing for a </w:t>
            </w:r>
            <w:r w:rsidRPr="00521A11">
              <w:t>propos</w:t>
            </w:r>
            <w:r w:rsidR="00E07DCE" w:rsidRPr="00521A11">
              <w:t>al of</w:t>
            </w:r>
            <w:r w:rsidRPr="00521A11">
              <w:t xml:space="preserve"> incompetency</w:t>
            </w:r>
            <w:r w:rsidR="0064557A" w:rsidRPr="00521A11">
              <w:t xml:space="preserve">, </w:t>
            </w:r>
            <w:r w:rsidR="00E07DCE" w:rsidRPr="00521A11">
              <w:t>if</w:t>
            </w:r>
            <w:r w:rsidRPr="00521A11">
              <w:t xml:space="preserve"> requested </w:t>
            </w:r>
            <w:r w:rsidR="002A128C" w:rsidRPr="00521A11">
              <w:t xml:space="preserve">at any time </w:t>
            </w:r>
            <w:r w:rsidR="000521A6" w:rsidRPr="00521A11">
              <w:rPr>
                <w:i/>
              </w:rPr>
              <w:t>before</w:t>
            </w:r>
            <w:r w:rsidR="000521A6" w:rsidRPr="00521A11">
              <w:t xml:space="preserve"> </w:t>
            </w:r>
            <w:r w:rsidR="00C315B9" w:rsidRPr="00521A11">
              <w:t>the Department of Veterans Affairs (</w:t>
            </w:r>
            <w:r w:rsidR="000521A6" w:rsidRPr="00521A11">
              <w:t>VA</w:t>
            </w:r>
            <w:r w:rsidR="00C315B9" w:rsidRPr="00521A11">
              <w:t>)</w:t>
            </w:r>
            <w:r w:rsidR="000521A6" w:rsidRPr="00521A11">
              <w:t xml:space="preserve"> makes a final decision on the beneficiary’s competency</w:t>
            </w:r>
            <w:r w:rsidR="00580115" w:rsidRPr="00521A11">
              <w:t>.</w:t>
            </w:r>
          </w:p>
          <w:p w14:paraId="2400CA6C" w14:textId="77777777" w:rsidR="00D97EA2" w:rsidRPr="00521A11" w:rsidRDefault="00D97EA2">
            <w:pPr>
              <w:pStyle w:val="BlockText"/>
              <w:numPr>
                <w:ilvl w:val="12"/>
                <w:numId w:val="0"/>
              </w:numPr>
            </w:pPr>
          </w:p>
          <w:p w14:paraId="0803005C" w14:textId="25BF540D" w:rsidR="00162C42" w:rsidRPr="00521A11" w:rsidRDefault="00963DD7">
            <w:pPr>
              <w:pStyle w:val="BlockText"/>
              <w:numPr>
                <w:ilvl w:val="12"/>
                <w:numId w:val="0"/>
              </w:numPr>
            </w:pPr>
            <w:r w:rsidRPr="00521A11">
              <w:t>In addition, the base period may be extended to allow time for an administrative action or a rating decision.</w:t>
            </w:r>
          </w:p>
          <w:p w14:paraId="76316BE3" w14:textId="77777777" w:rsidR="00162C42" w:rsidRPr="00521A11" w:rsidRDefault="00162C42">
            <w:pPr>
              <w:pStyle w:val="BlockText"/>
              <w:numPr>
                <w:ilvl w:val="12"/>
                <w:numId w:val="0"/>
              </w:numPr>
            </w:pPr>
          </w:p>
          <w:p w14:paraId="7EAC8292" w14:textId="153AB40A" w:rsidR="003E4D9A" w:rsidRPr="00521A11" w:rsidRDefault="003E4D9A" w:rsidP="000E6F5A">
            <w:r w:rsidRPr="00521A11">
              <w:rPr>
                <w:b/>
                <w:i/>
              </w:rPr>
              <w:t>References</w:t>
            </w:r>
            <w:r w:rsidRPr="00521A11">
              <w:t>:  For more information on</w:t>
            </w:r>
          </w:p>
          <w:p w14:paraId="06B96FE8" w14:textId="56186A13" w:rsidR="00E07DCE" w:rsidRPr="00521A11" w:rsidRDefault="000521A6" w:rsidP="000521A6">
            <w:pPr>
              <w:pStyle w:val="BulletText1"/>
            </w:pPr>
            <w:r w:rsidRPr="00521A11">
              <w:t>due process requirements for incompetency determinations, see M21-1, Part III, Subpart v, 9.B.3</w:t>
            </w:r>
            <w:r w:rsidR="00FF5651" w:rsidRPr="00521A11">
              <w:t>, and</w:t>
            </w:r>
          </w:p>
          <w:p w14:paraId="7999DD6D" w14:textId="694D1034" w:rsidR="00963DD7" w:rsidRPr="00521A11" w:rsidRDefault="00FF5651" w:rsidP="002A128C">
            <w:pPr>
              <w:pStyle w:val="BulletText1"/>
            </w:pPr>
            <w:r w:rsidRPr="00521A11">
              <w:t xml:space="preserve">required action </w:t>
            </w:r>
            <w:r w:rsidR="000521A6" w:rsidRPr="00521A11">
              <w:t>when a response is</w:t>
            </w:r>
            <w:r w:rsidRPr="00521A11">
              <w:t xml:space="preserve"> received to</w:t>
            </w:r>
            <w:r w:rsidR="000521A6" w:rsidRPr="00521A11">
              <w:t xml:space="preserve"> a </w:t>
            </w:r>
            <w:r w:rsidRPr="00521A11">
              <w:t>proposed adverse action, see M21-1, Part I, 2.C.2.</w:t>
            </w:r>
          </w:p>
        </w:tc>
      </w:tr>
    </w:tbl>
    <w:p w14:paraId="7999DD8A" w14:textId="77777777" w:rsidR="00963DD7" w:rsidRPr="00521A11" w:rsidRDefault="00963DD7">
      <w:pPr>
        <w:pStyle w:val="BlockLine"/>
        <w:numPr>
          <w:ilvl w:val="12"/>
          <w:numId w:val="0"/>
        </w:numPr>
        <w:ind w:left="1700"/>
      </w:pPr>
    </w:p>
    <w:p w14:paraId="7999DD8B" w14:textId="42287C10" w:rsidR="00963DD7" w:rsidRPr="00521A11" w:rsidRDefault="00963DD7" w:rsidP="00666793">
      <w:pPr>
        <w:pStyle w:val="Heading4"/>
        <w:spacing w:after="0"/>
      </w:pPr>
      <w:r w:rsidRPr="00521A11">
        <w:br w:type="page"/>
      </w:r>
      <w:r w:rsidR="00FA24FF" w:rsidRPr="00521A11">
        <w:lastRenderedPageBreak/>
        <w:t>2</w:t>
      </w:r>
      <w:r w:rsidRPr="00521A11">
        <w:t>.  Responding to the Beneficiary</w:t>
      </w:r>
    </w:p>
    <w:p w14:paraId="7999DD8C" w14:textId="77777777" w:rsidR="00963DD7" w:rsidRPr="00521A11" w:rsidRDefault="00963DD7">
      <w:pPr>
        <w:pStyle w:val="BlockLine"/>
        <w:numPr>
          <w:ilvl w:val="12"/>
          <w:numId w:val="0"/>
        </w:numPr>
        <w:ind w:left="1700"/>
      </w:pPr>
      <w:r w:rsidRPr="00521A11">
        <w:fldChar w:fldCharType="begin"/>
      </w:r>
      <w:r w:rsidRPr="00521A11">
        <w:instrText xml:space="preserve"> PRIVATE INFOTYPE="OTHER" </w:instrText>
      </w:r>
      <w:r w:rsidRPr="00521A11">
        <w:fldChar w:fldCharType="end"/>
      </w:r>
    </w:p>
    <w:tbl>
      <w:tblPr>
        <w:tblW w:w="0" w:type="auto"/>
        <w:tblLayout w:type="fixed"/>
        <w:tblLook w:val="0000" w:firstRow="0" w:lastRow="0" w:firstColumn="0" w:lastColumn="0" w:noHBand="0" w:noVBand="0"/>
      </w:tblPr>
      <w:tblGrid>
        <w:gridCol w:w="1728"/>
        <w:gridCol w:w="7740"/>
      </w:tblGrid>
      <w:tr w:rsidR="00963DD7" w:rsidRPr="00521A11" w14:paraId="7999DD98" w14:textId="77777777">
        <w:trPr>
          <w:cantSplit/>
        </w:trPr>
        <w:tc>
          <w:tcPr>
            <w:tcW w:w="1728" w:type="dxa"/>
          </w:tcPr>
          <w:p w14:paraId="7999DD8D" w14:textId="77777777" w:rsidR="00963DD7" w:rsidRPr="00521A11" w:rsidRDefault="00963DD7">
            <w:pPr>
              <w:pStyle w:val="Heading5"/>
              <w:numPr>
                <w:ilvl w:val="12"/>
                <w:numId w:val="0"/>
              </w:numPr>
            </w:pPr>
            <w:r w:rsidRPr="00521A11">
              <w:t>Introduction</w:t>
            </w:r>
          </w:p>
        </w:tc>
        <w:tc>
          <w:tcPr>
            <w:tcW w:w="7740" w:type="dxa"/>
          </w:tcPr>
          <w:p w14:paraId="7999DD8E" w14:textId="77777777" w:rsidR="00963DD7" w:rsidRPr="00521A11" w:rsidRDefault="00963DD7">
            <w:pPr>
              <w:pStyle w:val="BlockText"/>
              <w:numPr>
                <w:ilvl w:val="12"/>
                <w:numId w:val="0"/>
              </w:numPr>
            </w:pPr>
            <w:r w:rsidRPr="00521A11">
              <w:t xml:space="preserve">This topic contains </w:t>
            </w:r>
            <w:r w:rsidR="007374C9" w:rsidRPr="00521A11">
              <w:t>information on</w:t>
            </w:r>
            <w:r w:rsidRPr="00521A11">
              <w:t xml:space="preserve"> responding to the beneficiary, including</w:t>
            </w:r>
          </w:p>
          <w:p w14:paraId="7999DD8F" w14:textId="77777777" w:rsidR="00963DD7" w:rsidRPr="00521A11" w:rsidRDefault="00963DD7">
            <w:pPr>
              <w:pStyle w:val="BlockText"/>
              <w:numPr>
                <w:ilvl w:val="12"/>
                <w:numId w:val="0"/>
              </w:numPr>
            </w:pPr>
          </w:p>
          <w:p w14:paraId="7999DD90" w14:textId="6985ADDB" w:rsidR="00963DD7" w:rsidRPr="00521A11" w:rsidRDefault="00112BDF">
            <w:pPr>
              <w:pStyle w:val="BulletText1"/>
            </w:pPr>
            <w:r w:rsidRPr="00521A11">
              <w:t xml:space="preserve">receipt of </w:t>
            </w:r>
            <w:r w:rsidR="00963DD7" w:rsidRPr="00521A11">
              <w:t xml:space="preserve">insufficient evidence </w:t>
            </w:r>
            <w:r w:rsidRPr="00521A11">
              <w:t xml:space="preserve">or no response </w:t>
            </w:r>
            <w:r w:rsidR="00963DD7" w:rsidRPr="00521A11">
              <w:t>within 60 days</w:t>
            </w:r>
          </w:p>
          <w:p w14:paraId="7999DD91" w14:textId="7540275F" w:rsidR="00963DD7" w:rsidRPr="00521A11" w:rsidRDefault="00896643" w:rsidP="00435E91">
            <w:pPr>
              <w:pStyle w:val="BulletText1"/>
            </w:pPr>
            <w:r w:rsidRPr="00521A11">
              <w:t>responding to invalid</w:t>
            </w:r>
            <w:r w:rsidR="00112BDF" w:rsidRPr="00521A11">
              <w:t xml:space="preserve"> </w:t>
            </w:r>
            <w:r w:rsidR="00963DD7" w:rsidRPr="00521A11">
              <w:t>notice of disagreement</w:t>
            </w:r>
            <w:r w:rsidRPr="00521A11">
              <w:t>s</w:t>
            </w:r>
            <w:r w:rsidR="00963DD7" w:rsidRPr="00521A11">
              <w:t xml:space="preserve"> (NOD</w:t>
            </w:r>
            <w:r w:rsidRPr="00521A11">
              <w:t>s</w:t>
            </w:r>
            <w:r w:rsidR="00963DD7" w:rsidRPr="00521A11">
              <w:t>)</w:t>
            </w:r>
          </w:p>
          <w:p w14:paraId="7999DD92" w14:textId="14D9CDED" w:rsidR="00963DD7" w:rsidRPr="00521A11" w:rsidRDefault="00963DD7" w:rsidP="00435E91">
            <w:pPr>
              <w:pStyle w:val="BulletText1"/>
            </w:pPr>
            <w:r w:rsidRPr="00521A11">
              <w:t>evidence received in 60 days requiring further development</w:t>
            </w:r>
          </w:p>
          <w:p w14:paraId="49A52090" w14:textId="4D2096DD" w:rsidR="00764AD9" w:rsidRPr="00521A11" w:rsidRDefault="00764AD9" w:rsidP="00764AD9">
            <w:pPr>
              <w:pStyle w:val="BulletText1"/>
            </w:pPr>
            <w:r w:rsidRPr="00521A11">
              <w:t>requests by the beneficiary for VA to obtain evidence</w:t>
            </w:r>
          </w:p>
          <w:p w14:paraId="349AB9AB" w14:textId="77777777" w:rsidR="00E06D1A" w:rsidRPr="00521A11" w:rsidRDefault="00D920FA">
            <w:pPr>
              <w:pStyle w:val="BulletText1"/>
            </w:pPr>
            <w:r w:rsidRPr="00521A11">
              <w:t xml:space="preserve">evidence received supporting the proposed adverse action </w:t>
            </w:r>
          </w:p>
          <w:p w14:paraId="7999DD95" w14:textId="2ED1A90B" w:rsidR="00963DD7" w:rsidRPr="00521A11" w:rsidRDefault="00963DD7">
            <w:pPr>
              <w:pStyle w:val="BulletText1"/>
            </w:pPr>
            <w:r w:rsidRPr="00521A11">
              <w:t xml:space="preserve">evidence received </w:t>
            </w:r>
            <w:r w:rsidR="00112BDF" w:rsidRPr="00521A11">
              <w:t>that is favorable to the claimant</w:t>
            </w:r>
          </w:p>
          <w:p w14:paraId="7999DD96" w14:textId="1591F6DD" w:rsidR="00963DD7" w:rsidRPr="00521A11" w:rsidRDefault="00963DD7" w:rsidP="00E453B5">
            <w:pPr>
              <w:pStyle w:val="BulletText1"/>
            </w:pPr>
            <w:r w:rsidRPr="00521A11">
              <w:t xml:space="preserve">evidence received in 60 days </w:t>
            </w:r>
            <w:r w:rsidR="00112BDF" w:rsidRPr="00521A11">
              <w:t xml:space="preserve">that </w:t>
            </w:r>
            <w:r w:rsidRPr="00521A11">
              <w:t>was not reviewed</w:t>
            </w:r>
            <w:r w:rsidR="00E453B5" w:rsidRPr="00521A11">
              <w:t xml:space="preserve"> prior to the final action</w:t>
            </w:r>
            <w:r w:rsidR="00112BDF" w:rsidRPr="00521A11">
              <w:t>, and</w:t>
            </w:r>
          </w:p>
          <w:p w14:paraId="7999DD97" w14:textId="45BBB775" w:rsidR="00963DD7" w:rsidRPr="00521A11" w:rsidRDefault="00963DD7" w:rsidP="00DE1797">
            <w:pPr>
              <w:pStyle w:val="BulletText1"/>
            </w:pPr>
            <w:r w:rsidRPr="00521A11">
              <w:t>request for implementation of adverse action</w:t>
            </w:r>
            <w:r w:rsidR="00112BDF" w:rsidRPr="00521A11">
              <w:t>.</w:t>
            </w:r>
          </w:p>
        </w:tc>
      </w:tr>
    </w:tbl>
    <w:p w14:paraId="7999DD99" w14:textId="77777777" w:rsidR="00963DD7" w:rsidRPr="00521A11" w:rsidRDefault="00963DD7">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963DD7" w:rsidRPr="00521A11" w14:paraId="7999DD9C" w14:textId="77777777">
        <w:trPr>
          <w:cantSplit/>
        </w:trPr>
        <w:tc>
          <w:tcPr>
            <w:tcW w:w="1728" w:type="dxa"/>
          </w:tcPr>
          <w:p w14:paraId="7999DD9A" w14:textId="77777777" w:rsidR="00963DD7" w:rsidRPr="00521A11" w:rsidRDefault="00963DD7">
            <w:pPr>
              <w:pStyle w:val="Heading5"/>
            </w:pPr>
            <w:r w:rsidRPr="00521A11">
              <w:t>Change Date</w:t>
            </w:r>
          </w:p>
        </w:tc>
        <w:tc>
          <w:tcPr>
            <w:tcW w:w="7740" w:type="dxa"/>
          </w:tcPr>
          <w:p w14:paraId="7999DD9B" w14:textId="1B66AACC" w:rsidR="00963DD7" w:rsidRPr="00521A11" w:rsidRDefault="00052417">
            <w:pPr>
              <w:pStyle w:val="BlockText"/>
            </w:pPr>
            <w:r w:rsidRPr="00521A11">
              <w:t>January 18, 2016</w:t>
            </w:r>
          </w:p>
        </w:tc>
      </w:tr>
    </w:tbl>
    <w:p w14:paraId="7999DD9D" w14:textId="77777777" w:rsidR="00963DD7" w:rsidRPr="00521A11" w:rsidRDefault="001B3CE9">
      <w:pPr>
        <w:pStyle w:val="BlockLine"/>
      </w:pPr>
      <w:r w:rsidRPr="00521A11">
        <w:fldChar w:fldCharType="begin"/>
      </w:r>
      <w:r w:rsidRPr="00521A11">
        <w:instrText xml:space="preserve"> PRIVATE INFOTYPE="PROCEDURE" </w:instrText>
      </w:r>
      <w:r w:rsidRPr="00521A11">
        <w:fldChar w:fldCharType="end"/>
      </w:r>
    </w:p>
    <w:tbl>
      <w:tblPr>
        <w:tblW w:w="0" w:type="auto"/>
        <w:tblLayout w:type="fixed"/>
        <w:tblLook w:val="0000" w:firstRow="0" w:lastRow="0" w:firstColumn="0" w:lastColumn="0" w:noHBand="0" w:noVBand="0"/>
      </w:tblPr>
      <w:tblGrid>
        <w:gridCol w:w="1728"/>
        <w:gridCol w:w="7740"/>
      </w:tblGrid>
      <w:tr w:rsidR="00963DD7" w:rsidRPr="00521A11" w14:paraId="7999DDA0" w14:textId="77777777">
        <w:trPr>
          <w:cantSplit/>
        </w:trPr>
        <w:tc>
          <w:tcPr>
            <w:tcW w:w="1728" w:type="dxa"/>
          </w:tcPr>
          <w:p w14:paraId="7999DD9E" w14:textId="77777777" w:rsidR="00963DD7" w:rsidRPr="00521A11" w:rsidRDefault="00963DD7" w:rsidP="00112BDF">
            <w:pPr>
              <w:pStyle w:val="Heading5"/>
              <w:numPr>
                <w:ilvl w:val="12"/>
                <w:numId w:val="0"/>
              </w:numPr>
            </w:pPr>
            <w:bookmarkStart w:id="0" w:name="_a.__Receipt"/>
            <w:bookmarkEnd w:id="0"/>
            <w:r w:rsidRPr="00521A11">
              <w:t xml:space="preserve">a.  </w:t>
            </w:r>
            <w:r w:rsidR="00112BDF" w:rsidRPr="00521A11">
              <w:t xml:space="preserve">Receipt of </w:t>
            </w:r>
            <w:r w:rsidRPr="00521A11">
              <w:t>Insufficient Evi</w:t>
            </w:r>
            <w:r w:rsidR="00112BDF" w:rsidRPr="00521A11">
              <w:t xml:space="preserve">dence or </w:t>
            </w:r>
            <w:r w:rsidR="001B3CE9" w:rsidRPr="00521A11">
              <w:t>No Response W</w:t>
            </w:r>
            <w:r w:rsidRPr="00521A11">
              <w:t>ithin 60 Days</w:t>
            </w:r>
          </w:p>
        </w:tc>
        <w:tc>
          <w:tcPr>
            <w:tcW w:w="7740" w:type="dxa"/>
          </w:tcPr>
          <w:p w14:paraId="7999DD9F" w14:textId="77777777" w:rsidR="00963DD7" w:rsidRPr="00521A11" w:rsidRDefault="00963DD7">
            <w:pPr>
              <w:pStyle w:val="BlockText"/>
              <w:numPr>
                <w:ilvl w:val="12"/>
                <w:numId w:val="0"/>
              </w:numPr>
            </w:pPr>
            <w:r w:rsidRPr="00521A11">
              <w:t>Follow the steps in the table below if the beneficiary either fails to respond within the 60-day period, or if he/she submits insufficient evidence to justify a change in the proposed action.</w:t>
            </w:r>
          </w:p>
        </w:tc>
      </w:tr>
    </w:tbl>
    <w:p w14:paraId="7999DDA1" w14:textId="77777777" w:rsidR="00963DD7" w:rsidRPr="00521A11" w:rsidRDefault="00963DD7">
      <w:pPr>
        <w:numPr>
          <w:ilvl w:val="12"/>
          <w:numId w:val="0"/>
        </w:numPr>
      </w:pPr>
    </w:p>
    <w:tbl>
      <w:tblPr>
        <w:tblW w:w="0" w:type="auto"/>
        <w:tblInd w:w="1829" w:type="dxa"/>
        <w:tblLayout w:type="fixed"/>
        <w:tblLook w:val="0000" w:firstRow="0" w:lastRow="0" w:firstColumn="0" w:lastColumn="0" w:noHBand="0" w:noVBand="0"/>
      </w:tblPr>
      <w:tblGrid>
        <w:gridCol w:w="878"/>
        <w:gridCol w:w="6670"/>
      </w:tblGrid>
      <w:tr w:rsidR="00963DD7" w:rsidRPr="00521A11" w14:paraId="7999DDA4" w14:textId="77777777">
        <w:trPr>
          <w:cantSplit/>
        </w:trPr>
        <w:tc>
          <w:tcPr>
            <w:tcW w:w="878" w:type="dxa"/>
            <w:tcBorders>
              <w:top w:val="single" w:sz="6" w:space="0" w:color="auto"/>
              <w:left w:val="single" w:sz="6" w:space="0" w:color="auto"/>
              <w:bottom w:val="single" w:sz="6" w:space="0" w:color="auto"/>
              <w:right w:val="single" w:sz="6" w:space="0" w:color="auto"/>
            </w:tcBorders>
          </w:tcPr>
          <w:p w14:paraId="7999DDA2" w14:textId="77777777" w:rsidR="00963DD7" w:rsidRPr="00521A11" w:rsidRDefault="00963DD7">
            <w:pPr>
              <w:pStyle w:val="TableHeaderText"/>
              <w:numPr>
                <w:ilvl w:val="12"/>
                <w:numId w:val="0"/>
              </w:numPr>
            </w:pPr>
            <w:r w:rsidRPr="00521A11">
              <w:t>Step</w:t>
            </w:r>
          </w:p>
        </w:tc>
        <w:tc>
          <w:tcPr>
            <w:tcW w:w="6670" w:type="dxa"/>
            <w:tcBorders>
              <w:top w:val="single" w:sz="6" w:space="0" w:color="auto"/>
              <w:bottom w:val="single" w:sz="6" w:space="0" w:color="auto"/>
              <w:right w:val="single" w:sz="6" w:space="0" w:color="auto"/>
            </w:tcBorders>
          </w:tcPr>
          <w:p w14:paraId="7999DDA3" w14:textId="77777777" w:rsidR="00963DD7" w:rsidRPr="00521A11" w:rsidRDefault="00963DD7">
            <w:pPr>
              <w:pStyle w:val="TableHeaderText"/>
              <w:numPr>
                <w:ilvl w:val="12"/>
                <w:numId w:val="0"/>
              </w:numPr>
            </w:pPr>
            <w:r w:rsidRPr="00521A11">
              <w:t>Action</w:t>
            </w:r>
          </w:p>
        </w:tc>
      </w:tr>
      <w:tr w:rsidR="00963DD7" w:rsidRPr="00521A11" w14:paraId="7999DDAC" w14:textId="77777777">
        <w:trPr>
          <w:cantSplit/>
        </w:trPr>
        <w:tc>
          <w:tcPr>
            <w:tcW w:w="878" w:type="dxa"/>
            <w:tcBorders>
              <w:top w:val="single" w:sz="6" w:space="0" w:color="auto"/>
              <w:left w:val="single" w:sz="6" w:space="0" w:color="auto"/>
              <w:bottom w:val="single" w:sz="6" w:space="0" w:color="auto"/>
              <w:right w:val="single" w:sz="6" w:space="0" w:color="auto"/>
            </w:tcBorders>
          </w:tcPr>
          <w:p w14:paraId="7999DDA5" w14:textId="77777777" w:rsidR="00963DD7" w:rsidRPr="00521A11" w:rsidRDefault="00963DD7">
            <w:pPr>
              <w:pStyle w:val="TableText"/>
              <w:numPr>
                <w:ilvl w:val="12"/>
                <w:numId w:val="0"/>
              </w:numPr>
              <w:jc w:val="center"/>
            </w:pPr>
            <w:r w:rsidRPr="00521A11">
              <w:t>1</w:t>
            </w:r>
          </w:p>
        </w:tc>
        <w:tc>
          <w:tcPr>
            <w:tcW w:w="6670" w:type="dxa"/>
            <w:tcBorders>
              <w:top w:val="single" w:sz="6" w:space="0" w:color="auto"/>
              <w:bottom w:val="single" w:sz="6" w:space="0" w:color="auto"/>
              <w:right w:val="single" w:sz="6" w:space="0" w:color="auto"/>
            </w:tcBorders>
          </w:tcPr>
          <w:p w14:paraId="7999DDA6" w14:textId="77777777" w:rsidR="00963DD7" w:rsidRPr="00521A11" w:rsidRDefault="00963DD7">
            <w:pPr>
              <w:pStyle w:val="TableText"/>
              <w:numPr>
                <w:ilvl w:val="12"/>
                <w:numId w:val="0"/>
              </w:numPr>
            </w:pPr>
            <w:r w:rsidRPr="00521A11">
              <w:t>Is a rating decision needed because the proposed adverse action was initiated with a rating decision?</w:t>
            </w:r>
          </w:p>
          <w:p w14:paraId="7999DDA7" w14:textId="77777777" w:rsidR="00963DD7" w:rsidRPr="00521A11" w:rsidRDefault="00963DD7">
            <w:pPr>
              <w:pStyle w:val="TableText"/>
              <w:numPr>
                <w:ilvl w:val="12"/>
                <w:numId w:val="0"/>
              </w:numPr>
            </w:pPr>
          </w:p>
          <w:p w14:paraId="7999DDA8" w14:textId="2B7D2B86" w:rsidR="00963DD7" w:rsidRPr="00521A11" w:rsidRDefault="00963DD7">
            <w:pPr>
              <w:pStyle w:val="BulletText1"/>
            </w:pPr>
            <w:r w:rsidRPr="00521A11">
              <w:t xml:space="preserve">If </w:t>
            </w:r>
            <w:r w:rsidRPr="00521A11">
              <w:rPr>
                <w:i/>
              </w:rPr>
              <w:t>yes</w:t>
            </w:r>
            <w:r w:rsidRPr="00521A11">
              <w:t xml:space="preserve">, route the claims folder to the rating activity at the end of the due process period.  The rating activity will make a decision and then route the folder to </w:t>
            </w:r>
            <w:r w:rsidR="00AD6830" w:rsidRPr="00521A11">
              <w:t xml:space="preserve">the </w:t>
            </w:r>
            <w:r w:rsidRPr="00521A11">
              <w:t>authorization</w:t>
            </w:r>
            <w:r w:rsidR="00AD6830" w:rsidRPr="00521A11">
              <w:t xml:space="preserve"> activity</w:t>
            </w:r>
            <w:r w:rsidRPr="00521A11">
              <w:t xml:space="preserve"> for processing.</w:t>
            </w:r>
          </w:p>
          <w:p w14:paraId="7999DDA9" w14:textId="107A46CC" w:rsidR="00963DD7" w:rsidRPr="00521A11" w:rsidRDefault="00963DD7">
            <w:pPr>
              <w:pStyle w:val="BulletText1"/>
            </w:pPr>
            <w:r w:rsidRPr="00521A11">
              <w:t xml:space="preserve">If </w:t>
            </w:r>
            <w:r w:rsidRPr="00521A11">
              <w:rPr>
                <w:i/>
              </w:rPr>
              <w:t>no,</w:t>
            </w:r>
            <w:r w:rsidRPr="00521A11">
              <w:t xml:space="preserve"> route the claims folder to authorization.  </w:t>
            </w:r>
            <w:r w:rsidR="00AD6830" w:rsidRPr="00521A11">
              <w:t>The</w:t>
            </w:r>
            <w:r w:rsidR="007349BF" w:rsidRPr="00521A11">
              <w:t xml:space="preserve"> a</w:t>
            </w:r>
            <w:r w:rsidRPr="00521A11">
              <w:t>uthorization</w:t>
            </w:r>
            <w:r w:rsidR="00AD6830" w:rsidRPr="00521A11">
              <w:t xml:space="preserve"> activity</w:t>
            </w:r>
            <w:r w:rsidRPr="00521A11">
              <w:t xml:space="preserve"> will reduce, suspend, or terminate benefits using the appropriate effective date provisions.</w:t>
            </w:r>
          </w:p>
          <w:p w14:paraId="743FF1AA" w14:textId="77777777" w:rsidR="002F7D60" w:rsidRPr="00521A11" w:rsidRDefault="002F7D60" w:rsidP="005115E1">
            <w:pPr>
              <w:pStyle w:val="BulletText1"/>
              <w:numPr>
                <w:ilvl w:val="0"/>
                <w:numId w:val="0"/>
              </w:numPr>
            </w:pPr>
          </w:p>
          <w:p w14:paraId="7999DDAB" w14:textId="4C2293B7" w:rsidR="00963DD7" w:rsidRPr="00521A11" w:rsidRDefault="00963DD7">
            <w:pPr>
              <w:pStyle w:val="TableText"/>
              <w:rPr>
                <w:b/>
              </w:rPr>
            </w:pPr>
            <w:r w:rsidRPr="00521A11">
              <w:rPr>
                <w:b/>
                <w:i/>
              </w:rPr>
              <w:t>Reference</w:t>
            </w:r>
            <w:r w:rsidRPr="00521A11">
              <w:t xml:space="preserve">:  For more information on reductions and discontinuances, see </w:t>
            </w:r>
            <w:hyperlink r:id="rId14" w:history="1">
              <w:r w:rsidRPr="00521A11">
                <w:rPr>
                  <w:rStyle w:val="Hyperlink"/>
                </w:rPr>
                <w:t>38 CFR 3.500–3.505</w:t>
              </w:r>
            </w:hyperlink>
            <w:r w:rsidRPr="00521A11">
              <w:t>.</w:t>
            </w:r>
          </w:p>
        </w:tc>
      </w:tr>
      <w:tr w:rsidR="00963DD7" w:rsidRPr="00521A11" w14:paraId="7999DDAF" w14:textId="77777777">
        <w:trPr>
          <w:cantSplit/>
        </w:trPr>
        <w:tc>
          <w:tcPr>
            <w:tcW w:w="878" w:type="dxa"/>
            <w:tcBorders>
              <w:top w:val="single" w:sz="6" w:space="0" w:color="auto"/>
              <w:left w:val="single" w:sz="6" w:space="0" w:color="auto"/>
              <w:bottom w:val="single" w:sz="6" w:space="0" w:color="auto"/>
              <w:right w:val="single" w:sz="6" w:space="0" w:color="auto"/>
            </w:tcBorders>
          </w:tcPr>
          <w:p w14:paraId="7999DDAD" w14:textId="4F096BA0" w:rsidR="00963DD7" w:rsidRPr="00521A11" w:rsidRDefault="00963DD7">
            <w:pPr>
              <w:pStyle w:val="TableText"/>
              <w:numPr>
                <w:ilvl w:val="12"/>
                <w:numId w:val="0"/>
              </w:numPr>
              <w:jc w:val="center"/>
            </w:pPr>
            <w:r w:rsidRPr="00521A11">
              <w:t>2</w:t>
            </w:r>
          </w:p>
        </w:tc>
        <w:tc>
          <w:tcPr>
            <w:tcW w:w="6670" w:type="dxa"/>
            <w:tcBorders>
              <w:top w:val="single" w:sz="6" w:space="0" w:color="auto"/>
              <w:bottom w:val="single" w:sz="6" w:space="0" w:color="auto"/>
              <w:right w:val="single" w:sz="6" w:space="0" w:color="auto"/>
            </w:tcBorders>
          </w:tcPr>
          <w:p w14:paraId="7999DDAE" w14:textId="77777777" w:rsidR="00963DD7" w:rsidRPr="00521A11" w:rsidRDefault="00963DD7">
            <w:pPr>
              <w:pStyle w:val="TableText"/>
              <w:numPr>
                <w:ilvl w:val="12"/>
                <w:numId w:val="0"/>
              </w:numPr>
            </w:pPr>
            <w:r w:rsidRPr="00521A11">
              <w:t>Notify the beneficiary of the final decision.</w:t>
            </w:r>
          </w:p>
        </w:tc>
      </w:tr>
    </w:tbl>
    <w:p w14:paraId="7999DDB0" w14:textId="77777777" w:rsidR="00963DD7" w:rsidRPr="00521A11" w:rsidRDefault="00963DD7">
      <w:pPr>
        <w:pStyle w:val="BlockLine"/>
      </w:pPr>
    </w:p>
    <w:tbl>
      <w:tblPr>
        <w:tblW w:w="0" w:type="auto"/>
        <w:tblLayout w:type="fixed"/>
        <w:tblLook w:val="0000" w:firstRow="0" w:lastRow="0" w:firstColumn="0" w:lastColumn="0" w:noHBand="0" w:noVBand="0"/>
      </w:tblPr>
      <w:tblGrid>
        <w:gridCol w:w="1728"/>
        <w:gridCol w:w="7740"/>
      </w:tblGrid>
      <w:tr w:rsidR="00963DD7" w:rsidRPr="00521A11" w14:paraId="7999DDB3" w14:textId="6D6688E6">
        <w:trPr>
          <w:cantSplit/>
        </w:trPr>
        <w:tc>
          <w:tcPr>
            <w:tcW w:w="1728" w:type="dxa"/>
          </w:tcPr>
          <w:p w14:paraId="7999DDB1" w14:textId="04E13C84" w:rsidR="00963DD7" w:rsidRPr="00521A11" w:rsidRDefault="00896643" w:rsidP="00896643">
            <w:pPr>
              <w:pStyle w:val="Heading5"/>
              <w:numPr>
                <w:ilvl w:val="12"/>
                <w:numId w:val="0"/>
              </w:numPr>
            </w:pPr>
            <w:bookmarkStart w:id="1" w:name="_b.__Responding"/>
            <w:bookmarkEnd w:id="1"/>
            <w:r w:rsidRPr="00521A11">
              <w:t>b.  Responding to Invalid NODs</w:t>
            </w:r>
          </w:p>
        </w:tc>
        <w:tc>
          <w:tcPr>
            <w:tcW w:w="7740" w:type="dxa"/>
          </w:tcPr>
          <w:p w14:paraId="7999DDB2" w14:textId="42940EB8" w:rsidR="00E20E39" w:rsidRPr="00521A11" w:rsidRDefault="000E732F" w:rsidP="00E00E44">
            <w:pPr>
              <w:pStyle w:val="BlockText"/>
              <w:rPr>
                <w:b/>
              </w:rPr>
            </w:pPr>
            <w:r w:rsidRPr="00521A11">
              <w:t xml:space="preserve">If the beneficiary expresses disagreement with a proposed adverse action, send a notice as described in M21-1, Part I, </w:t>
            </w:r>
            <w:r w:rsidR="00E00E44" w:rsidRPr="00521A11">
              <w:t>5</w:t>
            </w:r>
            <w:r w:rsidRPr="00521A11">
              <w:t>.B.1.</w:t>
            </w:r>
            <w:r w:rsidR="00E00E44" w:rsidRPr="00521A11">
              <w:t>c.</w:t>
            </w:r>
          </w:p>
        </w:tc>
      </w:tr>
    </w:tbl>
    <w:p w14:paraId="7999DDC1" w14:textId="77777777" w:rsidR="00963DD7" w:rsidRPr="00521A11" w:rsidRDefault="001B3CE9">
      <w:pPr>
        <w:pStyle w:val="BlockLine"/>
      </w:pPr>
      <w:r w:rsidRPr="00521A11">
        <w:fldChar w:fldCharType="begin"/>
      </w:r>
      <w:r w:rsidRPr="00521A11">
        <w:instrText xml:space="preserve"> PRIVATE INFOTYPE="PRINCIPLE" </w:instrText>
      </w:r>
      <w:r w:rsidRPr="00521A11">
        <w:fldChar w:fldCharType="end"/>
      </w:r>
    </w:p>
    <w:tbl>
      <w:tblPr>
        <w:tblW w:w="0" w:type="auto"/>
        <w:tblLayout w:type="fixed"/>
        <w:tblLook w:val="0000" w:firstRow="0" w:lastRow="0" w:firstColumn="0" w:lastColumn="0" w:noHBand="0" w:noVBand="0"/>
      </w:tblPr>
      <w:tblGrid>
        <w:gridCol w:w="1728"/>
        <w:gridCol w:w="7740"/>
      </w:tblGrid>
      <w:tr w:rsidR="00963DD7" w:rsidRPr="00521A11" w14:paraId="7999DDD1" w14:textId="77777777">
        <w:trPr>
          <w:cantSplit/>
        </w:trPr>
        <w:tc>
          <w:tcPr>
            <w:tcW w:w="1728" w:type="dxa"/>
          </w:tcPr>
          <w:p w14:paraId="7999DDC2" w14:textId="77777777" w:rsidR="00963DD7" w:rsidRPr="00521A11" w:rsidRDefault="008809F9">
            <w:pPr>
              <w:pStyle w:val="Heading5"/>
              <w:numPr>
                <w:ilvl w:val="12"/>
                <w:numId w:val="0"/>
              </w:numPr>
            </w:pPr>
            <w:bookmarkStart w:id="2" w:name="_c.__Evidence"/>
            <w:bookmarkEnd w:id="2"/>
            <w:r w:rsidRPr="00521A11">
              <w:lastRenderedPageBreak/>
              <w:t xml:space="preserve">c.  Evidence Received </w:t>
            </w:r>
            <w:r w:rsidR="00963DD7" w:rsidRPr="00521A11">
              <w:t>in 60 Days Requiring Further Development</w:t>
            </w:r>
          </w:p>
        </w:tc>
        <w:tc>
          <w:tcPr>
            <w:tcW w:w="7740" w:type="dxa"/>
          </w:tcPr>
          <w:p w14:paraId="7999DDC3" w14:textId="77777777" w:rsidR="00963DD7" w:rsidRPr="00521A11" w:rsidRDefault="00963DD7">
            <w:pPr>
              <w:pStyle w:val="BlockText"/>
              <w:numPr>
                <w:ilvl w:val="12"/>
                <w:numId w:val="0"/>
              </w:numPr>
            </w:pPr>
            <w:r w:rsidRPr="00521A11">
              <w:t>If a beneficiary submits evidence that requires further development</w:t>
            </w:r>
          </w:p>
          <w:p w14:paraId="7999DDC4" w14:textId="77777777" w:rsidR="00963DD7" w:rsidRPr="00521A11" w:rsidRDefault="00963DD7">
            <w:pPr>
              <w:pStyle w:val="BlockText"/>
              <w:numPr>
                <w:ilvl w:val="12"/>
                <w:numId w:val="0"/>
              </w:numPr>
            </w:pPr>
          </w:p>
          <w:p w14:paraId="7999DDC5" w14:textId="77777777" w:rsidR="00963DD7" w:rsidRPr="00521A11" w:rsidRDefault="00963DD7">
            <w:pPr>
              <w:pStyle w:val="BulletText1"/>
            </w:pPr>
            <w:r w:rsidRPr="00521A11">
              <w:t xml:space="preserve">continue payments </w:t>
            </w:r>
          </w:p>
          <w:p w14:paraId="7999DDC6" w14:textId="06F5B0A8" w:rsidR="00963DD7" w:rsidRPr="00521A11" w:rsidRDefault="00963DD7">
            <w:pPr>
              <w:pStyle w:val="BulletText1"/>
            </w:pPr>
            <w:r w:rsidRPr="00521A11">
              <w:t xml:space="preserve">begin to develop and evaluate additional evidence </w:t>
            </w:r>
          </w:p>
          <w:p w14:paraId="7999DDC7" w14:textId="1A86C63F" w:rsidR="00963DD7" w:rsidRPr="00521A11" w:rsidRDefault="00963DD7">
            <w:pPr>
              <w:pStyle w:val="BulletText1"/>
            </w:pPr>
            <w:r w:rsidRPr="00521A11">
              <w:t>advance the pending issue suspense date for the proposed adverse action period for development of the evidence, and</w:t>
            </w:r>
          </w:p>
          <w:p w14:paraId="7999DDC8" w14:textId="77777777" w:rsidR="00963DD7" w:rsidRPr="00521A11" w:rsidRDefault="00963DD7">
            <w:pPr>
              <w:pStyle w:val="BulletText1"/>
            </w:pPr>
            <w:r w:rsidRPr="00521A11">
              <w:t xml:space="preserve">hold all the material obtained until </w:t>
            </w:r>
          </w:p>
          <w:p w14:paraId="7999DDC9" w14:textId="77777777" w:rsidR="00963DD7" w:rsidRPr="00521A11" w:rsidRDefault="00963DD7">
            <w:pPr>
              <w:pStyle w:val="BulletText2"/>
            </w:pPr>
            <w:r w:rsidRPr="00521A11">
              <w:t xml:space="preserve">reasonable efforts to obtain additional evidence have been exhausted, or </w:t>
            </w:r>
          </w:p>
          <w:p w14:paraId="7999DDCA" w14:textId="77777777" w:rsidR="00963DD7" w:rsidRPr="00521A11" w:rsidRDefault="00963DD7">
            <w:pPr>
              <w:pStyle w:val="BulletText2"/>
            </w:pPr>
            <w:r w:rsidRPr="00521A11">
              <w:t>a final decision can be made.</w:t>
            </w:r>
          </w:p>
          <w:p w14:paraId="7999DDCB" w14:textId="77777777" w:rsidR="00963DD7" w:rsidRPr="00521A11" w:rsidRDefault="00963DD7">
            <w:pPr>
              <w:pStyle w:val="BlockText"/>
            </w:pPr>
          </w:p>
          <w:p w14:paraId="2DD041E8" w14:textId="6D71BE1E" w:rsidR="00E86CB9" w:rsidRPr="00521A11" w:rsidRDefault="00E86CB9">
            <w:pPr>
              <w:pStyle w:val="BlockText"/>
            </w:pPr>
            <w:r w:rsidRPr="00521A11">
              <w:rPr>
                <w:b/>
                <w:i/>
              </w:rPr>
              <w:t>Note</w:t>
            </w:r>
            <w:r w:rsidR="00AF0EEF" w:rsidRPr="00521A11">
              <w:t>:  Lay s</w:t>
            </w:r>
            <w:r w:rsidRPr="00521A11">
              <w:t>tatements</w:t>
            </w:r>
            <w:r w:rsidR="00307602" w:rsidRPr="00521A11">
              <w:t>, medical records, or other records</w:t>
            </w:r>
            <w:r w:rsidR="00633E73" w:rsidRPr="00521A11">
              <w:t xml:space="preserve"> that are material to the issue</w:t>
            </w:r>
            <w:r w:rsidR="00307602" w:rsidRPr="00521A11">
              <w:t xml:space="preserve"> in which</w:t>
            </w:r>
            <w:r w:rsidR="00B2435F" w:rsidRPr="00521A11">
              <w:t xml:space="preserve"> </w:t>
            </w:r>
            <w:r w:rsidR="00F152D8" w:rsidRPr="00521A11">
              <w:t>V</w:t>
            </w:r>
            <w:r w:rsidR="005406E6" w:rsidRPr="00521A11">
              <w:t>A is</w:t>
            </w:r>
            <w:r w:rsidR="00B2435F" w:rsidRPr="00521A11">
              <w:t xml:space="preserve"> proposing adverse action </w:t>
            </w:r>
            <w:r w:rsidR="0020700D" w:rsidRPr="00521A11">
              <w:t>may be insufficient to justif</w:t>
            </w:r>
            <w:r w:rsidRPr="00521A11">
              <w:t xml:space="preserve">y a change in </w:t>
            </w:r>
            <w:r w:rsidR="00AF0EEF" w:rsidRPr="00521A11">
              <w:t>the proposed adverse action</w:t>
            </w:r>
            <w:r w:rsidR="00307602" w:rsidRPr="00521A11">
              <w:t>; however, this evidence</w:t>
            </w:r>
            <w:r w:rsidRPr="00521A11">
              <w:t xml:space="preserve"> may </w:t>
            </w:r>
            <w:r w:rsidR="00AF0EEF" w:rsidRPr="00521A11">
              <w:t xml:space="preserve">still </w:t>
            </w:r>
            <w:r w:rsidRPr="00521A11">
              <w:t xml:space="preserve">provide sufficient information to warrant further development such as obtaining records or scheduling an examination.  </w:t>
            </w:r>
          </w:p>
          <w:p w14:paraId="2F85746D" w14:textId="77777777" w:rsidR="00E86CB9" w:rsidRPr="00521A11" w:rsidRDefault="00E86CB9">
            <w:pPr>
              <w:pStyle w:val="BlockText"/>
            </w:pPr>
          </w:p>
          <w:p w14:paraId="2F4D87B1" w14:textId="55D0F2C6" w:rsidR="00684305" w:rsidRPr="00521A11" w:rsidRDefault="00684305">
            <w:pPr>
              <w:pStyle w:val="BlockText"/>
            </w:pPr>
            <w:r w:rsidRPr="00521A11">
              <w:rPr>
                <w:b/>
                <w:i/>
              </w:rPr>
              <w:t>Exception</w:t>
            </w:r>
            <w:r w:rsidRPr="00521A11">
              <w:t>:  If the results of th</w:t>
            </w:r>
            <w:r w:rsidR="002A4449" w:rsidRPr="00521A11">
              <w:t>e</w:t>
            </w:r>
            <w:r w:rsidRPr="00521A11">
              <w:t xml:space="preserve"> development clearly indicate continuing entitlement to current benefits or new entitlement to greater benefits, notify the beneficiary and take appropriate award action.</w:t>
            </w:r>
          </w:p>
          <w:p w14:paraId="185E2B2D" w14:textId="78810E91" w:rsidR="00684305" w:rsidRPr="00521A11" w:rsidRDefault="00684305" w:rsidP="00E8223E">
            <w:pPr>
              <w:pStyle w:val="BlockText"/>
            </w:pPr>
          </w:p>
          <w:p w14:paraId="7999DDD0" w14:textId="51D53061" w:rsidR="00963DD7" w:rsidRPr="00521A11" w:rsidRDefault="00963DD7" w:rsidP="002D47A7">
            <w:pPr>
              <w:pStyle w:val="BlockText"/>
            </w:pPr>
            <w:r w:rsidRPr="00521A11">
              <w:rPr>
                <w:b/>
                <w:i/>
              </w:rPr>
              <w:t>Reference</w:t>
            </w:r>
            <w:r w:rsidRPr="00521A11">
              <w:t xml:space="preserve">:  </w:t>
            </w:r>
            <w:r w:rsidR="003E4D9A" w:rsidRPr="00521A11">
              <w:t>For more information on</w:t>
            </w:r>
            <w:r w:rsidR="002D47A7" w:rsidRPr="00521A11">
              <w:t xml:space="preserve"> </w:t>
            </w:r>
            <w:r w:rsidR="008A060F" w:rsidRPr="00521A11">
              <w:t>obtaining evidence after a proposed adverse action, see M21-1, Part I, 2.C.2.d.</w:t>
            </w:r>
          </w:p>
        </w:tc>
      </w:tr>
    </w:tbl>
    <w:p w14:paraId="7999DDD2" w14:textId="0DEE9B7C" w:rsidR="00963DD7" w:rsidRPr="00521A11" w:rsidRDefault="001B3CE9">
      <w:pPr>
        <w:pStyle w:val="BlockLine"/>
      </w:pPr>
      <w:r w:rsidRPr="00521A11">
        <w:fldChar w:fldCharType="begin"/>
      </w:r>
      <w:r w:rsidRPr="00521A11">
        <w:instrText xml:space="preserve"> PRIVATE INFOTYPE="PROCEDURE" </w:instrText>
      </w:r>
      <w:r w:rsidRPr="00521A11">
        <w:fldChar w:fldCharType="end"/>
      </w:r>
      <w:r w:rsidR="00963DD7" w:rsidRPr="00521A11">
        <w:t xml:space="preserve"> </w:t>
      </w:r>
    </w:p>
    <w:tbl>
      <w:tblPr>
        <w:tblW w:w="0" w:type="auto"/>
        <w:tblLayout w:type="fixed"/>
        <w:tblLook w:val="0000" w:firstRow="0" w:lastRow="0" w:firstColumn="0" w:lastColumn="0" w:noHBand="0" w:noVBand="0"/>
      </w:tblPr>
      <w:tblGrid>
        <w:gridCol w:w="1728"/>
        <w:gridCol w:w="7740"/>
      </w:tblGrid>
      <w:tr w:rsidR="00963DD7" w:rsidRPr="00521A11" w14:paraId="7999DDD5" w14:textId="77777777" w:rsidTr="008A060F">
        <w:tc>
          <w:tcPr>
            <w:tcW w:w="1728" w:type="dxa"/>
          </w:tcPr>
          <w:p w14:paraId="7999DDD3" w14:textId="74FC5EDC" w:rsidR="00963DD7" w:rsidRPr="00521A11" w:rsidRDefault="00112BDF">
            <w:pPr>
              <w:pStyle w:val="Heading5"/>
              <w:numPr>
                <w:ilvl w:val="12"/>
                <w:numId w:val="0"/>
              </w:numPr>
            </w:pPr>
            <w:bookmarkStart w:id="3" w:name="_d.__Requests"/>
            <w:bookmarkEnd w:id="3"/>
            <w:r w:rsidRPr="00521A11">
              <w:t>d.  Request</w:t>
            </w:r>
            <w:r w:rsidR="00764AD9" w:rsidRPr="00521A11">
              <w:t>s by the Beneficiary</w:t>
            </w:r>
            <w:r w:rsidR="00963DD7" w:rsidRPr="00521A11">
              <w:t xml:space="preserve"> for VA to Obtain Evidence</w:t>
            </w:r>
          </w:p>
        </w:tc>
        <w:tc>
          <w:tcPr>
            <w:tcW w:w="7740" w:type="dxa"/>
          </w:tcPr>
          <w:p w14:paraId="6A6B446A" w14:textId="7C8305C4" w:rsidR="00963DD7" w:rsidRPr="00521A11" w:rsidRDefault="00B132D8" w:rsidP="004B2968">
            <w:pPr>
              <w:pStyle w:val="BlockText"/>
              <w:numPr>
                <w:ilvl w:val="12"/>
                <w:numId w:val="0"/>
              </w:numPr>
            </w:pPr>
            <w:r w:rsidRPr="00521A11">
              <w:t>Develop</w:t>
            </w:r>
            <w:r w:rsidR="00764AD9" w:rsidRPr="00521A11">
              <w:t xml:space="preserve"> to request all relevant </w:t>
            </w:r>
            <w:r w:rsidR="00725EE6" w:rsidRPr="00521A11">
              <w:t xml:space="preserve">records identified by the beneficiary </w:t>
            </w:r>
            <w:r w:rsidR="00EF0804" w:rsidRPr="00521A11">
              <w:t xml:space="preserve">or representative </w:t>
            </w:r>
            <w:r w:rsidR="00725EE6" w:rsidRPr="00521A11">
              <w:t>du</w:t>
            </w:r>
            <w:r w:rsidR="00D4337B" w:rsidRPr="00521A11">
              <w:t>ring the 60</w:t>
            </w:r>
            <w:r w:rsidR="00974C53" w:rsidRPr="00521A11">
              <w:t>-</w:t>
            </w:r>
            <w:r w:rsidR="00D4337B" w:rsidRPr="00521A11">
              <w:t>day response period</w:t>
            </w:r>
            <w:r w:rsidR="004B2968" w:rsidRPr="00521A11">
              <w:t>.  D</w:t>
            </w:r>
            <w:r w:rsidR="00D4337B" w:rsidRPr="00521A11">
              <w:t xml:space="preserve">o not take any action specified in the notice of proposed adverse action until </w:t>
            </w:r>
            <w:r w:rsidR="004B2968" w:rsidRPr="00521A11">
              <w:t>VA has met its duty to assist.</w:t>
            </w:r>
          </w:p>
          <w:p w14:paraId="36C44FDA" w14:textId="77777777" w:rsidR="00725EE6" w:rsidRPr="00521A11" w:rsidRDefault="00725EE6">
            <w:pPr>
              <w:pStyle w:val="BlockText"/>
              <w:numPr>
                <w:ilvl w:val="12"/>
                <w:numId w:val="0"/>
              </w:numPr>
            </w:pPr>
          </w:p>
          <w:p w14:paraId="5E30CC19" w14:textId="435576B3" w:rsidR="003B11D7" w:rsidRPr="00521A11" w:rsidRDefault="00E456CF" w:rsidP="000C289C">
            <w:pPr>
              <w:pStyle w:val="BulletText1"/>
              <w:numPr>
                <w:ilvl w:val="12"/>
                <w:numId w:val="0"/>
              </w:numPr>
            </w:pPr>
            <w:r w:rsidRPr="00521A11">
              <w:rPr>
                <w:b/>
                <w:i/>
              </w:rPr>
              <w:t>Exception</w:t>
            </w:r>
            <w:r w:rsidR="003B11D7" w:rsidRPr="00521A11">
              <w:t xml:space="preserve">: </w:t>
            </w:r>
            <w:r w:rsidR="00EF0804" w:rsidRPr="00521A11">
              <w:t xml:space="preserve"> </w:t>
            </w:r>
            <w:r w:rsidR="003B11D7" w:rsidRPr="00521A11">
              <w:t xml:space="preserve">If the beneficiary submits a request for VA to obtain records that will </w:t>
            </w:r>
            <w:r w:rsidR="003B11D7" w:rsidRPr="00521A11">
              <w:rPr>
                <w:b/>
                <w:i/>
              </w:rPr>
              <w:t>not</w:t>
            </w:r>
            <w:r w:rsidR="003B11D7" w:rsidRPr="00521A11">
              <w:t xml:space="preserve"> impact the decision, then </w:t>
            </w:r>
            <w:r w:rsidR="000C289C" w:rsidRPr="00521A11">
              <w:t>request the evidence, but do not delay the action specified in the notice of proposed adverse action.</w:t>
            </w:r>
          </w:p>
          <w:p w14:paraId="4A4F699C" w14:textId="77777777" w:rsidR="000C289C" w:rsidRPr="00521A11" w:rsidRDefault="000C289C" w:rsidP="000C289C">
            <w:pPr>
              <w:pStyle w:val="BulletText1"/>
              <w:numPr>
                <w:ilvl w:val="12"/>
                <w:numId w:val="0"/>
              </w:numPr>
            </w:pPr>
          </w:p>
          <w:p w14:paraId="05528CDF" w14:textId="4AF3020E" w:rsidR="00E456CF" w:rsidRPr="00521A11" w:rsidRDefault="00725EE6" w:rsidP="00725EE6">
            <w:pPr>
              <w:pStyle w:val="BlockText"/>
              <w:numPr>
                <w:ilvl w:val="12"/>
                <w:numId w:val="0"/>
              </w:numPr>
            </w:pPr>
            <w:r w:rsidRPr="00521A11">
              <w:rPr>
                <w:b/>
                <w:i/>
              </w:rPr>
              <w:t>Reference</w:t>
            </w:r>
            <w:r w:rsidR="00D4337B" w:rsidRPr="00521A11">
              <w:rPr>
                <w:b/>
                <w:i/>
              </w:rPr>
              <w:t>s</w:t>
            </w:r>
            <w:r w:rsidRPr="00521A11">
              <w:t xml:space="preserve">:  </w:t>
            </w:r>
            <w:r w:rsidR="00764AD9" w:rsidRPr="00521A11">
              <w:t>For more information on</w:t>
            </w:r>
          </w:p>
          <w:p w14:paraId="67A2B205" w14:textId="5872B8FF" w:rsidR="00E456CF" w:rsidRPr="00521A11" w:rsidRDefault="0020549B" w:rsidP="00A74092">
            <w:pPr>
              <w:pStyle w:val="ListParagraph"/>
              <w:numPr>
                <w:ilvl w:val="0"/>
                <w:numId w:val="5"/>
              </w:numPr>
              <w:ind w:left="158" w:hanging="187"/>
            </w:pPr>
            <w:r w:rsidRPr="00521A11">
              <w:t xml:space="preserve">relevant records and </w:t>
            </w:r>
            <w:r w:rsidR="00E8223E" w:rsidRPr="00521A11">
              <w:t>reasonable efforts</w:t>
            </w:r>
            <w:r w:rsidRPr="00521A11">
              <w:t xml:space="preserve"> in obtaining records, see </w:t>
            </w:r>
          </w:p>
          <w:p w14:paraId="00799585" w14:textId="679448F9" w:rsidR="0020549B" w:rsidRPr="00521A11" w:rsidRDefault="0020549B" w:rsidP="00E456CF">
            <w:pPr>
              <w:pStyle w:val="BulletText2"/>
            </w:pPr>
            <w:r w:rsidRPr="00521A11">
              <w:t>M21-1, Part I, 1.C,</w:t>
            </w:r>
            <w:r w:rsidR="00E456CF" w:rsidRPr="00521A11">
              <w:t xml:space="preserve"> and</w:t>
            </w:r>
          </w:p>
          <w:p w14:paraId="3EC06C85" w14:textId="6EDEB2E7" w:rsidR="00E456CF" w:rsidRPr="00521A11" w:rsidRDefault="00E250E0" w:rsidP="00E456CF">
            <w:pPr>
              <w:pStyle w:val="BulletText2"/>
            </w:pPr>
            <w:hyperlink r:id="rId15" w:history="1">
              <w:r w:rsidR="00E456CF" w:rsidRPr="00521A11">
                <w:rPr>
                  <w:rStyle w:val="Hyperlink"/>
                </w:rPr>
                <w:t>38 CFR 3.159(c)</w:t>
              </w:r>
            </w:hyperlink>
          </w:p>
          <w:p w14:paraId="3147D44E" w14:textId="7E1018DA" w:rsidR="00725EE6" w:rsidRPr="00521A11" w:rsidRDefault="00725EE6" w:rsidP="00A74092">
            <w:pPr>
              <w:pStyle w:val="ListParagraph"/>
              <w:numPr>
                <w:ilvl w:val="0"/>
                <w:numId w:val="5"/>
              </w:numPr>
              <w:ind w:left="158" w:hanging="187"/>
            </w:pPr>
            <w:r w:rsidRPr="00521A11">
              <w:t>requesting evidence from sources other than the claimant, see M21-1, Part III, Subpart iii, 1.C</w:t>
            </w:r>
            <w:r w:rsidR="00D4337B" w:rsidRPr="00521A11">
              <w:t>, and</w:t>
            </w:r>
          </w:p>
          <w:p w14:paraId="7999DDD4" w14:textId="2C6390DF" w:rsidR="00D4337B" w:rsidRPr="00521A11" w:rsidRDefault="00D4337B" w:rsidP="00A74092">
            <w:pPr>
              <w:pStyle w:val="ListParagraph"/>
              <w:numPr>
                <w:ilvl w:val="0"/>
                <w:numId w:val="5"/>
              </w:numPr>
              <w:ind w:left="158" w:hanging="187"/>
            </w:pPr>
            <w:r w:rsidRPr="00521A11">
              <w:t>developing for service records, see M21-1, Part III, Subpart iii, 2.</w:t>
            </w:r>
          </w:p>
        </w:tc>
      </w:tr>
    </w:tbl>
    <w:p w14:paraId="7999DDED" w14:textId="763A71D3" w:rsidR="00963DD7" w:rsidRPr="00521A11" w:rsidRDefault="001B3CE9">
      <w:pPr>
        <w:pStyle w:val="BlockLine"/>
      </w:pPr>
      <w:r w:rsidRPr="00521A11">
        <w:fldChar w:fldCharType="begin"/>
      </w:r>
      <w:r w:rsidRPr="00521A11">
        <w:instrText xml:space="preserve"> PRIVATE INFOTYPE="PRINCIPLE" </w:instrText>
      </w:r>
      <w:r w:rsidRPr="00521A11">
        <w:fldChar w:fldCharType="end"/>
      </w:r>
    </w:p>
    <w:tbl>
      <w:tblPr>
        <w:tblW w:w="0" w:type="auto"/>
        <w:tblLayout w:type="fixed"/>
        <w:tblLook w:val="0000" w:firstRow="0" w:lastRow="0" w:firstColumn="0" w:lastColumn="0" w:noHBand="0" w:noVBand="0"/>
      </w:tblPr>
      <w:tblGrid>
        <w:gridCol w:w="1728"/>
        <w:gridCol w:w="7740"/>
      </w:tblGrid>
      <w:tr w:rsidR="00963DD7" w:rsidRPr="00521A11" w14:paraId="7999DDF3" w14:textId="77777777" w:rsidTr="002658CB">
        <w:tc>
          <w:tcPr>
            <w:tcW w:w="1728" w:type="dxa"/>
          </w:tcPr>
          <w:p w14:paraId="7999DDEE" w14:textId="49813739" w:rsidR="00963DD7" w:rsidRPr="00521A11" w:rsidRDefault="00963DD7" w:rsidP="00716843">
            <w:pPr>
              <w:pStyle w:val="Heading5"/>
              <w:numPr>
                <w:ilvl w:val="12"/>
                <w:numId w:val="0"/>
              </w:numPr>
            </w:pPr>
            <w:bookmarkStart w:id="4" w:name="_e.__Evidence"/>
            <w:bookmarkEnd w:id="4"/>
            <w:r w:rsidRPr="00521A11">
              <w:t>e</w:t>
            </w:r>
            <w:r w:rsidR="0018100C" w:rsidRPr="00521A11">
              <w:t>.  Evidence Received Supporting the Proposed Adverse Action</w:t>
            </w:r>
          </w:p>
        </w:tc>
        <w:tc>
          <w:tcPr>
            <w:tcW w:w="7740" w:type="dxa"/>
          </w:tcPr>
          <w:p w14:paraId="7999DDEF" w14:textId="7D306BD5" w:rsidR="00963DD7" w:rsidRPr="00521A11" w:rsidRDefault="00963DD7">
            <w:pPr>
              <w:pStyle w:val="BlockText"/>
              <w:numPr>
                <w:ilvl w:val="12"/>
                <w:numId w:val="0"/>
              </w:numPr>
            </w:pPr>
            <w:r w:rsidRPr="00521A11">
              <w:t xml:space="preserve">If the beneficiary sends documentary evidence that supports </w:t>
            </w:r>
            <w:r w:rsidR="00716843" w:rsidRPr="00521A11">
              <w:t xml:space="preserve">the proposed </w:t>
            </w:r>
            <w:r w:rsidR="0063590A" w:rsidRPr="00521A11">
              <w:t>adverse action</w:t>
            </w:r>
          </w:p>
          <w:p w14:paraId="7999DDF0" w14:textId="77777777" w:rsidR="00963DD7" w:rsidRPr="00521A11" w:rsidRDefault="00963DD7" w:rsidP="00720FF9">
            <w:pPr>
              <w:pStyle w:val="BlockText"/>
            </w:pPr>
          </w:p>
          <w:p w14:paraId="7999DDF1" w14:textId="45A5BA52" w:rsidR="00963DD7" w:rsidRPr="00521A11" w:rsidRDefault="00963DD7">
            <w:pPr>
              <w:pStyle w:val="BulletText1"/>
            </w:pPr>
            <w:r w:rsidRPr="00521A11">
              <w:t xml:space="preserve">make </w:t>
            </w:r>
            <w:r w:rsidR="00DE1797" w:rsidRPr="00521A11">
              <w:t>the</w:t>
            </w:r>
            <w:r w:rsidR="0063590A" w:rsidRPr="00521A11">
              <w:t xml:space="preserve"> </w:t>
            </w:r>
            <w:r w:rsidRPr="00521A11">
              <w:t>adjustment, and</w:t>
            </w:r>
          </w:p>
          <w:p w14:paraId="7999DDF2" w14:textId="4F696385" w:rsidR="00963DD7" w:rsidRPr="00521A11" w:rsidRDefault="00963DD7">
            <w:pPr>
              <w:pStyle w:val="BulletText1"/>
            </w:pPr>
            <w:r w:rsidRPr="00521A11">
              <w:t>send the beneficiary a</w:t>
            </w:r>
            <w:r w:rsidR="00716843" w:rsidRPr="00521A11">
              <w:t xml:space="preserve"> final decision</w:t>
            </w:r>
            <w:r w:rsidRPr="00521A11">
              <w:t xml:space="preserve"> notice of the implemented adverse action.</w:t>
            </w:r>
          </w:p>
        </w:tc>
      </w:tr>
    </w:tbl>
    <w:p w14:paraId="7999DDF4" w14:textId="77777777" w:rsidR="00963DD7" w:rsidRPr="00521A11" w:rsidRDefault="001B3CE9">
      <w:pPr>
        <w:pStyle w:val="BlockLine"/>
      </w:pPr>
      <w:r w:rsidRPr="00521A11">
        <w:lastRenderedPageBreak/>
        <w:fldChar w:fldCharType="begin"/>
      </w:r>
      <w:r w:rsidRPr="00521A11">
        <w:instrText xml:space="preserve"> PRIVATE INFOTYPE="PRINCIPLE" </w:instrText>
      </w:r>
      <w:r w:rsidRPr="00521A11">
        <w:fldChar w:fldCharType="end"/>
      </w:r>
      <w:r w:rsidR="00963DD7" w:rsidRPr="00521A11">
        <w:t xml:space="preserve"> </w:t>
      </w:r>
    </w:p>
    <w:tbl>
      <w:tblPr>
        <w:tblW w:w="0" w:type="auto"/>
        <w:tblLayout w:type="fixed"/>
        <w:tblLook w:val="0000" w:firstRow="0" w:lastRow="0" w:firstColumn="0" w:lastColumn="0" w:noHBand="0" w:noVBand="0"/>
      </w:tblPr>
      <w:tblGrid>
        <w:gridCol w:w="1728"/>
        <w:gridCol w:w="7740"/>
      </w:tblGrid>
      <w:tr w:rsidR="00963DD7" w:rsidRPr="00521A11" w14:paraId="7999DDFA" w14:textId="77777777">
        <w:trPr>
          <w:cantSplit/>
        </w:trPr>
        <w:tc>
          <w:tcPr>
            <w:tcW w:w="1728" w:type="dxa"/>
          </w:tcPr>
          <w:p w14:paraId="7999DDF5" w14:textId="77777777" w:rsidR="00963DD7" w:rsidRPr="00521A11" w:rsidRDefault="00963DD7" w:rsidP="00112BDF">
            <w:pPr>
              <w:pStyle w:val="Heading5"/>
              <w:numPr>
                <w:ilvl w:val="12"/>
                <w:numId w:val="0"/>
              </w:numPr>
            </w:pPr>
            <w:bookmarkStart w:id="5" w:name="_f.__Evidence"/>
            <w:bookmarkEnd w:id="5"/>
            <w:r w:rsidRPr="00521A11">
              <w:t xml:space="preserve">f.  Evidence </w:t>
            </w:r>
            <w:r w:rsidR="00112BDF" w:rsidRPr="00521A11">
              <w:t xml:space="preserve">Received That Is </w:t>
            </w:r>
            <w:r w:rsidRPr="00521A11">
              <w:t xml:space="preserve">Favorable to the Claimant </w:t>
            </w:r>
          </w:p>
        </w:tc>
        <w:tc>
          <w:tcPr>
            <w:tcW w:w="7740" w:type="dxa"/>
          </w:tcPr>
          <w:p w14:paraId="7999DDF6" w14:textId="77777777" w:rsidR="00963DD7" w:rsidRPr="00521A11" w:rsidRDefault="00963DD7">
            <w:pPr>
              <w:pStyle w:val="BlockText"/>
              <w:numPr>
                <w:ilvl w:val="12"/>
                <w:numId w:val="0"/>
              </w:numPr>
            </w:pPr>
            <w:r w:rsidRPr="00521A11">
              <w:t>Once a notice of proposed adverse action is sent, if new evidence establishes that the adverse action should not</w:t>
            </w:r>
            <w:r w:rsidRPr="00521A11">
              <w:rPr>
                <w:b/>
              </w:rPr>
              <w:t xml:space="preserve"> </w:t>
            </w:r>
            <w:r w:rsidRPr="00521A11">
              <w:t>be taken, then</w:t>
            </w:r>
          </w:p>
          <w:p w14:paraId="7999DDF7" w14:textId="77777777" w:rsidR="00963DD7" w:rsidRPr="00521A11" w:rsidRDefault="00963DD7">
            <w:pPr>
              <w:pStyle w:val="BlockText"/>
              <w:numPr>
                <w:ilvl w:val="12"/>
                <w:numId w:val="0"/>
              </w:numPr>
            </w:pPr>
          </w:p>
          <w:p w14:paraId="7999DDF8" w14:textId="77777777" w:rsidR="00963DD7" w:rsidRPr="00521A11" w:rsidRDefault="00963DD7">
            <w:pPr>
              <w:pStyle w:val="BulletText1"/>
            </w:pPr>
            <w:r w:rsidRPr="00521A11">
              <w:t>take appropriate action to amend or reverse the proposed action, and</w:t>
            </w:r>
          </w:p>
          <w:p w14:paraId="32333F97" w14:textId="3E5A704B" w:rsidR="00963DD7" w:rsidRPr="00521A11" w:rsidRDefault="00716843" w:rsidP="00716843">
            <w:pPr>
              <w:pStyle w:val="BulletText1"/>
            </w:pPr>
            <w:r w:rsidRPr="00521A11">
              <w:t>send the beneficiary a final decision notice</w:t>
            </w:r>
            <w:r w:rsidR="00963DD7" w:rsidRPr="00521A11">
              <w:t>.</w:t>
            </w:r>
          </w:p>
          <w:p w14:paraId="5C4700F6" w14:textId="77777777" w:rsidR="0035665C" w:rsidRPr="00521A11" w:rsidRDefault="0035665C" w:rsidP="0035665C">
            <w:pPr>
              <w:pStyle w:val="BlockText"/>
            </w:pPr>
          </w:p>
          <w:p w14:paraId="7999DDF9" w14:textId="3F7BD9FE" w:rsidR="0035665C" w:rsidRPr="00521A11" w:rsidRDefault="0035665C" w:rsidP="0035665C">
            <w:pPr>
              <w:pStyle w:val="BulletText1"/>
              <w:numPr>
                <w:ilvl w:val="0"/>
                <w:numId w:val="0"/>
              </w:numPr>
            </w:pPr>
            <w:r w:rsidRPr="00521A11">
              <w:rPr>
                <w:b/>
                <w:i/>
              </w:rPr>
              <w:t>Reference</w:t>
            </w:r>
            <w:r w:rsidRPr="00521A11">
              <w:t>:  For more information on preparing a new rating decision following receipt of additional evidence, see M21-1, Part III, Subpart iv, 8.B.1.f.</w:t>
            </w:r>
          </w:p>
        </w:tc>
      </w:tr>
    </w:tbl>
    <w:p w14:paraId="7999DDFB" w14:textId="77777777" w:rsidR="00963DD7" w:rsidRPr="00521A11" w:rsidRDefault="001B3CE9">
      <w:pPr>
        <w:pStyle w:val="BlockLine"/>
      </w:pPr>
      <w:r w:rsidRPr="00521A11">
        <w:fldChar w:fldCharType="begin"/>
      </w:r>
      <w:r w:rsidRPr="00521A11">
        <w:instrText xml:space="preserve"> PRIVATE INFOTYPE="PRINCIPLE" </w:instrText>
      </w:r>
      <w:r w:rsidRPr="00521A11">
        <w:fldChar w:fldCharType="end"/>
      </w:r>
    </w:p>
    <w:tbl>
      <w:tblPr>
        <w:tblW w:w="0" w:type="auto"/>
        <w:tblLayout w:type="fixed"/>
        <w:tblLook w:val="0000" w:firstRow="0" w:lastRow="0" w:firstColumn="0" w:lastColumn="0" w:noHBand="0" w:noVBand="0"/>
      </w:tblPr>
      <w:tblGrid>
        <w:gridCol w:w="1728"/>
        <w:gridCol w:w="7740"/>
      </w:tblGrid>
      <w:tr w:rsidR="00963DD7" w:rsidRPr="00521A11" w14:paraId="7999DDFE" w14:textId="77777777">
        <w:trPr>
          <w:cantSplit/>
        </w:trPr>
        <w:tc>
          <w:tcPr>
            <w:tcW w:w="1728" w:type="dxa"/>
          </w:tcPr>
          <w:p w14:paraId="7999DDFC" w14:textId="316FA0DE" w:rsidR="00963DD7" w:rsidRPr="00521A11" w:rsidRDefault="00963DD7">
            <w:pPr>
              <w:pStyle w:val="Heading5"/>
              <w:numPr>
                <w:ilvl w:val="12"/>
                <w:numId w:val="0"/>
              </w:numPr>
            </w:pPr>
            <w:bookmarkStart w:id="6" w:name="_g.__Evidence"/>
            <w:bookmarkEnd w:id="6"/>
            <w:r w:rsidRPr="00521A11">
              <w:t xml:space="preserve">g.  Evidence Received in 60 Days </w:t>
            </w:r>
            <w:r w:rsidR="00112BDF" w:rsidRPr="00521A11">
              <w:t xml:space="preserve">That </w:t>
            </w:r>
            <w:r w:rsidRPr="00521A11">
              <w:t>Was Not Reviewed</w:t>
            </w:r>
            <w:r w:rsidR="00571D95" w:rsidRPr="00521A11">
              <w:t xml:space="preserve"> Prior to the Final Action</w:t>
            </w:r>
          </w:p>
        </w:tc>
        <w:tc>
          <w:tcPr>
            <w:tcW w:w="7740" w:type="dxa"/>
          </w:tcPr>
          <w:p w14:paraId="7999DDFD" w14:textId="77777777" w:rsidR="00963DD7" w:rsidRPr="00521A11" w:rsidRDefault="00963DD7">
            <w:pPr>
              <w:pStyle w:val="BlockText"/>
              <w:numPr>
                <w:ilvl w:val="12"/>
                <w:numId w:val="0"/>
              </w:numPr>
            </w:pPr>
            <w:r w:rsidRPr="00521A11">
              <w:t>If you discover that evidence received on or before the 60</w:t>
            </w:r>
            <w:r w:rsidRPr="00521A11">
              <w:rPr>
                <w:vertAlign w:val="superscript"/>
              </w:rPr>
              <w:t>th</w:t>
            </w:r>
            <w:r w:rsidRPr="00521A11">
              <w:t xml:space="preserve"> day was not reviewed before the adverse action was taken, promptly review the adverse action as described in the table below.</w:t>
            </w:r>
          </w:p>
        </w:tc>
      </w:tr>
    </w:tbl>
    <w:p w14:paraId="7999DDFF" w14:textId="77777777" w:rsidR="00963DD7" w:rsidRPr="00521A11" w:rsidRDefault="00963DD7">
      <w:pPr>
        <w:numPr>
          <w:ilvl w:val="12"/>
          <w:numId w:val="0"/>
        </w:numPr>
      </w:pPr>
    </w:p>
    <w:tbl>
      <w:tblPr>
        <w:tblW w:w="0" w:type="auto"/>
        <w:tblInd w:w="1800" w:type="dxa"/>
        <w:tblLayout w:type="fixed"/>
        <w:tblCellMar>
          <w:left w:w="80" w:type="dxa"/>
          <w:right w:w="80" w:type="dxa"/>
        </w:tblCellMar>
        <w:tblLook w:val="0000" w:firstRow="0" w:lastRow="0" w:firstColumn="0" w:lastColumn="0" w:noHBand="0" w:noVBand="0"/>
      </w:tblPr>
      <w:tblGrid>
        <w:gridCol w:w="2600"/>
        <w:gridCol w:w="4960"/>
      </w:tblGrid>
      <w:tr w:rsidR="00963DD7" w:rsidRPr="00521A11" w14:paraId="7999DE02" w14:textId="77777777">
        <w:trPr>
          <w:cantSplit/>
        </w:trPr>
        <w:tc>
          <w:tcPr>
            <w:tcW w:w="2600" w:type="dxa"/>
            <w:tcBorders>
              <w:top w:val="single" w:sz="6" w:space="0" w:color="auto"/>
              <w:left w:val="single" w:sz="6" w:space="0" w:color="auto"/>
              <w:bottom w:val="single" w:sz="6" w:space="0" w:color="auto"/>
              <w:right w:val="single" w:sz="6" w:space="0" w:color="auto"/>
            </w:tcBorders>
          </w:tcPr>
          <w:p w14:paraId="7999DE00" w14:textId="0442E76C" w:rsidR="00963DD7" w:rsidRPr="00521A11" w:rsidRDefault="00963DD7">
            <w:pPr>
              <w:pStyle w:val="TableHeaderText"/>
              <w:numPr>
                <w:ilvl w:val="12"/>
                <w:numId w:val="0"/>
              </w:numPr>
              <w:jc w:val="left"/>
            </w:pPr>
            <w:r w:rsidRPr="00521A11">
              <w:t>If ...</w:t>
            </w:r>
          </w:p>
        </w:tc>
        <w:tc>
          <w:tcPr>
            <w:tcW w:w="4960" w:type="dxa"/>
            <w:tcBorders>
              <w:top w:val="single" w:sz="6" w:space="0" w:color="auto"/>
              <w:left w:val="single" w:sz="6" w:space="0" w:color="auto"/>
              <w:bottom w:val="single" w:sz="6" w:space="0" w:color="auto"/>
              <w:right w:val="single" w:sz="6" w:space="0" w:color="auto"/>
            </w:tcBorders>
          </w:tcPr>
          <w:p w14:paraId="7999DE01" w14:textId="77777777" w:rsidR="00963DD7" w:rsidRPr="00521A11" w:rsidRDefault="00963DD7">
            <w:pPr>
              <w:pStyle w:val="TableHeaderText"/>
              <w:numPr>
                <w:ilvl w:val="12"/>
                <w:numId w:val="0"/>
              </w:numPr>
              <w:jc w:val="left"/>
            </w:pPr>
            <w:r w:rsidRPr="00521A11">
              <w:t>Then ...</w:t>
            </w:r>
          </w:p>
        </w:tc>
      </w:tr>
      <w:tr w:rsidR="00963DD7" w:rsidRPr="00521A11" w14:paraId="7999DE08" w14:textId="77777777">
        <w:trPr>
          <w:cantSplit/>
        </w:trPr>
        <w:tc>
          <w:tcPr>
            <w:tcW w:w="2600" w:type="dxa"/>
            <w:tcBorders>
              <w:top w:val="single" w:sz="6" w:space="0" w:color="auto"/>
              <w:left w:val="single" w:sz="6" w:space="0" w:color="auto"/>
              <w:bottom w:val="single" w:sz="6" w:space="0" w:color="auto"/>
              <w:right w:val="single" w:sz="6" w:space="0" w:color="auto"/>
            </w:tcBorders>
          </w:tcPr>
          <w:p w14:paraId="7999DE03" w14:textId="77777777" w:rsidR="00963DD7" w:rsidRPr="00521A11" w:rsidRDefault="00963DD7">
            <w:pPr>
              <w:pStyle w:val="TableText"/>
              <w:numPr>
                <w:ilvl w:val="12"/>
                <w:numId w:val="0"/>
              </w:numPr>
            </w:pPr>
            <w:r w:rsidRPr="00521A11">
              <w:t>the additional evidence does not change the adverse decision</w:t>
            </w:r>
          </w:p>
        </w:tc>
        <w:tc>
          <w:tcPr>
            <w:tcW w:w="4960" w:type="dxa"/>
            <w:tcBorders>
              <w:top w:val="single" w:sz="6" w:space="0" w:color="auto"/>
              <w:left w:val="single" w:sz="6" w:space="0" w:color="auto"/>
              <w:bottom w:val="single" w:sz="6" w:space="0" w:color="auto"/>
              <w:right w:val="single" w:sz="6" w:space="0" w:color="auto"/>
            </w:tcBorders>
          </w:tcPr>
          <w:p w14:paraId="7999DE04" w14:textId="77777777" w:rsidR="00963DD7" w:rsidRPr="00521A11" w:rsidRDefault="00963DD7">
            <w:pPr>
              <w:pStyle w:val="BulletText1"/>
            </w:pPr>
            <w:r w:rsidRPr="00521A11">
              <w:t>confirm and continue the decision, and</w:t>
            </w:r>
          </w:p>
          <w:p w14:paraId="7999DE05" w14:textId="77777777" w:rsidR="00963DD7" w:rsidRPr="00521A11" w:rsidRDefault="00963DD7">
            <w:pPr>
              <w:pStyle w:val="BulletText1"/>
            </w:pPr>
            <w:r w:rsidRPr="00521A11">
              <w:t>fully advise the beneficiary of this decision and his/her appellate and procedural rights.</w:t>
            </w:r>
          </w:p>
          <w:p w14:paraId="7999DE06" w14:textId="77777777" w:rsidR="00963DD7" w:rsidRPr="00521A11" w:rsidRDefault="00963DD7">
            <w:pPr>
              <w:pStyle w:val="TableText"/>
              <w:numPr>
                <w:ilvl w:val="12"/>
                <w:numId w:val="0"/>
              </w:numPr>
            </w:pPr>
          </w:p>
          <w:p w14:paraId="7999DE07" w14:textId="1C4D887D" w:rsidR="00963DD7" w:rsidRPr="00521A11" w:rsidRDefault="00963DD7">
            <w:pPr>
              <w:pStyle w:val="TableText"/>
              <w:numPr>
                <w:ilvl w:val="12"/>
                <w:numId w:val="0"/>
              </w:numPr>
            </w:pPr>
            <w:r w:rsidRPr="00521A11">
              <w:rPr>
                <w:b/>
                <w:bCs/>
                <w:i/>
                <w:iCs/>
              </w:rPr>
              <w:t>Note</w:t>
            </w:r>
            <w:r w:rsidRPr="00521A11">
              <w:rPr>
                <w:iCs/>
              </w:rPr>
              <w:t>:</w:t>
            </w:r>
            <w:r w:rsidRPr="00521A11">
              <w:rPr>
                <w:i/>
                <w:iCs/>
              </w:rPr>
              <w:t xml:space="preserve">  </w:t>
            </w:r>
            <w:r w:rsidRPr="00521A11">
              <w:t xml:space="preserve">Under </w:t>
            </w:r>
            <w:hyperlink r:id="rId16" w:history="1">
              <w:r w:rsidR="009B7A42" w:rsidRPr="00521A11">
                <w:rPr>
                  <w:rStyle w:val="Hyperlink"/>
                </w:rPr>
                <w:t>38 CFR 20.304</w:t>
              </w:r>
            </w:hyperlink>
            <w:r w:rsidRPr="00521A11">
              <w:t>, this confirmed and continued decision, if made before the original decision became final, does not extend the claimant’s appeal period for that decision, and refer him/her to the appellate and procedural rights issued with the earlier decision.</w:t>
            </w:r>
          </w:p>
        </w:tc>
      </w:tr>
      <w:tr w:rsidR="00FD6960" w:rsidRPr="00521A11" w14:paraId="5208F1CE" w14:textId="77777777">
        <w:trPr>
          <w:cantSplit/>
        </w:trPr>
        <w:tc>
          <w:tcPr>
            <w:tcW w:w="2600" w:type="dxa"/>
            <w:tcBorders>
              <w:top w:val="single" w:sz="6" w:space="0" w:color="auto"/>
              <w:left w:val="single" w:sz="6" w:space="0" w:color="auto"/>
              <w:bottom w:val="single" w:sz="6" w:space="0" w:color="auto"/>
              <w:right w:val="single" w:sz="6" w:space="0" w:color="auto"/>
            </w:tcBorders>
          </w:tcPr>
          <w:p w14:paraId="0F4F9FF8" w14:textId="1F2F1762" w:rsidR="00FD6960" w:rsidRPr="00521A11" w:rsidRDefault="00FD6960">
            <w:pPr>
              <w:pStyle w:val="TableText"/>
              <w:numPr>
                <w:ilvl w:val="12"/>
                <w:numId w:val="0"/>
              </w:numPr>
            </w:pPr>
            <w:r w:rsidRPr="00521A11">
              <w:t>the additional evidence changes the adverse decision</w:t>
            </w:r>
          </w:p>
        </w:tc>
        <w:tc>
          <w:tcPr>
            <w:tcW w:w="4960" w:type="dxa"/>
            <w:tcBorders>
              <w:top w:val="single" w:sz="6" w:space="0" w:color="auto"/>
              <w:left w:val="single" w:sz="6" w:space="0" w:color="auto"/>
              <w:bottom w:val="single" w:sz="6" w:space="0" w:color="auto"/>
              <w:right w:val="single" w:sz="6" w:space="0" w:color="auto"/>
            </w:tcBorders>
          </w:tcPr>
          <w:p w14:paraId="7CB8A117" w14:textId="24C36AA2" w:rsidR="00843C90" w:rsidRPr="00521A11" w:rsidRDefault="00EE6DEC" w:rsidP="00EE6DEC">
            <w:pPr>
              <w:pStyle w:val="BulletText1"/>
              <w:numPr>
                <w:ilvl w:val="0"/>
                <w:numId w:val="0"/>
              </w:numPr>
            </w:pPr>
            <w:r w:rsidRPr="00521A11">
              <w:t xml:space="preserve">prepare </w:t>
            </w:r>
            <w:r w:rsidR="00FD6960" w:rsidRPr="00521A11">
              <w:t xml:space="preserve">a </w:t>
            </w:r>
            <w:r w:rsidRPr="00521A11">
              <w:t xml:space="preserve">revised </w:t>
            </w:r>
            <w:r w:rsidR="00FD6960" w:rsidRPr="00521A11">
              <w:t xml:space="preserve">rating decision </w:t>
            </w:r>
            <w:r w:rsidR="00431026" w:rsidRPr="00521A11">
              <w:t>and</w:t>
            </w:r>
            <w:r w:rsidR="00D920FA" w:rsidRPr="00521A11">
              <w:t>/or</w:t>
            </w:r>
            <w:r w:rsidR="00431026" w:rsidRPr="00521A11">
              <w:t xml:space="preserve"> </w:t>
            </w:r>
            <w:r w:rsidR="00FC77F2" w:rsidRPr="00521A11">
              <w:t xml:space="preserve">decision </w:t>
            </w:r>
            <w:r w:rsidR="00431026" w:rsidRPr="00521A11">
              <w:t xml:space="preserve">notice </w:t>
            </w:r>
            <w:r w:rsidRPr="00521A11">
              <w:t xml:space="preserve">in accordance with the instructions in </w:t>
            </w:r>
            <w:r w:rsidR="00D920FA" w:rsidRPr="00521A11">
              <w:t>M21-1, Part  III, Subpart iv, 8.B.1.</w:t>
            </w:r>
            <w:r w:rsidRPr="00521A11">
              <w:t>f.</w:t>
            </w:r>
          </w:p>
        </w:tc>
      </w:tr>
      <w:tr w:rsidR="00963DD7" w:rsidRPr="00521A11" w14:paraId="7999DE0D" w14:textId="77777777">
        <w:trPr>
          <w:cantSplit/>
        </w:trPr>
        <w:tc>
          <w:tcPr>
            <w:tcW w:w="2600" w:type="dxa"/>
            <w:tcBorders>
              <w:top w:val="single" w:sz="6" w:space="0" w:color="auto"/>
              <w:left w:val="single" w:sz="6" w:space="0" w:color="auto"/>
              <w:bottom w:val="single" w:sz="6" w:space="0" w:color="auto"/>
              <w:right w:val="single" w:sz="6" w:space="0" w:color="auto"/>
            </w:tcBorders>
          </w:tcPr>
          <w:p w14:paraId="7999DE09" w14:textId="77777777" w:rsidR="00963DD7" w:rsidRPr="00521A11" w:rsidRDefault="00963DD7">
            <w:pPr>
              <w:pStyle w:val="TableText"/>
              <w:numPr>
                <w:ilvl w:val="12"/>
                <w:numId w:val="0"/>
              </w:numPr>
            </w:pPr>
            <w:r w:rsidRPr="00521A11">
              <w:t>further development is needed</w:t>
            </w:r>
          </w:p>
        </w:tc>
        <w:tc>
          <w:tcPr>
            <w:tcW w:w="4960" w:type="dxa"/>
            <w:tcBorders>
              <w:top w:val="single" w:sz="6" w:space="0" w:color="auto"/>
              <w:left w:val="single" w:sz="6" w:space="0" w:color="auto"/>
              <w:bottom w:val="single" w:sz="6" w:space="0" w:color="auto"/>
              <w:right w:val="single" w:sz="6" w:space="0" w:color="auto"/>
            </w:tcBorders>
          </w:tcPr>
          <w:p w14:paraId="7999DE0A" w14:textId="77777777" w:rsidR="00963DD7" w:rsidRPr="00521A11" w:rsidRDefault="00963DD7">
            <w:pPr>
              <w:pStyle w:val="BulletText1"/>
            </w:pPr>
            <w:r w:rsidRPr="00521A11">
              <w:t>restore the beneficiary’s payments until development is completed and a final decision made</w:t>
            </w:r>
          </w:p>
          <w:p w14:paraId="7999DE0B" w14:textId="77777777" w:rsidR="00963DD7" w:rsidRPr="00521A11" w:rsidRDefault="00963DD7">
            <w:pPr>
              <w:pStyle w:val="BulletText1"/>
            </w:pPr>
            <w:r w:rsidRPr="00521A11">
              <w:t>send a letter explaining the basis for resumed payments, and</w:t>
            </w:r>
          </w:p>
          <w:p w14:paraId="7999DE0C" w14:textId="77777777" w:rsidR="00963DD7" w:rsidRPr="00521A11" w:rsidRDefault="00963DD7">
            <w:pPr>
              <w:pStyle w:val="BulletText1"/>
            </w:pPr>
            <w:r w:rsidRPr="00521A11">
              <w:t xml:space="preserve">include a warning that adverse action may be appropriate if the evidence does not support continued payments. </w:t>
            </w:r>
          </w:p>
        </w:tc>
      </w:tr>
    </w:tbl>
    <w:p w14:paraId="7999DE0E" w14:textId="73DFB5B7" w:rsidR="00963DD7" w:rsidRPr="00521A11" w:rsidRDefault="001B3CE9">
      <w:pPr>
        <w:pStyle w:val="BlockLine"/>
      </w:pPr>
      <w:r w:rsidRPr="00521A11">
        <w:fldChar w:fldCharType="begin"/>
      </w:r>
      <w:r w:rsidRPr="00521A11">
        <w:instrText xml:space="preserve"> PRIVATE INFOTYPE="PRINCIPLE" </w:instrText>
      </w:r>
      <w:r w:rsidRPr="00521A11">
        <w:fldChar w:fldCharType="end"/>
      </w:r>
      <w:r w:rsidR="00963DD7" w:rsidRPr="00521A11">
        <w:t xml:space="preserve"> </w:t>
      </w:r>
    </w:p>
    <w:tbl>
      <w:tblPr>
        <w:tblW w:w="0" w:type="auto"/>
        <w:tblLayout w:type="fixed"/>
        <w:tblLook w:val="0000" w:firstRow="0" w:lastRow="0" w:firstColumn="0" w:lastColumn="0" w:noHBand="0" w:noVBand="0"/>
      </w:tblPr>
      <w:tblGrid>
        <w:gridCol w:w="1728"/>
        <w:gridCol w:w="7740"/>
      </w:tblGrid>
      <w:tr w:rsidR="00963DD7" w:rsidRPr="00521A11" w14:paraId="7999DE1F" w14:textId="77777777" w:rsidTr="002A4449">
        <w:tc>
          <w:tcPr>
            <w:tcW w:w="1728" w:type="dxa"/>
          </w:tcPr>
          <w:p w14:paraId="7999DE0F" w14:textId="2E92CDAD" w:rsidR="00963DD7" w:rsidRPr="00521A11" w:rsidRDefault="00963DD7" w:rsidP="0018100C">
            <w:pPr>
              <w:pStyle w:val="Heading5"/>
              <w:numPr>
                <w:ilvl w:val="12"/>
                <w:numId w:val="0"/>
              </w:numPr>
            </w:pPr>
            <w:bookmarkStart w:id="7" w:name="_h.__Requests"/>
            <w:bookmarkEnd w:id="7"/>
            <w:r w:rsidRPr="00521A11">
              <w:t>h.  Requests for</w:t>
            </w:r>
            <w:r w:rsidR="0018100C" w:rsidRPr="00521A11">
              <w:t xml:space="preserve"> </w:t>
            </w:r>
            <w:r w:rsidRPr="00521A11">
              <w:t>Implementation of Adverse Action</w:t>
            </w:r>
          </w:p>
        </w:tc>
        <w:tc>
          <w:tcPr>
            <w:tcW w:w="7740" w:type="dxa"/>
          </w:tcPr>
          <w:p w14:paraId="7999DE10" w14:textId="77777777" w:rsidR="00963DD7" w:rsidRPr="00521A11" w:rsidRDefault="00963DD7">
            <w:pPr>
              <w:pStyle w:val="BlockText"/>
              <w:numPr>
                <w:ilvl w:val="12"/>
                <w:numId w:val="0"/>
              </w:numPr>
              <w:rPr>
                <w:color w:val="000080"/>
              </w:rPr>
            </w:pPr>
            <w:r w:rsidRPr="00521A11">
              <w:t>If the beneficiary submits a written statement or other evidence or contacts VA by telephone in response to a notice of proposed adverse action confirming the validity of the evidence already of record</w:t>
            </w:r>
            <w:r w:rsidRPr="00521A11">
              <w:rPr>
                <w:i/>
              </w:rPr>
              <w:t xml:space="preserve"> </w:t>
            </w:r>
            <w:r w:rsidRPr="00521A11">
              <w:t>and</w:t>
            </w:r>
            <w:r w:rsidRPr="00521A11">
              <w:rPr>
                <w:i/>
              </w:rPr>
              <w:t xml:space="preserve"> </w:t>
            </w:r>
            <w:r w:rsidRPr="00521A11">
              <w:t>specifically asking that the proposed adverse action be implemented</w:t>
            </w:r>
          </w:p>
          <w:p w14:paraId="7999DE11" w14:textId="77777777" w:rsidR="00963DD7" w:rsidRPr="00521A11" w:rsidRDefault="00963DD7">
            <w:pPr>
              <w:pStyle w:val="BlockText"/>
              <w:numPr>
                <w:ilvl w:val="12"/>
                <w:numId w:val="0"/>
              </w:numPr>
            </w:pPr>
            <w:r w:rsidRPr="00521A11">
              <w:t xml:space="preserve"> </w:t>
            </w:r>
          </w:p>
          <w:p w14:paraId="7999DE12" w14:textId="50E925FC" w:rsidR="00963DD7" w:rsidRPr="00521A11" w:rsidRDefault="00963DD7">
            <w:pPr>
              <w:pStyle w:val="BulletText1"/>
            </w:pPr>
            <w:r w:rsidRPr="00521A11">
              <w:t>take adverse rating and/or award action, and</w:t>
            </w:r>
          </w:p>
          <w:p w14:paraId="7999DE13" w14:textId="1B6320F8" w:rsidR="00963DD7" w:rsidRPr="00521A11" w:rsidRDefault="00963DD7">
            <w:pPr>
              <w:pStyle w:val="BulletText1"/>
              <w:rPr>
                <w:b/>
              </w:rPr>
            </w:pPr>
            <w:r w:rsidRPr="00521A11">
              <w:lastRenderedPageBreak/>
              <w:t xml:space="preserve">send the </w:t>
            </w:r>
            <w:r w:rsidR="00D920FA" w:rsidRPr="00521A11">
              <w:t>final</w:t>
            </w:r>
            <w:r w:rsidR="00843C90" w:rsidRPr="00521A11">
              <w:t xml:space="preserve"> decision</w:t>
            </w:r>
            <w:r w:rsidRPr="00521A11">
              <w:t xml:space="preserve"> notice. </w:t>
            </w:r>
          </w:p>
          <w:p w14:paraId="7999DE14" w14:textId="77777777" w:rsidR="00963DD7" w:rsidRPr="00521A11" w:rsidRDefault="00963DD7">
            <w:pPr>
              <w:pStyle w:val="BlockText"/>
              <w:numPr>
                <w:ilvl w:val="12"/>
                <w:numId w:val="0"/>
              </w:numPr>
            </w:pPr>
          </w:p>
          <w:p w14:paraId="7999DE15" w14:textId="77777777" w:rsidR="00963DD7" w:rsidRPr="00521A11" w:rsidRDefault="00963DD7">
            <w:pPr>
              <w:pStyle w:val="BlockText"/>
              <w:numPr>
                <w:ilvl w:val="12"/>
                <w:numId w:val="0"/>
              </w:numPr>
              <w:rPr>
                <w:b/>
              </w:rPr>
            </w:pPr>
            <w:r w:rsidRPr="00521A11">
              <w:rPr>
                <w:b/>
                <w:i/>
              </w:rPr>
              <w:t>Important</w:t>
            </w:r>
            <w:r w:rsidRPr="00521A11">
              <w:t xml:space="preserve">:  Be extremely careful to ensure that the beneficiary is asking for final implementation of the adverse decision and not merely trying to minimize any overpayment during the 60-day period.  If there is any uncertainty as to the beneficiary’s intentions, ask for clarification (use the telephone when appropriate).  If clarification is not received, wait until the expiration of the adverse action proposal period before acting.  </w:t>
            </w:r>
          </w:p>
          <w:p w14:paraId="7999DE16" w14:textId="77777777" w:rsidR="00963DD7" w:rsidRPr="00521A11" w:rsidRDefault="00963DD7">
            <w:pPr>
              <w:pStyle w:val="BlockText"/>
              <w:numPr>
                <w:ilvl w:val="12"/>
                <w:numId w:val="0"/>
              </w:numPr>
            </w:pPr>
          </w:p>
          <w:p w14:paraId="7999DE17" w14:textId="77777777" w:rsidR="00963DD7" w:rsidRPr="00521A11" w:rsidRDefault="00963DD7">
            <w:pPr>
              <w:pStyle w:val="BlockText"/>
              <w:numPr>
                <w:ilvl w:val="12"/>
                <w:numId w:val="0"/>
              </w:numPr>
            </w:pPr>
            <w:r w:rsidRPr="00521A11">
              <w:rPr>
                <w:b/>
                <w:i/>
              </w:rPr>
              <w:t>Example</w:t>
            </w:r>
            <w:r w:rsidRPr="00521A11">
              <w:t xml:space="preserve">:  The </w:t>
            </w:r>
            <w:r w:rsidR="005D1C4A" w:rsidRPr="00521A11">
              <w:t>Veteran</w:t>
            </w:r>
            <w:r w:rsidRPr="00521A11">
              <w:t xml:space="preserve"> responds to a notice of proposed adverse action by sending a statement that says, “Yes, my wife Ann died on March 9, 2000, but I didn’t know I had to report it.  Please tell me how much I have to pay back, and don’t pay me more than I should be getting.”  </w:t>
            </w:r>
          </w:p>
          <w:p w14:paraId="7999DE18" w14:textId="77777777" w:rsidR="00963DD7" w:rsidRPr="00521A11" w:rsidRDefault="00963DD7">
            <w:pPr>
              <w:pStyle w:val="BlockText"/>
              <w:numPr>
                <w:ilvl w:val="12"/>
                <w:numId w:val="0"/>
              </w:numPr>
            </w:pPr>
          </w:p>
          <w:p w14:paraId="7999DE19" w14:textId="44F49D90" w:rsidR="00963DD7" w:rsidRPr="00521A11" w:rsidRDefault="00963DD7" w:rsidP="00720FF9">
            <w:pPr>
              <w:pStyle w:val="BlockText"/>
            </w:pPr>
            <w:r w:rsidRPr="00521A11">
              <w:t xml:space="preserve">Since the </w:t>
            </w:r>
            <w:r w:rsidR="005D1C4A" w:rsidRPr="00521A11">
              <w:t>Veteran</w:t>
            </w:r>
            <w:r w:rsidRPr="00521A11">
              <w:t xml:space="preserve"> is specifically requesting </w:t>
            </w:r>
            <w:r w:rsidR="00DE1797" w:rsidRPr="00521A11">
              <w:t>the</w:t>
            </w:r>
            <w:r w:rsidR="00082B6A" w:rsidRPr="00521A11">
              <w:t xml:space="preserve"> </w:t>
            </w:r>
            <w:r w:rsidRPr="00521A11">
              <w:t xml:space="preserve">adverse action, adjust the award and send a final </w:t>
            </w:r>
            <w:r w:rsidR="00843C90" w:rsidRPr="00521A11">
              <w:t xml:space="preserve">decision </w:t>
            </w:r>
            <w:r w:rsidRPr="00521A11">
              <w:t>notice.</w:t>
            </w:r>
          </w:p>
          <w:p w14:paraId="7999DE1A" w14:textId="77777777" w:rsidR="00963DD7" w:rsidRPr="00521A11" w:rsidRDefault="00963DD7" w:rsidP="00720FF9">
            <w:pPr>
              <w:pStyle w:val="BlockText"/>
            </w:pPr>
          </w:p>
          <w:p w14:paraId="7999DE1B" w14:textId="77777777" w:rsidR="00963DD7" w:rsidRPr="00521A11" w:rsidRDefault="00963DD7" w:rsidP="00720FF9">
            <w:pPr>
              <w:pStyle w:val="BlockText"/>
            </w:pPr>
            <w:r w:rsidRPr="00521A11">
              <w:rPr>
                <w:b/>
                <w:i/>
              </w:rPr>
              <w:t>References</w:t>
            </w:r>
            <w:r w:rsidRPr="00521A11">
              <w:t xml:space="preserve">:  For more information on </w:t>
            </w:r>
          </w:p>
          <w:p w14:paraId="7999DE1C" w14:textId="774D847C" w:rsidR="00963DD7" w:rsidRPr="00521A11" w:rsidRDefault="00963DD7">
            <w:pPr>
              <w:pStyle w:val="BulletText1"/>
            </w:pPr>
            <w:r w:rsidRPr="00521A11">
              <w:t xml:space="preserve">sending contemporaneous notice, see </w:t>
            </w:r>
            <w:hyperlink r:id="rId17" w:history="1">
              <w:r w:rsidRPr="00521A11">
                <w:t>M21-1, Part I, 2.D.1</w:t>
              </w:r>
            </w:hyperlink>
          </w:p>
          <w:p w14:paraId="7999DE1D" w14:textId="08AD8609" w:rsidR="00963DD7" w:rsidRPr="00521A11" w:rsidRDefault="00963DD7">
            <w:pPr>
              <w:pStyle w:val="BulletText1"/>
            </w:pPr>
            <w:r w:rsidRPr="00521A11">
              <w:t xml:space="preserve">sending final </w:t>
            </w:r>
            <w:r w:rsidR="00543BC8" w:rsidRPr="00521A11">
              <w:t xml:space="preserve">decision </w:t>
            </w:r>
            <w:r w:rsidRPr="00521A11">
              <w:t>noti</w:t>
            </w:r>
            <w:r w:rsidR="00543BC8" w:rsidRPr="00521A11">
              <w:t>ce</w:t>
            </w:r>
            <w:r w:rsidRPr="00521A11">
              <w:t xml:space="preserve"> of adverse action, see </w:t>
            </w:r>
            <w:hyperlink r:id="rId18" w:history="1">
              <w:r w:rsidRPr="00521A11">
                <w:t>M21-1, Part I, 2.C.</w:t>
              </w:r>
              <w:r w:rsidR="00082B6A" w:rsidRPr="00521A11">
                <w:t>4</w:t>
              </w:r>
            </w:hyperlink>
            <w:r w:rsidRPr="00521A11">
              <w:t>, and</w:t>
            </w:r>
          </w:p>
          <w:p w14:paraId="7999DE1E" w14:textId="6DBBE616" w:rsidR="00963DD7" w:rsidRPr="00521A11" w:rsidRDefault="00424308" w:rsidP="00082B6A">
            <w:pPr>
              <w:pStyle w:val="BulletText1"/>
            </w:pPr>
            <w:r w:rsidRPr="00521A11">
              <w:t>contemporaneous notice related to information received by telephone</w:t>
            </w:r>
            <w:r w:rsidR="00963DD7" w:rsidRPr="00521A11">
              <w:t xml:space="preserve">, see </w:t>
            </w:r>
            <w:hyperlink r:id="rId19" w:history="1">
              <w:r w:rsidR="00963DD7" w:rsidRPr="00521A11">
                <w:t>M21-1, Part I, 2.D.</w:t>
              </w:r>
              <w:r w:rsidR="00082B6A" w:rsidRPr="00521A11">
                <w:t>2</w:t>
              </w:r>
            </w:hyperlink>
            <w:r w:rsidR="00963DD7" w:rsidRPr="00521A11">
              <w:t>.</w:t>
            </w:r>
          </w:p>
        </w:tc>
      </w:tr>
    </w:tbl>
    <w:p w14:paraId="7999DE20" w14:textId="77777777" w:rsidR="00963DD7" w:rsidRPr="00521A11" w:rsidRDefault="00963DD7">
      <w:pPr>
        <w:pStyle w:val="BlockLine"/>
        <w:numPr>
          <w:ilvl w:val="12"/>
          <w:numId w:val="0"/>
        </w:numPr>
        <w:ind w:left="1700"/>
      </w:pPr>
    </w:p>
    <w:p w14:paraId="7999DE21" w14:textId="05D2E7B4" w:rsidR="00963DD7" w:rsidRPr="00521A11" w:rsidRDefault="00963DD7">
      <w:pPr>
        <w:pStyle w:val="Heading4"/>
      </w:pPr>
      <w:r w:rsidRPr="00521A11">
        <w:rPr>
          <w:sz w:val="22"/>
        </w:rPr>
        <w:br w:type="page"/>
      </w:r>
      <w:r w:rsidR="00FA24FF" w:rsidRPr="00521A11">
        <w:lastRenderedPageBreak/>
        <w:t>3</w:t>
      </w:r>
      <w:r w:rsidRPr="00521A11">
        <w:t xml:space="preserve">.  Hearings </w:t>
      </w:r>
      <w:r w:rsidR="006D354C" w:rsidRPr="00521A11">
        <w:t xml:space="preserve">Requested </w:t>
      </w:r>
      <w:r w:rsidR="003F3A0B" w:rsidRPr="00521A11">
        <w:t xml:space="preserve">in Response to a Proposed </w:t>
      </w:r>
      <w:r w:rsidRPr="00521A11">
        <w:t xml:space="preserve">Adverse Action </w:t>
      </w:r>
    </w:p>
    <w:p w14:paraId="7999DE22" w14:textId="77777777" w:rsidR="00963DD7" w:rsidRPr="00521A11" w:rsidRDefault="00963DD7">
      <w:pPr>
        <w:pStyle w:val="BlockLine"/>
        <w:numPr>
          <w:ilvl w:val="12"/>
          <w:numId w:val="0"/>
        </w:numPr>
        <w:ind w:left="1700"/>
      </w:pPr>
      <w:r w:rsidRPr="00521A11">
        <w:fldChar w:fldCharType="begin"/>
      </w:r>
      <w:r w:rsidRPr="00521A11">
        <w:instrText xml:space="preserve"> PRIVATE INFOTYPE="OTHER" </w:instrText>
      </w:r>
      <w:r w:rsidRPr="00521A11">
        <w:fldChar w:fldCharType="end"/>
      </w:r>
    </w:p>
    <w:tbl>
      <w:tblPr>
        <w:tblW w:w="0" w:type="auto"/>
        <w:tblLayout w:type="fixed"/>
        <w:tblLook w:val="0000" w:firstRow="0" w:lastRow="0" w:firstColumn="0" w:lastColumn="0" w:noHBand="0" w:noVBand="0"/>
      </w:tblPr>
      <w:tblGrid>
        <w:gridCol w:w="1728"/>
        <w:gridCol w:w="7740"/>
      </w:tblGrid>
      <w:tr w:rsidR="00963DD7" w:rsidRPr="00521A11" w14:paraId="7999DE2B" w14:textId="77777777">
        <w:trPr>
          <w:cantSplit/>
        </w:trPr>
        <w:tc>
          <w:tcPr>
            <w:tcW w:w="1728" w:type="dxa"/>
          </w:tcPr>
          <w:p w14:paraId="7999DE23" w14:textId="77777777" w:rsidR="00963DD7" w:rsidRPr="00521A11" w:rsidRDefault="00963DD7">
            <w:pPr>
              <w:pStyle w:val="Heading5"/>
              <w:numPr>
                <w:ilvl w:val="12"/>
                <w:numId w:val="0"/>
              </w:numPr>
            </w:pPr>
            <w:r w:rsidRPr="00521A11">
              <w:t>Introduction</w:t>
            </w:r>
          </w:p>
        </w:tc>
        <w:tc>
          <w:tcPr>
            <w:tcW w:w="7740" w:type="dxa"/>
          </w:tcPr>
          <w:p w14:paraId="7999DE24" w14:textId="0EC69696" w:rsidR="00963DD7" w:rsidRPr="00521A11" w:rsidRDefault="00963DD7">
            <w:pPr>
              <w:pStyle w:val="BlockText"/>
              <w:numPr>
                <w:ilvl w:val="12"/>
                <w:numId w:val="0"/>
              </w:numPr>
            </w:pPr>
            <w:r w:rsidRPr="00521A11">
              <w:t xml:space="preserve">This topic contains information about hearings </w:t>
            </w:r>
            <w:r w:rsidR="003F3A0B" w:rsidRPr="00521A11">
              <w:t xml:space="preserve">requested in response to a proposed </w:t>
            </w:r>
            <w:r w:rsidRPr="00521A11">
              <w:t xml:space="preserve">adverse action, including </w:t>
            </w:r>
          </w:p>
          <w:p w14:paraId="7999DE25" w14:textId="77777777" w:rsidR="00963DD7" w:rsidRPr="00521A11" w:rsidRDefault="00963DD7" w:rsidP="00720FF9">
            <w:pPr>
              <w:pStyle w:val="BlockText"/>
            </w:pPr>
          </w:p>
          <w:p w14:paraId="7999DE26" w14:textId="4505714D" w:rsidR="00963DD7" w:rsidRPr="00521A11" w:rsidRDefault="00963DD7">
            <w:pPr>
              <w:pStyle w:val="BulletText1"/>
            </w:pPr>
            <w:r w:rsidRPr="00521A11">
              <w:t xml:space="preserve">determining the time limit </w:t>
            </w:r>
            <w:r w:rsidR="006F57FD" w:rsidRPr="00521A11">
              <w:t>for adverse action</w:t>
            </w:r>
            <w:r w:rsidRPr="00521A11">
              <w:t xml:space="preserve"> hearing requests</w:t>
            </w:r>
          </w:p>
          <w:p w14:paraId="2BA6A94A" w14:textId="2DAD902E" w:rsidR="006A512A" w:rsidRPr="00521A11" w:rsidRDefault="006A512A" w:rsidP="006A512A">
            <w:pPr>
              <w:pStyle w:val="BulletText1"/>
            </w:pPr>
            <w:r w:rsidRPr="00521A11">
              <w:t xml:space="preserve">premature final action taken when a hearing was </w:t>
            </w:r>
            <w:r w:rsidR="0035665C" w:rsidRPr="00521A11">
              <w:t xml:space="preserve">timely </w:t>
            </w:r>
            <w:r w:rsidRPr="00521A11">
              <w:t xml:space="preserve">requested </w:t>
            </w:r>
          </w:p>
          <w:p w14:paraId="7999DE27" w14:textId="37BECFC4" w:rsidR="00963DD7" w:rsidRPr="00521A11" w:rsidRDefault="00162DC8">
            <w:pPr>
              <w:pStyle w:val="BulletText1"/>
            </w:pPr>
            <w:r w:rsidRPr="00521A11">
              <w:t xml:space="preserve">processing </w:t>
            </w:r>
            <w:r w:rsidR="00DA5C1C" w:rsidRPr="00521A11">
              <w:t>a</w:t>
            </w:r>
            <w:r w:rsidR="006F57FD" w:rsidRPr="00521A11">
              <w:t>n adverse action</w:t>
            </w:r>
            <w:r w:rsidR="00DA5C1C" w:rsidRPr="00521A11">
              <w:t xml:space="preserve"> </w:t>
            </w:r>
            <w:r w:rsidR="00963DD7" w:rsidRPr="00521A11">
              <w:t>hearing request</w:t>
            </w:r>
          </w:p>
          <w:p w14:paraId="7999DE29" w14:textId="5CEB5424" w:rsidR="00963DD7" w:rsidRPr="00521A11" w:rsidRDefault="00963DD7">
            <w:pPr>
              <w:pStyle w:val="BulletText1"/>
            </w:pPr>
            <w:r w:rsidRPr="00521A11">
              <w:t>failure to appear for a</w:t>
            </w:r>
            <w:r w:rsidR="00D33DC3" w:rsidRPr="00521A11">
              <w:t>n adverse action</w:t>
            </w:r>
            <w:r w:rsidRPr="00521A11">
              <w:t xml:space="preserve"> hearing</w:t>
            </w:r>
            <w:r w:rsidR="0035665C" w:rsidRPr="00521A11">
              <w:t>, and</w:t>
            </w:r>
          </w:p>
          <w:p w14:paraId="7999DE2A" w14:textId="4B07C8FC" w:rsidR="00963DD7" w:rsidRPr="00521A11" w:rsidRDefault="00963DD7" w:rsidP="00643EF9">
            <w:pPr>
              <w:pStyle w:val="BulletText1"/>
            </w:pPr>
            <w:r w:rsidRPr="00521A11">
              <w:t xml:space="preserve">rescheduling </w:t>
            </w:r>
            <w:r w:rsidR="00D33DC3" w:rsidRPr="00521A11">
              <w:t xml:space="preserve">adverse action </w:t>
            </w:r>
            <w:r w:rsidRPr="00521A11">
              <w:t>hearings.</w:t>
            </w:r>
          </w:p>
        </w:tc>
      </w:tr>
    </w:tbl>
    <w:p w14:paraId="7999DE2C" w14:textId="77777777" w:rsidR="00963DD7" w:rsidRPr="00521A11" w:rsidRDefault="00963DD7">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963DD7" w:rsidRPr="00521A11" w14:paraId="7999DE2F" w14:textId="77777777">
        <w:trPr>
          <w:cantSplit/>
        </w:trPr>
        <w:tc>
          <w:tcPr>
            <w:tcW w:w="1728" w:type="dxa"/>
          </w:tcPr>
          <w:p w14:paraId="7999DE2D" w14:textId="77777777" w:rsidR="00963DD7" w:rsidRPr="00521A11" w:rsidRDefault="00963DD7">
            <w:pPr>
              <w:pStyle w:val="Heading5"/>
            </w:pPr>
            <w:r w:rsidRPr="00521A11">
              <w:t>Change Date</w:t>
            </w:r>
          </w:p>
        </w:tc>
        <w:tc>
          <w:tcPr>
            <w:tcW w:w="7740" w:type="dxa"/>
          </w:tcPr>
          <w:p w14:paraId="7999DE2E" w14:textId="7CD8633F" w:rsidR="00963DD7" w:rsidRPr="00521A11" w:rsidRDefault="001E6797" w:rsidP="00052417">
            <w:pPr>
              <w:pStyle w:val="BlockText"/>
            </w:pPr>
            <w:r w:rsidRPr="00521A11">
              <w:t>March 1, 2016</w:t>
            </w:r>
          </w:p>
        </w:tc>
      </w:tr>
    </w:tbl>
    <w:p w14:paraId="7999DE30" w14:textId="77777777" w:rsidR="00963DD7" w:rsidRPr="00521A11" w:rsidRDefault="001B3CE9">
      <w:pPr>
        <w:pStyle w:val="BlockLine"/>
      </w:pPr>
      <w:r w:rsidRPr="00521A11">
        <w:fldChar w:fldCharType="begin"/>
      </w:r>
      <w:r w:rsidRPr="00521A11">
        <w:instrText xml:space="preserve"> PRIVATE INFOTYPE="PRINCIPLE" </w:instrText>
      </w:r>
      <w:r w:rsidRPr="00521A11">
        <w:fldChar w:fldCharType="end"/>
      </w:r>
      <w:r w:rsidR="00963DD7" w:rsidRPr="00521A11">
        <w:t xml:space="preserve"> </w:t>
      </w:r>
    </w:p>
    <w:tbl>
      <w:tblPr>
        <w:tblW w:w="0" w:type="auto"/>
        <w:tblLayout w:type="fixed"/>
        <w:tblLook w:val="0000" w:firstRow="0" w:lastRow="0" w:firstColumn="0" w:lastColumn="0" w:noHBand="0" w:noVBand="0"/>
      </w:tblPr>
      <w:tblGrid>
        <w:gridCol w:w="1728"/>
        <w:gridCol w:w="7740"/>
      </w:tblGrid>
      <w:tr w:rsidR="00963DD7" w:rsidRPr="00521A11" w14:paraId="7999DE33" w14:textId="77777777" w:rsidTr="0035665C">
        <w:tc>
          <w:tcPr>
            <w:tcW w:w="1728" w:type="dxa"/>
          </w:tcPr>
          <w:p w14:paraId="7999DE31" w14:textId="6A75D20D" w:rsidR="00963DD7" w:rsidRPr="00521A11" w:rsidRDefault="00F85AA2" w:rsidP="006F57FD">
            <w:pPr>
              <w:pStyle w:val="Heading5"/>
              <w:numPr>
                <w:ilvl w:val="12"/>
                <w:numId w:val="0"/>
              </w:numPr>
            </w:pPr>
            <w:r w:rsidRPr="00521A11">
              <w:t xml:space="preserve">a.  Determining the </w:t>
            </w:r>
            <w:r w:rsidR="00963DD7" w:rsidRPr="00521A11">
              <w:t>Time Limit</w:t>
            </w:r>
            <w:r w:rsidR="00C935CD" w:rsidRPr="00521A11">
              <w:t xml:space="preserve"> </w:t>
            </w:r>
            <w:r w:rsidR="006F57FD" w:rsidRPr="00521A11">
              <w:t>for Adverse Action</w:t>
            </w:r>
            <w:r w:rsidR="00C935CD" w:rsidRPr="00521A11">
              <w:t xml:space="preserve"> Hearing Requests</w:t>
            </w:r>
          </w:p>
        </w:tc>
        <w:tc>
          <w:tcPr>
            <w:tcW w:w="7740" w:type="dxa"/>
          </w:tcPr>
          <w:p w14:paraId="56AC5046" w14:textId="45081AD5" w:rsidR="006B18E4" w:rsidRPr="00521A11" w:rsidRDefault="00C26A0C" w:rsidP="006B18E4">
            <w:pPr>
              <w:pStyle w:val="BlockText"/>
            </w:pPr>
            <w:r w:rsidRPr="00521A11">
              <w:t>As stated in 38 CFR 3.105(i)(1), p</w:t>
            </w:r>
            <w:r w:rsidR="006B18E4" w:rsidRPr="00521A11">
              <w:t>ayments continue at their current rate if a beneficiary requests a hearing within 30 days of the date the notice of proposed adverse action is sent.  If the 30-day time limit expires on a Saturday, Sunday, or holiday, include the next succeeding workday in the computation.</w:t>
            </w:r>
          </w:p>
          <w:p w14:paraId="2B906BB1" w14:textId="77777777" w:rsidR="006B18E4" w:rsidRPr="00521A11" w:rsidRDefault="006B18E4" w:rsidP="006B18E4">
            <w:pPr>
              <w:pStyle w:val="BlockText"/>
            </w:pPr>
          </w:p>
          <w:p w14:paraId="5E802C1B" w14:textId="3AF9D355" w:rsidR="006B18E4" w:rsidRPr="00521A11" w:rsidRDefault="006B18E4" w:rsidP="006B18E4">
            <w:pPr>
              <w:pStyle w:val="BlockText"/>
            </w:pPr>
            <w:r w:rsidRPr="00521A11">
              <w:rPr>
                <w:b/>
                <w:i/>
              </w:rPr>
              <w:t>Exception</w:t>
            </w:r>
            <w:r w:rsidRPr="00521A11">
              <w:t>:  For hearings requested in connection with proposed incompetency</w:t>
            </w:r>
            <w:r w:rsidR="00A93961" w:rsidRPr="00521A11">
              <w:t>,</w:t>
            </w:r>
            <w:r w:rsidRPr="00521A11">
              <w:t xml:space="preserve"> </w:t>
            </w:r>
            <w:r w:rsidR="00DA5C1C" w:rsidRPr="00521A11">
              <w:t xml:space="preserve">a hearing requested at any time prior </w:t>
            </w:r>
            <w:r w:rsidR="003F3A0B" w:rsidRPr="00521A11">
              <w:t>to the final rating</w:t>
            </w:r>
            <w:r w:rsidR="00DA5C1C" w:rsidRPr="00521A11">
              <w:t xml:space="preserve"> must be held before final rating action is taken.</w:t>
            </w:r>
          </w:p>
          <w:p w14:paraId="03A55D51" w14:textId="77777777" w:rsidR="00764BD3" w:rsidRPr="00521A11" w:rsidRDefault="00764BD3" w:rsidP="00571D95">
            <w:pPr>
              <w:pStyle w:val="BlockText"/>
              <w:numPr>
                <w:ilvl w:val="12"/>
                <w:numId w:val="0"/>
              </w:numPr>
            </w:pPr>
          </w:p>
          <w:p w14:paraId="77308154" w14:textId="51A90117" w:rsidR="00764BD3" w:rsidRPr="00521A11" w:rsidRDefault="00764BD3" w:rsidP="00571D95">
            <w:pPr>
              <w:pStyle w:val="BlockText"/>
              <w:numPr>
                <w:ilvl w:val="12"/>
                <w:numId w:val="0"/>
              </w:numPr>
            </w:pPr>
            <w:r w:rsidRPr="00521A11">
              <w:rPr>
                <w:b/>
                <w:i/>
              </w:rPr>
              <w:t>References</w:t>
            </w:r>
            <w:r w:rsidRPr="00521A11">
              <w:t>:</w:t>
            </w:r>
            <w:r w:rsidR="00E92331" w:rsidRPr="00521A11">
              <w:t xml:space="preserve">  For more information on</w:t>
            </w:r>
          </w:p>
          <w:p w14:paraId="5E580E19" w14:textId="492D29B0" w:rsidR="003F3A0B" w:rsidRPr="00521A11" w:rsidRDefault="003F3A0B" w:rsidP="00A74092">
            <w:pPr>
              <w:pStyle w:val="ListParagraph"/>
              <w:numPr>
                <w:ilvl w:val="0"/>
                <w:numId w:val="17"/>
              </w:numPr>
              <w:ind w:left="158" w:hanging="187"/>
            </w:pPr>
            <w:r w:rsidRPr="00521A11">
              <w:t>extending the adverse action proposal period, see M21-1, Part I, 2.C.1.d</w:t>
            </w:r>
            <w:r w:rsidR="00E00E44" w:rsidRPr="00521A11">
              <w:t>, and</w:t>
            </w:r>
          </w:p>
          <w:p w14:paraId="55506E78" w14:textId="16F8A176" w:rsidR="00431026" w:rsidRPr="00521A11" w:rsidRDefault="00764BD3" w:rsidP="00A74092">
            <w:pPr>
              <w:pStyle w:val="ListParagraph"/>
              <w:numPr>
                <w:ilvl w:val="0"/>
                <w:numId w:val="4"/>
              </w:numPr>
              <w:ind w:left="158" w:hanging="187"/>
            </w:pPr>
            <w:r w:rsidRPr="00521A11">
              <w:t xml:space="preserve">proposed incompetency, see </w:t>
            </w:r>
          </w:p>
          <w:p w14:paraId="4E355728" w14:textId="29B364DA" w:rsidR="00431026" w:rsidRPr="00521A11" w:rsidRDefault="00E250E0" w:rsidP="00A74092">
            <w:pPr>
              <w:pStyle w:val="ListParagraph"/>
              <w:numPr>
                <w:ilvl w:val="0"/>
                <w:numId w:val="6"/>
              </w:numPr>
              <w:ind w:left="346" w:hanging="187"/>
            </w:pPr>
            <w:hyperlink r:id="rId20" w:history="1">
              <w:r w:rsidR="00764BD3" w:rsidRPr="00521A11">
                <w:rPr>
                  <w:rStyle w:val="Hyperlink"/>
                </w:rPr>
                <w:t xml:space="preserve">38 CFR </w:t>
              </w:r>
              <w:r w:rsidR="00A12D32" w:rsidRPr="00521A11">
                <w:rPr>
                  <w:rStyle w:val="Hyperlink"/>
                </w:rPr>
                <w:t>3.353(e)</w:t>
              </w:r>
            </w:hyperlink>
            <w:r w:rsidR="00AA5209" w:rsidRPr="00521A11">
              <w:t>, an</w:t>
            </w:r>
            <w:r w:rsidR="00C12420" w:rsidRPr="00521A11">
              <w:t xml:space="preserve">d </w:t>
            </w:r>
          </w:p>
          <w:p w14:paraId="7999DE32" w14:textId="6F5D752A" w:rsidR="00764BD3" w:rsidRPr="00521A11" w:rsidRDefault="00C12420" w:rsidP="00A74092">
            <w:pPr>
              <w:pStyle w:val="ListParagraph"/>
              <w:numPr>
                <w:ilvl w:val="0"/>
                <w:numId w:val="6"/>
              </w:numPr>
              <w:ind w:left="346" w:hanging="187"/>
            </w:pPr>
            <w:r w:rsidRPr="00521A11">
              <w:t>M21-1, Part III, Subpart iv, 8</w:t>
            </w:r>
            <w:r w:rsidR="00AA5209" w:rsidRPr="00521A11">
              <w:t>.</w:t>
            </w:r>
            <w:r w:rsidR="009C7B3D" w:rsidRPr="00521A11">
              <w:t>A.3.a</w:t>
            </w:r>
            <w:r w:rsidR="00AA5209" w:rsidRPr="00521A11">
              <w:t>.</w:t>
            </w:r>
          </w:p>
        </w:tc>
      </w:tr>
    </w:tbl>
    <w:p w14:paraId="1CE5BF39" w14:textId="02054876" w:rsidR="00746CA0" w:rsidRPr="00521A11" w:rsidRDefault="00746CA0" w:rsidP="00746CA0">
      <w:pPr>
        <w:tabs>
          <w:tab w:val="left" w:pos="9360"/>
        </w:tabs>
        <w:ind w:left="1714"/>
        <w:rPr>
          <w:szCs w:val="20"/>
        </w:rPr>
      </w:pPr>
      <w:r w:rsidRPr="00521A11">
        <w:rPr>
          <w:szCs w:val="20"/>
          <w:u w:val="single"/>
        </w:rPr>
        <w:tab/>
      </w:r>
    </w:p>
    <w:p w14:paraId="31CCF6BC" w14:textId="51B45847" w:rsidR="00746CA0" w:rsidRPr="00521A11" w:rsidRDefault="00746CA0" w:rsidP="00746CA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46CA0" w:rsidRPr="00521A11" w14:paraId="647FDB97" w14:textId="77777777" w:rsidTr="00746CA0">
        <w:tc>
          <w:tcPr>
            <w:tcW w:w="1728" w:type="dxa"/>
            <w:shd w:val="clear" w:color="auto" w:fill="auto"/>
          </w:tcPr>
          <w:p w14:paraId="7A72C7BA" w14:textId="3B5F27EA" w:rsidR="00746CA0" w:rsidRPr="00521A11" w:rsidRDefault="006A512A" w:rsidP="008701D7">
            <w:pPr>
              <w:rPr>
                <w:b/>
                <w:sz w:val="22"/>
              </w:rPr>
            </w:pPr>
            <w:r w:rsidRPr="00521A11">
              <w:rPr>
                <w:b/>
                <w:sz w:val="22"/>
              </w:rPr>
              <w:t xml:space="preserve">b.  </w:t>
            </w:r>
            <w:r w:rsidR="00F44778" w:rsidRPr="00521A11">
              <w:rPr>
                <w:b/>
                <w:sz w:val="22"/>
              </w:rPr>
              <w:t xml:space="preserve">Premature Final Action </w:t>
            </w:r>
            <w:r w:rsidR="00D26C63" w:rsidRPr="00521A11">
              <w:rPr>
                <w:b/>
                <w:sz w:val="22"/>
              </w:rPr>
              <w:t xml:space="preserve">Taken </w:t>
            </w:r>
            <w:r w:rsidR="00F44778" w:rsidRPr="00521A11">
              <w:rPr>
                <w:b/>
                <w:sz w:val="22"/>
              </w:rPr>
              <w:t>When a Hearing was</w:t>
            </w:r>
            <w:r w:rsidR="00746CA0" w:rsidRPr="00521A11">
              <w:rPr>
                <w:b/>
                <w:sz w:val="22"/>
              </w:rPr>
              <w:t xml:space="preserve"> </w:t>
            </w:r>
            <w:r w:rsidR="008701D7" w:rsidRPr="00521A11">
              <w:rPr>
                <w:b/>
                <w:sz w:val="22"/>
              </w:rPr>
              <w:t xml:space="preserve">Timely </w:t>
            </w:r>
            <w:r w:rsidR="00F44778" w:rsidRPr="00521A11">
              <w:rPr>
                <w:b/>
                <w:sz w:val="22"/>
              </w:rPr>
              <w:t>R</w:t>
            </w:r>
            <w:r w:rsidR="00746CA0" w:rsidRPr="00521A11">
              <w:rPr>
                <w:b/>
                <w:sz w:val="22"/>
              </w:rPr>
              <w:t xml:space="preserve">equested </w:t>
            </w:r>
          </w:p>
        </w:tc>
        <w:tc>
          <w:tcPr>
            <w:tcW w:w="7740" w:type="dxa"/>
            <w:shd w:val="clear" w:color="auto" w:fill="auto"/>
          </w:tcPr>
          <w:p w14:paraId="63356626" w14:textId="27DAFDB3" w:rsidR="00D26C63" w:rsidRPr="00521A11" w:rsidRDefault="00D26C63" w:rsidP="00746CA0">
            <w:r w:rsidRPr="00521A11">
              <w:t xml:space="preserve">If it is discovered that the beneficiary or </w:t>
            </w:r>
            <w:r w:rsidR="000E732F" w:rsidRPr="00521A11">
              <w:t>his or her</w:t>
            </w:r>
            <w:r w:rsidRPr="00521A11">
              <w:t xml:space="preserve"> representative requested a hearing within the </w:t>
            </w:r>
            <w:r w:rsidR="008701D7" w:rsidRPr="00521A11">
              <w:t>applicabl</w:t>
            </w:r>
            <w:r w:rsidRPr="00521A11">
              <w:t>e</w:t>
            </w:r>
            <w:r w:rsidR="008701D7" w:rsidRPr="00521A11">
              <w:t xml:space="preserve"> time</w:t>
            </w:r>
            <w:r w:rsidRPr="00521A11">
              <w:t xml:space="preserve"> period</w:t>
            </w:r>
            <w:r w:rsidR="00A571C6" w:rsidRPr="00521A11">
              <w:t xml:space="preserve"> and</w:t>
            </w:r>
            <w:r w:rsidR="008701D7" w:rsidRPr="00521A11">
              <w:t xml:space="preserve"> final action was </w:t>
            </w:r>
            <w:r w:rsidR="00A571C6" w:rsidRPr="00521A11">
              <w:t>prematurely</w:t>
            </w:r>
            <w:r w:rsidR="008701D7" w:rsidRPr="00521A11">
              <w:t xml:space="preserve"> taken, </w:t>
            </w:r>
            <w:r w:rsidRPr="00521A11">
              <w:t>then</w:t>
            </w:r>
          </w:p>
          <w:p w14:paraId="20A1B3DE" w14:textId="77777777" w:rsidR="00D26C63" w:rsidRPr="00521A11" w:rsidRDefault="00D26C63" w:rsidP="00746CA0"/>
          <w:p w14:paraId="33FE20FC" w14:textId="6D71694B" w:rsidR="005A5576" w:rsidRPr="00521A11" w:rsidRDefault="00D26C63" w:rsidP="00A74092">
            <w:pPr>
              <w:pStyle w:val="ListParagraph"/>
              <w:numPr>
                <w:ilvl w:val="0"/>
                <w:numId w:val="7"/>
              </w:numPr>
              <w:ind w:left="158" w:hanging="187"/>
            </w:pPr>
            <w:r w:rsidRPr="00521A11">
              <w:t>restore the beneficiary’s payments</w:t>
            </w:r>
          </w:p>
          <w:p w14:paraId="4B456C5B" w14:textId="757FBC54" w:rsidR="00D26C63" w:rsidRPr="00521A11" w:rsidRDefault="005A5576" w:rsidP="00A74092">
            <w:pPr>
              <w:pStyle w:val="ListParagraph"/>
              <w:numPr>
                <w:ilvl w:val="0"/>
                <w:numId w:val="7"/>
              </w:numPr>
              <w:ind w:left="158" w:hanging="187"/>
            </w:pPr>
            <w:r w:rsidRPr="00521A11">
              <w:t>ensure the hearing is scheduled, and</w:t>
            </w:r>
          </w:p>
          <w:p w14:paraId="32E1623A" w14:textId="77777777" w:rsidR="00DA5C1C" w:rsidRPr="00521A11" w:rsidRDefault="005A5576" w:rsidP="00A74092">
            <w:pPr>
              <w:pStyle w:val="ListParagraph"/>
              <w:numPr>
                <w:ilvl w:val="0"/>
                <w:numId w:val="7"/>
              </w:numPr>
              <w:ind w:left="158" w:hanging="187"/>
            </w:pPr>
            <w:r w:rsidRPr="00521A11">
              <w:t xml:space="preserve">notify the beneficiary and </w:t>
            </w:r>
            <w:r w:rsidR="008701D7" w:rsidRPr="00521A11">
              <w:t>h</w:t>
            </w:r>
            <w:r w:rsidR="000E732F" w:rsidRPr="00521A11">
              <w:t xml:space="preserve">is or </w:t>
            </w:r>
            <w:r w:rsidR="008701D7" w:rsidRPr="00521A11">
              <w:t>her</w:t>
            </w:r>
            <w:r w:rsidRPr="00521A11">
              <w:t xml:space="preserve"> representative that </w:t>
            </w:r>
          </w:p>
          <w:p w14:paraId="1673827F" w14:textId="6103701A" w:rsidR="00DA5C1C" w:rsidRPr="00521A11" w:rsidRDefault="005A5576" w:rsidP="00DA5C1C">
            <w:pPr>
              <w:pStyle w:val="BulletText2"/>
            </w:pPr>
            <w:r w:rsidRPr="00521A11">
              <w:t>the action was in error</w:t>
            </w:r>
            <w:r w:rsidR="00A571C6" w:rsidRPr="00521A11">
              <w:t>,</w:t>
            </w:r>
            <w:r w:rsidRPr="00521A11">
              <w:t xml:space="preserve"> and </w:t>
            </w:r>
          </w:p>
          <w:p w14:paraId="017F2903" w14:textId="193D4968" w:rsidR="00746CA0" w:rsidRPr="00521A11" w:rsidRDefault="005A5576" w:rsidP="00DA5C1C">
            <w:pPr>
              <w:pStyle w:val="BulletText2"/>
            </w:pPr>
            <w:r w:rsidRPr="00521A11">
              <w:t xml:space="preserve">the proposed adverse </w:t>
            </w:r>
            <w:r w:rsidR="00DA5C1C" w:rsidRPr="00521A11">
              <w:t xml:space="preserve">action </w:t>
            </w:r>
            <w:r w:rsidRPr="00521A11">
              <w:t>period will remain in effect until after the hearing is completed.</w:t>
            </w:r>
          </w:p>
          <w:p w14:paraId="5CE09AE0" w14:textId="77777777" w:rsidR="00A93961" w:rsidRPr="00521A11" w:rsidRDefault="00A93961" w:rsidP="00A93961"/>
          <w:p w14:paraId="645CD48B" w14:textId="6B80AE2E" w:rsidR="00C26A0C" w:rsidRPr="00521A11" w:rsidRDefault="00A93961" w:rsidP="00A93961">
            <w:r w:rsidRPr="00521A11">
              <w:rPr>
                <w:b/>
                <w:i/>
              </w:rPr>
              <w:t>Reference</w:t>
            </w:r>
            <w:r w:rsidR="00C26A0C" w:rsidRPr="00521A11">
              <w:rPr>
                <w:b/>
                <w:i/>
              </w:rPr>
              <w:t>s</w:t>
            </w:r>
            <w:r w:rsidRPr="00521A11">
              <w:t xml:space="preserve">:  For more information on the </w:t>
            </w:r>
          </w:p>
          <w:p w14:paraId="2ADB0AA2" w14:textId="77777777" w:rsidR="00C26A0C" w:rsidRPr="00521A11" w:rsidRDefault="00A93961" w:rsidP="00C26A0C">
            <w:pPr>
              <w:pStyle w:val="ListParagraph"/>
              <w:numPr>
                <w:ilvl w:val="0"/>
                <w:numId w:val="32"/>
              </w:numPr>
              <w:ind w:left="158" w:hanging="187"/>
            </w:pPr>
            <w:r w:rsidRPr="00521A11">
              <w:t>time limit for hearing requests, see M21-1, Part I, 2.C.3.a</w:t>
            </w:r>
            <w:r w:rsidR="00C26A0C" w:rsidRPr="00521A11">
              <w:t>, and</w:t>
            </w:r>
          </w:p>
          <w:p w14:paraId="20652D19" w14:textId="49F2324E" w:rsidR="00A93961" w:rsidRPr="00521A11" w:rsidRDefault="00C26A0C" w:rsidP="00C26A0C">
            <w:pPr>
              <w:pStyle w:val="ListParagraph"/>
              <w:numPr>
                <w:ilvl w:val="0"/>
                <w:numId w:val="32"/>
              </w:numPr>
              <w:ind w:left="158" w:hanging="187"/>
            </w:pPr>
            <w:r w:rsidRPr="00521A11">
              <w:lastRenderedPageBreak/>
              <w:t>scheduling a hearing, see M21-1, Part I, 4.3</w:t>
            </w:r>
            <w:r w:rsidR="00A93961" w:rsidRPr="00521A11">
              <w:t>.</w:t>
            </w:r>
          </w:p>
        </w:tc>
      </w:tr>
    </w:tbl>
    <w:p w14:paraId="0656F9A8" w14:textId="3033AFF6" w:rsidR="00746CA0" w:rsidRPr="00521A11" w:rsidRDefault="00176C41" w:rsidP="00176C41">
      <w:pPr>
        <w:tabs>
          <w:tab w:val="left" w:pos="9360"/>
        </w:tabs>
        <w:ind w:left="1714"/>
      </w:pPr>
      <w:r w:rsidRPr="00521A11">
        <w:rPr>
          <w:u w:val="single"/>
        </w:rPr>
        <w:lastRenderedPageBreak/>
        <w:tab/>
      </w:r>
    </w:p>
    <w:p w14:paraId="7999DE34" w14:textId="34B62223" w:rsidR="00963DD7" w:rsidRPr="00521A11" w:rsidRDefault="00963DD7" w:rsidP="00746CA0"/>
    <w:tbl>
      <w:tblPr>
        <w:tblW w:w="0" w:type="auto"/>
        <w:tblLayout w:type="fixed"/>
        <w:tblLook w:val="0000" w:firstRow="0" w:lastRow="0" w:firstColumn="0" w:lastColumn="0" w:noHBand="0" w:noVBand="0"/>
      </w:tblPr>
      <w:tblGrid>
        <w:gridCol w:w="1728"/>
        <w:gridCol w:w="7740"/>
      </w:tblGrid>
      <w:tr w:rsidR="00963DD7" w:rsidRPr="00521A11" w14:paraId="7999DE37" w14:textId="77777777">
        <w:trPr>
          <w:cantSplit/>
          <w:trHeight w:val="891"/>
        </w:trPr>
        <w:tc>
          <w:tcPr>
            <w:tcW w:w="1728" w:type="dxa"/>
          </w:tcPr>
          <w:p w14:paraId="7999DE35" w14:textId="03A2B287" w:rsidR="00963DD7" w:rsidRPr="00521A11" w:rsidRDefault="006A512A" w:rsidP="001C62AB">
            <w:pPr>
              <w:pStyle w:val="Heading5"/>
              <w:numPr>
                <w:ilvl w:val="12"/>
                <w:numId w:val="0"/>
              </w:numPr>
            </w:pPr>
            <w:r w:rsidRPr="00521A11">
              <w:t>c</w:t>
            </w:r>
            <w:r w:rsidR="00963DD7" w:rsidRPr="00521A11">
              <w:t xml:space="preserve">.  </w:t>
            </w:r>
            <w:r w:rsidR="0087736D" w:rsidRPr="00521A11">
              <w:t xml:space="preserve">Processing </w:t>
            </w:r>
            <w:r w:rsidR="00DA5C1C" w:rsidRPr="00521A11">
              <w:t>a</w:t>
            </w:r>
            <w:r w:rsidR="00E00E44" w:rsidRPr="00521A11">
              <w:t>n Adverse Action</w:t>
            </w:r>
            <w:r w:rsidR="00DA5C1C" w:rsidRPr="00521A11">
              <w:t xml:space="preserve"> </w:t>
            </w:r>
            <w:r w:rsidR="00963DD7" w:rsidRPr="00521A11">
              <w:t>Hearing Request</w:t>
            </w:r>
          </w:p>
        </w:tc>
        <w:tc>
          <w:tcPr>
            <w:tcW w:w="7740" w:type="dxa"/>
          </w:tcPr>
          <w:p w14:paraId="7999DE36" w14:textId="4A486F42" w:rsidR="00963DD7" w:rsidRPr="00521A11" w:rsidRDefault="00963DD7" w:rsidP="006F57FD">
            <w:pPr>
              <w:pStyle w:val="BlockText"/>
              <w:numPr>
                <w:ilvl w:val="12"/>
                <w:numId w:val="0"/>
              </w:numPr>
            </w:pPr>
            <w:r w:rsidRPr="00521A11">
              <w:t xml:space="preserve">Follow the steps in the table below when VA receives </w:t>
            </w:r>
            <w:r w:rsidR="004364F5" w:rsidRPr="00521A11">
              <w:t>a</w:t>
            </w:r>
            <w:r w:rsidRPr="00521A11">
              <w:t xml:space="preserve"> request for a hearing</w:t>
            </w:r>
            <w:r w:rsidR="00E00E44" w:rsidRPr="00521A11">
              <w:t xml:space="preserve"> after a notice of proposed adverse action</w:t>
            </w:r>
            <w:r w:rsidRPr="00521A11">
              <w:t>.</w:t>
            </w:r>
          </w:p>
        </w:tc>
      </w:tr>
    </w:tbl>
    <w:p w14:paraId="7999DE38" w14:textId="77777777" w:rsidR="00963DD7" w:rsidRPr="00521A11" w:rsidRDefault="00963DD7">
      <w:pPr>
        <w:numPr>
          <w:ilvl w:val="12"/>
          <w:numId w:val="0"/>
        </w:numPr>
      </w:pPr>
    </w:p>
    <w:tbl>
      <w:tblPr>
        <w:tblStyle w:val="TableGrid"/>
        <w:tblW w:w="7650" w:type="dxa"/>
        <w:tblInd w:w="1818" w:type="dxa"/>
        <w:tblLook w:val="04A0" w:firstRow="1" w:lastRow="0" w:firstColumn="1" w:lastColumn="0" w:noHBand="0" w:noVBand="1"/>
      </w:tblPr>
      <w:tblGrid>
        <w:gridCol w:w="2520"/>
        <w:gridCol w:w="5130"/>
      </w:tblGrid>
      <w:tr w:rsidR="00DE2086" w:rsidRPr="00521A11" w14:paraId="3C9B7DF9" w14:textId="77777777" w:rsidTr="006F57FD">
        <w:tc>
          <w:tcPr>
            <w:tcW w:w="2520" w:type="dxa"/>
          </w:tcPr>
          <w:p w14:paraId="772AB164" w14:textId="7DDA9402" w:rsidR="00DE2086" w:rsidRPr="00521A11" w:rsidRDefault="00DE2086" w:rsidP="00DE2086">
            <w:pPr>
              <w:rPr>
                <w:b/>
              </w:rPr>
            </w:pPr>
            <w:r w:rsidRPr="00521A11">
              <w:rPr>
                <w:b/>
              </w:rPr>
              <w:t>If the hearing is requested...</w:t>
            </w:r>
          </w:p>
        </w:tc>
        <w:tc>
          <w:tcPr>
            <w:tcW w:w="5130" w:type="dxa"/>
          </w:tcPr>
          <w:p w14:paraId="3BE43394" w14:textId="7158FC79" w:rsidR="00DE2086" w:rsidRPr="00521A11" w:rsidRDefault="00DE2086" w:rsidP="00DE2086">
            <w:pPr>
              <w:rPr>
                <w:b/>
              </w:rPr>
            </w:pPr>
            <w:r w:rsidRPr="00521A11">
              <w:rPr>
                <w:b/>
              </w:rPr>
              <w:t>Then ...</w:t>
            </w:r>
          </w:p>
        </w:tc>
      </w:tr>
      <w:tr w:rsidR="00DE2086" w:rsidRPr="00521A11" w14:paraId="7E338F9C" w14:textId="77777777" w:rsidTr="006F57FD">
        <w:tc>
          <w:tcPr>
            <w:tcW w:w="2520" w:type="dxa"/>
          </w:tcPr>
          <w:p w14:paraId="456CF9B3" w14:textId="00B4344E" w:rsidR="00DE2086" w:rsidRPr="00521A11" w:rsidRDefault="00DE2086" w:rsidP="00DE2086">
            <w:pPr>
              <w:pStyle w:val="ListParagraph"/>
              <w:numPr>
                <w:ilvl w:val="0"/>
                <w:numId w:val="24"/>
              </w:numPr>
              <w:ind w:left="158" w:hanging="187"/>
            </w:pPr>
            <w:r w:rsidRPr="00521A11">
              <w:t>within 30 days of the notice of proposed adverse action, or</w:t>
            </w:r>
          </w:p>
          <w:p w14:paraId="343C7EB1" w14:textId="1C473382" w:rsidR="00DE2086" w:rsidRPr="00521A11" w:rsidRDefault="00DE2086" w:rsidP="00DE2086">
            <w:pPr>
              <w:pStyle w:val="ListParagraph"/>
              <w:numPr>
                <w:ilvl w:val="0"/>
                <w:numId w:val="24"/>
              </w:numPr>
              <w:ind w:left="158" w:hanging="187"/>
            </w:pPr>
            <w:r w:rsidRPr="00521A11">
              <w:t>during the incompetency proposal period</w:t>
            </w:r>
          </w:p>
        </w:tc>
        <w:tc>
          <w:tcPr>
            <w:tcW w:w="5130" w:type="dxa"/>
          </w:tcPr>
          <w:p w14:paraId="775BB992" w14:textId="5C8F4DBD" w:rsidR="00DE2086" w:rsidRPr="00521A11" w:rsidRDefault="00DE2086" w:rsidP="00DE2086">
            <w:pPr>
              <w:pStyle w:val="ListParagraph"/>
              <w:numPr>
                <w:ilvl w:val="0"/>
                <w:numId w:val="25"/>
              </w:numPr>
              <w:ind w:left="158" w:hanging="187"/>
            </w:pPr>
            <w:r w:rsidRPr="00521A11">
              <w:t xml:space="preserve">keep </w:t>
            </w:r>
            <w:r w:rsidR="009A3BDD" w:rsidRPr="00521A11">
              <w:t xml:space="preserve">the controlling </w:t>
            </w:r>
            <w:r w:rsidR="00E00E44" w:rsidRPr="00521A11">
              <w:t>end product (</w:t>
            </w:r>
            <w:r w:rsidR="009A3BDD" w:rsidRPr="00521A11">
              <w:t>EP</w:t>
            </w:r>
            <w:r w:rsidR="00E00E44" w:rsidRPr="00521A11">
              <w:t>)</w:t>
            </w:r>
            <w:r w:rsidRPr="00521A11">
              <w:t xml:space="preserve"> pending</w:t>
            </w:r>
          </w:p>
          <w:p w14:paraId="14EB0649" w14:textId="727C21CB" w:rsidR="00DE2086" w:rsidRPr="00521A11" w:rsidRDefault="009A3BDD" w:rsidP="00DE2086">
            <w:pPr>
              <w:pStyle w:val="ListParagraph"/>
              <w:numPr>
                <w:ilvl w:val="0"/>
                <w:numId w:val="25"/>
              </w:numPr>
              <w:ind w:left="158" w:hanging="187"/>
            </w:pPr>
            <w:r w:rsidRPr="00521A11">
              <w:t>establish an</w:t>
            </w:r>
            <w:r w:rsidR="00DE2086" w:rsidRPr="00521A11">
              <w:t xml:space="preserve"> EP 173</w:t>
            </w:r>
          </w:p>
          <w:p w14:paraId="175CD5BF" w14:textId="0F4DAAD3" w:rsidR="00DE2086" w:rsidRPr="00521A11" w:rsidRDefault="009A3BDD" w:rsidP="00DE2086">
            <w:pPr>
              <w:pStyle w:val="ListParagraph"/>
              <w:numPr>
                <w:ilvl w:val="0"/>
                <w:numId w:val="25"/>
              </w:numPr>
              <w:ind w:left="158" w:hanging="187"/>
            </w:pPr>
            <w:r w:rsidRPr="00521A11">
              <w:t xml:space="preserve">schedule and </w:t>
            </w:r>
            <w:r w:rsidR="00DE2086" w:rsidRPr="00521A11">
              <w:t xml:space="preserve">hold </w:t>
            </w:r>
            <w:r w:rsidRPr="00521A11">
              <w:t xml:space="preserve">the </w:t>
            </w:r>
            <w:r w:rsidR="00DE2086" w:rsidRPr="00521A11">
              <w:t>hearing, and</w:t>
            </w:r>
          </w:p>
          <w:p w14:paraId="42569635" w14:textId="77777777" w:rsidR="00DE2086" w:rsidRPr="00521A11" w:rsidRDefault="00DE2086" w:rsidP="00DE2086">
            <w:pPr>
              <w:pStyle w:val="ListParagraph"/>
              <w:numPr>
                <w:ilvl w:val="0"/>
                <w:numId w:val="27"/>
              </w:numPr>
              <w:ind w:left="158" w:hanging="187"/>
            </w:pPr>
            <w:r w:rsidRPr="00521A11">
              <w:t>make</w:t>
            </w:r>
            <w:r w:rsidR="009A3BDD" w:rsidRPr="00521A11">
              <w:t xml:space="preserve"> a</w:t>
            </w:r>
            <w:r w:rsidRPr="00521A11">
              <w:t xml:space="preserve"> final decision.</w:t>
            </w:r>
          </w:p>
          <w:p w14:paraId="14041CF4" w14:textId="77777777" w:rsidR="006F57FD" w:rsidRPr="00521A11" w:rsidRDefault="006F57FD" w:rsidP="006F57FD">
            <w:pPr>
              <w:ind w:left="-29"/>
            </w:pPr>
          </w:p>
          <w:p w14:paraId="70FAE682" w14:textId="77777777" w:rsidR="006F57FD" w:rsidRPr="00521A11" w:rsidRDefault="006F57FD" w:rsidP="006F57FD">
            <w:pPr>
              <w:pStyle w:val="TableText"/>
              <w:numPr>
                <w:ilvl w:val="12"/>
                <w:numId w:val="0"/>
              </w:numPr>
            </w:pPr>
            <w:r w:rsidRPr="00521A11">
              <w:rPr>
                <w:b/>
                <w:i/>
              </w:rPr>
              <w:t>Important</w:t>
            </w:r>
            <w:r w:rsidRPr="00521A11">
              <w:t xml:space="preserve">:  If a hearing is requested within the applicable time limit as discussed in M21-1, Part I, 2.C.3.a, do not take final action on the proposed adverse action until </w:t>
            </w:r>
          </w:p>
          <w:p w14:paraId="52323B8E" w14:textId="564C280A" w:rsidR="006F57FD" w:rsidRPr="00521A11" w:rsidRDefault="006F57FD" w:rsidP="006F57FD">
            <w:pPr>
              <w:pStyle w:val="BulletText1"/>
            </w:pPr>
            <w:r w:rsidRPr="00521A11">
              <w:t>a regional office (RO) employee who has decision-making authority over the issue(s)</w:t>
            </w:r>
          </w:p>
          <w:p w14:paraId="6C239FC8" w14:textId="77777777" w:rsidR="006F57FD" w:rsidRPr="00521A11" w:rsidRDefault="006F57FD" w:rsidP="006F57FD">
            <w:pPr>
              <w:pStyle w:val="ListParagraph"/>
              <w:numPr>
                <w:ilvl w:val="0"/>
                <w:numId w:val="20"/>
              </w:numPr>
              <w:ind w:left="346" w:hanging="187"/>
            </w:pPr>
            <w:r w:rsidRPr="00521A11">
              <w:t>holds the hearing</w:t>
            </w:r>
          </w:p>
          <w:p w14:paraId="2DB5BCC2" w14:textId="77777777" w:rsidR="006F57FD" w:rsidRPr="00521A11" w:rsidRDefault="006F57FD" w:rsidP="006F57FD">
            <w:pPr>
              <w:pStyle w:val="ListParagraph"/>
              <w:numPr>
                <w:ilvl w:val="0"/>
                <w:numId w:val="20"/>
              </w:numPr>
              <w:ind w:left="346" w:hanging="187"/>
            </w:pPr>
            <w:r w:rsidRPr="00521A11">
              <w:t>receives the evidence developed as a result of it, and</w:t>
            </w:r>
          </w:p>
          <w:p w14:paraId="3017371E" w14:textId="77777777" w:rsidR="006F57FD" w:rsidRPr="00521A11" w:rsidRDefault="006F57FD" w:rsidP="006F57FD">
            <w:pPr>
              <w:pStyle w:val="ListParagraph"/>
              <w:numPr>
                <w:ilvl w:val="0"/>
                <w:numId w:val="20"/>
              </w:numPr>
              <w:ind w:left="346" w:hanging="187"/>
            </w:pPr>
            <w:r w:rsidRPr="00521A11">
              <w:t>makes a final decision, or</w:t>
            </w:r>
          </w:p>
          <w:p w14:paraId="0FD51FD9" w14:textId="24D07ACE" w:rsidR="006F57FD" w:rsidRPr="00521A11" w:rsidRDefault="006F57FD" w:rsidP="006F57FD">
            <w:pPr>
              <w:pStyle w:val="ListParagraph"/>
              <w:numPr>
                <w:ilvl w:val="0"/>
                <w:numId w:val="19"/>
              </w:numPr>
              <w:ind w:left="158" w:hanging="187"/>
            </w:pPr>
            <w:r w:rsidRPr="00521A11">
              <w:t>the beneficiary fails, without good cause, to appear for the hearing, and a final decision is then made.</w:t>
            </w:r>
          </w:p>
        </w:tc>
      </w:tr>
      <w:tr w:rsidR="00DE2086" w:rsidRPr="00521A11" w14:paraId="596D22F6" w14:textId="77777777" w:rsidTr="006F57FD">
        <w:tc>
          <w:tcPr>
            <w:tcW w:w="2520" w:type="dxa"/>
          </w:tcPr>
          <w:p w14:paraId="1B195454" w14:textId="3A8E6E87" w:rsidR="00DE2086" w:rsidRPr="00521A11" w:rsidRDefault="00DE2086" w:rsidP="00DE2086">
            <w:r w:rsidRPr="00521A11">
              <w:t>more than 30 days after a notice of proposed adverse action</w:t>
            </w:r>
          </w:p>
        </w:tc>
        <w:tc>
          <w:tcPr>
            <w:tcW w:w="5130" w:type="dxa"/>
          </w:tcPr>
          <w:p w14:paraId="7A6C3FF7" w14:textId="77777777" w:rsidR="009A3BDD" w:rsidRPr="00521A11" w:rsidRDefault="009A3BDD" w:rsidP="00DE2086">
            <w:pPr>
              <w:pStyle w:val="ListParagraph"/>
              <w:numPr>
                <w:ilvl w:val="0"/>
                <w:numId w:val="28"/>
              </w:numPr>
              <w:ind w:left="158" w:hanging="187"/>
            </w:pPr>
            <w:r w:rsidRPr="00521A11">
              <w:t>establish an EP 173</w:t>
            </w:r>
          </w:p>
          <w:p w14:paraId="467144B6" w14:textId="53CD09D0" w:rsidR="00DE2086" w:rsidRPr="00521A11" w:rsidRDefault="009A3BDD" w:rsidP="00DE2086">
            <w:pPr>
              <w:pStyle w:val="ListParagraph"/>
              <w:numPr>
                <w:ilvl w:val="0"/>
                <w:numId w:val="28"/>
              </w:numPr>
              <w:ind w:left="158" w:hanging="187"/>
            </w:pPr>
            <w:r w:rsidRPr="00521A11">
              <w:t>make a final decision</w:t>
            </w:r>
            <w:r w:rsidR="00DE2086" w:rsidRPr="00521A11">
              <w:t xml:space="preserve"> under </w:t>
            </w:r>
            <w:r w:rsidRPr="00521A11">
              <w:t>the controlling EP</w:t>
            </w:r>
          </w:p>
          <w:p w14:paraId="0265CABE" w14:textId="47FCD19D" w:rsidR="00DE2086" w:rsidRPr="00521A11" w:rsidRDefault="009A3BDD" w:rsidP="00DE2086">
            <w:pPr>
              <w:pStyle w:val="ListParagraph"/>
              <w:numPr>
                <w:ilvl w:val="0"/>
                <w:numId w:val="28"/>
              </w:numPr>
              <w:ind w:left="158" w:hanging="187"/>
            </w:pPr>
            <w:r w:rsidRPr="00521A11">
              <w:t xml:space="preserve">schedule and </w:t>
            </w:r>
            <w:r w:rsidR="00DE2086" w:rsidRPr="00521A11">
              <w:t xml:space="preserve">hold </w:t>
            </w:r>
            <w:r w:rsidRPr="00521A11">
              <w:t xml:space="preserve">the </w:t>
            </w:r>
            <w:r w:rsidR="00DE2086" w:rsidRPr="00521A11">
              <w:t>hearing, and</w:t>
            </w:r>
          </w:p>
          <w:p w14:paraId="663CC542" w14:textId="77777777" w:rsidR="00DE2086" w:rsidRPr="00521A11" w:rsidRDefault="00DE2086" w:rsidP="00DE2086">
            <w:pPr>
              <w:pStyle w:val="ListParagraph"/>
              <w:numPr>
                <w:ilvl w:val="0"/>
                <w:numId w:val="29"/>
              </w:numPr>
              <w:ind w:left="158" w:hanging="187"/>
            </w:pPr>
            <w:r w:rsidRPr="00521A11">
              <w:t>make a new decision under EP 173, if needed.</w:t>
            </w:r>
          </w:p>
          <w:p w14:paraId="18992A1F" w14:textId="77777777" w:rsidR="009A3BDD" w:rsidRPr="00521A11" w:rsidRDefault="009A3BDD" w:rsidP="009A3BDD"/>
          <w:p w14:paraId="35C4C959" w14:textId="1E90F96F" w:rsidR="009A3BDD" w:rsidRPr="00521A11" w:rsidRDefault="009A3BDD" w:rsidP="009A3BDD">
            <w:r w:rsidRPr="00521A11">
              <w:rPr>
                <w:b/>
                <w:i/>
              </w:rPr>
              <w:t>Important</w:t>
            </w:r>
            <w:r w:rsidRPr="00521A11">
              <w:t>:  If development is underway based on evidence submitted by the beneficiary, complete the development before making the final decision.</w:t>
            </w:r>
          </w:p>
        </w:tc>
      </w:tr>
    </w:tbl>
    <w:p w14:paraId="490240C3" w14:textId="767B52AD" w:rsidR="009A3BDD" w:rsidRPr="00521A11" w:rsidRDefault="009A3BDD" w:rsidP="009A3BDD"/>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9A3BDD" w:rsidRPr="00521A11" w14:paraId="7609B0B2" w14:textId="77777777" w:rsidTr="009A3BDD">
        <w:tc>
          <w:tcPr>
            <w:tcW w:w="7740" w:type="dxa"/>
            <w:shd w:val="clear" w:color="auto" w:fill="auto"/>
          </w:tcPr>
          <w:p w14:paraId="152458B2" w14:textId="73BF17EB" w:rsidR="009A3BDD" w:rsidRPr="00521A11" w:rsidRDefault="009A3BDD" w:rsidP="009A3BDD">
            <w:r w:rsidRPr="00521A11">
              <w:rPr>
                <w:b/>
                <w:i/>
              </w:rPr>
              <w:t>References</w:t>
            </w:r>
            <w:r w:rsidRPr="00521A11">
              <w:t xml:space="preserve">:  For more information on </w:t>
            </w:r>
          </w:p>
          <w:p w14:paraId="6546C087" w14:textId="6EC99092" w:rsidR="009169E0" w:rsidRPr="00521A11" w:rsidRDefault="009A3BDD" w:rsidP="00E00E44">
            <w:pPr>
              <w:pStyle w:val="ListParagraph"/>
              <w:numPr>
                <w:ilvl w:val="0"/>
                <w:numId w:val="4"/>
              </w:numPr>
              <w:ind w:left="158" w:hanging="187"/>
            </w:pPr>
            <w:r w:rsidRPr="00521A11">
              <w:t>EPs</w:t>
            </w:r>
            <w:r w:rsidR="00E00E44" w:rsidRPr="00521A11">
              <w:t>, including control for hearings requested with income verification match (IVM) and individual unemployability (IU) proposed adverse actions, see M21-4, Appendix B</w:t>
            </w:r>
          </w:p>
          <w:p w14:paraId="6396A44F" w14:textId="77777777" w:rsidR="009169E0" w:rsidRPr="00521A11" w:rsidRDefault="009169E0" w:rsidP="009169E0">
            <w:pPr>
              <w:pStyle w:val="ListParagraph"/>
              <w:numPr>
                <w:ilvl w:val="0"/>
                <w:numId w:val="14"/>
              </w:numPr>
              <w:ind w:left="158" w:hanging="187"/>
            </w:pPr>
            <w:r w:rsidRPr="00521A11">
              <w:t xml:space="preserve">hearings, see </w:t>
            </w:r>
          </w:p>
          <w:p w14:paraId="252A5A32" w14:textId="3FADD43C" w:rsidR="009169E0" w:rsidRPr="00521A11" w:rsidRDefault="00E250E0" w:rsidP="009169E0">
            <w:pPr>
              <w:pStyle w:val="ListParagraph"/>
              <w:numPr>
                <w:ilvl w:val="0"/>
                <w:numId w:val="15"/>
              </w:numPr>
              <w:ind w:left="346" w:hanging="187"/>
            </w:pPr>
            <w:hyperlink r:id="rId21" w:history="1">
              <w:r w:rsidR="009169E0" w:rsidRPr="00521A11">
                <w:rPr>
                  <w:rStyle w:val="Hyperlink"/>
                </w:rPr>
                <w:t>38 CFR 3.103(c)</w:t>
              </w:r>
            </w:hyperlink>
            <w:r w:rsidR="009169E0" w:rsidRPr="00521A11">
              <w:rPr>
                <w:rStyle w:val="Hyperlink"/>
                <w:color w:val="auto"/>
                <w:u w:val="none"/>
              </w:rPr>
              <w:t>, and</w:t>
            </w:r>
          </w:p>
          <w:p w14:paraId="1F1B41FC" w14:textId="64D2EE6D" w:rsidR="009A3BDD" w:rsidRPr="00521A11" w:rsidRDefault="00E250E0" w:rsidP="009169E0">
            <w:pPr>
              <w:pStyle w:val="ListParagraph"/>
              <w:numPr>
                <w:ilvl w:val="0"/>
                <w:numId w:val="31"/>
              </w:numPr>
              <w:ind w:left="346" w:hanging="187"/>
            </w:pPr>
            <w:hyperlink r:id="rId22" w:history="1">
              <w:r w:rsidR="009169E0" w:rsidRPr="00521A11">
                <w:rPr>
                  <w:rStyle w:val="Hyperlink"/>
                </w:rPr>
                <w:t>38 CFR 3.105(i)(1)</w:t>
              </w:r>
            </w:hyperlink>
            <w:r w:rsidR="009A3BDD" w:rsidRPr="00521A11">
              <w:t>, and</w:t>
            </w:r>
          </w:p>
          <w:p w14:paraId="4C97C913" w14:textId="0AB3E023" w:rsidR="009A3BDD" w:rsidRPr="00521A11" w:rsidRDefault="009A3BDD" w:rsidP="009A3BDD">
            <w:pPr>
              <w:pStyle w:val="ListParagraph"/>
              <w:numPr>
                <w:ilvl w:val="0"/>
                <w:numId w:val="30"/>
              </w:numPr>
              <w:ind w:left="158" w:hanging="187"/>
            </w:pPr>
            <w:r w:rsidRPr="00521A11">
              <w:t>scheduling hearings, see M21-1, Part I, 4.3</w:t>
            </w:r>
            <w:r w:rsidR="009169E0" w:rsidRPr="00521A11">
              <w:t>.</w:t>
            </w:r>
          </w:p>
        </w:tc>
      </w:tr>
    </w:tbl>
    <w:p w14:paraId="3035D77C" w14:textId="5B66D1F3" w:rsidR="00135C7A" w:rsidRPr="00521A11" w:rsidRDefault="00135C7A" w:rsidP="00135C7A">
      <w:pPr>
        <w:pStyle w:val="BlockLine"/>
      </w:pPr>
    </w:p>
    <w:tbl>
      <w:tblPr>
        <w:tblW w:w="0" w:type="auto"/>
        <w:tblLayout w:type="fixed"/>
        <w:tblLook w:val="0000" w:firstRow="0" w:lastRow="0" w:firstColumn="0" w:lastColumn="0" w:noHBand="0" w:noVBand="0"/>
      </w:tblPr>
      <w:tblGrid>
        <w:gridCol w:w="1728"/>
        <w:gridCol w:w="7740"/>
      </w:tblGrid>
      <w:tr w:rsidR="00963DD7" w:rsidRPr="00521A11" w14:paraId="7999DE83" w14:textId="0647C1C9" w:rsidTr="00521A11">
        <w:tc>
          <w:tcPr>
            <w:tcW w:w="1728" w:type="dxa"/>
          </w:tcPr>
          <w:p w14:paraId="7999DE77" w14:textId="727124BE" w:rsidR="00A26F07" w:rsidRPr="00521A11" w:rsidRDefault="00853092" w:rsidP="00853092">
            <w:pPr>
              <w:pStyle w:val="Heading5"/>
              <w:numPr>
                <w:ilvl w:val="12"/>
                <w:numId w:val="0"/>
              </w:numPr>
            </w:pPr>
            <w:r w:rsidRPr="00521A11">
              <w:t>d</w:t>
            </w:r>
            <w:r w:rsidR="00963DD7" w:rsidRPr="00521A11">
              <w:t>.</w:t>
            </w:r>
            <w:r w:rsidR="00112BDF" w:rsidRPr="00521A11">
              <w:t xml:space="preserve">  Fa</w:t>
            </w:r>
            <w:r w:rsidR="00F66902" w:rsidRPr="00521A11">
              <w:t>ilure</w:t>
            </w:r>
            <w:r w:rsidR="00112BDF" w:rsidRPr="00521A11">
              <w:t xml:space="preserve"> to Appear for a</w:t>
            </w:r>
            <w:r w:rsidR="00D33DC3" w:rsidRPr="00521A11">
              <w:t xml:space="preserve">n </w:t>
            </w:r>
            <w:r w:rsidR="00D33DC3" w:rsidRPr="00521A11">
              <w:lastRenderedPageBreak/>
              <w:t>Adverse Action</w:t>
            </w:r>
            <w:r w:rsidR="00112BDF" w:rsidRPr="00521A11">
              <w:t xml:space="preserve"> Hearing</w:t>
            </w:r>
          </w:p>
        </w:tc>
        <w:tc>
          <w:tcPr>
            <w:tcW w:w="7740" w:type="dxa"/>
          </w:tcPr>
          <w:p w14:paraId="7999DE78" w14:textId="6A23E994" w:rsidR="00963DD7" w:rsidRPr="00521A11" w:rsidRDefault="00963DD7">
            <w:pPr>
              <w:pStyle w:val="BlockText"/>
              <w:numPr>
                <w:ilvl w:val="12"/>
                <w:numId w:val="0"/>
              </w:numPr>
            </w:pPr>
            <w:r w:rsidRPr="00521A11">
              <w:lastRenderedPageBreak/>
              <w:t>Due process requires only that a beneficiary be afforded a reasonable oppor</w:t>
            </w:r>
            <w:r w:rsidR="00C43ACB" w:rsidRPr="00521A11">
              <w:t>tunity for a personal hearing.</w:t>
            </w:r>
          </w:p>
          <w:p w14:paraId="7999DE79" w14:textId="52EF2407" w:rsidR="00963DD7" w:rsidRPr="00521A11" w:rsidRDefault="00963DD7">
            <w:pPr>
              <w:pStyle w:val="BlockText"/>
              <w:numPr>
                <w:ilvl w:val="12"/>
                <w:numId w:val="0"/>
              </w:numPr>
            </w:pPr>
          </w:p>
          <w:p w14:paraId="7999DE7A" w14:textId="6C7264B4" w:rsidR="00963DD7" w:rsidRPr="00521A11" w:rsidRDefault="00963DD7">
            <w:pPr>
              <w:pStyle w:val="BlockText"/>
              <w:numPr>
                <w:ilvl w:val="12"/>
                <w:numId w:val="0"/>
              </w:numPr>
            </w:pPr>
            <w:r w:rsidRPr="00521A11">
              <w:t>If the beneficiary fails to appear for a scheduled hearing</w:t>
            </w:r>
            <w:r w:rsidR="00557D64" w:rsidRPr="00521A11">
              <w:t xml:space="preserve"> without good cause</w:t>
            </w:r>
            <w:r w:rsidRPr="00521A11">
              <w:t>, and the 60-day adverse action proposal period has expired</w:t>
            </w:r>
          </w:p>
          <w:p w14:paraId="7999DE7B" w14:textId="2521715D" w:rsidR="00963DD7" w:rsidRPr="00521A11" w:rsidRDefault="00963DD7">
            <w:pPr>
              <w:pStyle w:val="BlockText"/>
            </w:pPr>
          </w:p>
          <w:p w14:paraId="7999DE7C" w14:textId="34DB32DA" w:rsidR="00963DD7" w:rsidRPr="00521A11" w:rsidRDefault="00963DD7">
            <w:pPr>
              <w:pStyle w:val="BulletText1"/>
            </w:pPr>
            <w:r w:rsidRPr="00521A11">
              <w:t>make a decision based on the evidence of record</w:t>
            </w:r>
          </w:p>
          <w:p w14:paraId="7999DE7D" w14:textId="7CE416A7" w:rsidR="00963DD7" w:rsidRPr="00521A11" w:rsidRDefault="00963DD7">
            <w:pPr>
              <w:pStyle w:val="BulletText1"/>
            </w:pPr>
            <w:r w:rsidRPr="00521A11">
              <w:t>advise the beneficiary of the decision, and</w:t>
            </w:r>
          </w:p>
          <w:p w14:paraId="7999DE7E" w14:textId="2E32FF82" w:rsidR="00963DD7" w:rsidRPr="00521A11" w:rsidRDefault="00963DD7">
            <w:pPr>
              <w:pStyle w:val="BulletText1"/>
            </w:pPr>
            <w:r w:rsidRPr="00521A11">
              <w:t>advise the beneficiary that if a new hearing is still desired</w:t>
            </w:r>
          </w:p>
          <w:p w14:paraId="7999DE7F" w14:textId="7580E0FC" w:rsidR="00963DD7" w:rsidRPr="00521A11" w:rsidRDefault="00963DD7">
            <w:pPr>
              <w:pStyle w:val="BulletText2"/>
            </w:pPr>
            <w:r w:rsidRPr="00521A11">
              <w:t>he/she should contact VA to schedule a hearing, and</w:t>
            </w:r>
          </w:p>
          <w:p w14:paraId="7999DE80" w14:textId="0C3378E7" w:rsidR="00963DD7" w:rsidRPr="00521A11" w:rsidRDefault="00963DD7">
            <w:pPr>
              <w:pStyle w:val="BulletText2"/>
            </w:pPr>
            <w:r w:rsidRPr="00521A11">
              <w:t>the action just completed will be reconsidered in light of any evidence presented at that hearing.</w:t>
            </w:r>
          </w:p>
          <w:p w14:paraId="7999DE81" w14:textId="2DB1DD8E" w:rsidR="00963DD7" w:rsidRPr="00521A11" w:rsidRDefault="00963DD7">
            <w:pPr>
              <w:pStyle w:val="BlockText"/>
              <w:numPr>
                <w:ilvl w:val="12"/>
                <w:numId w:val="0"/>
              </w:numPr>
            </w:pPr>
          </w:p>
          <w:p w14:paraId="25B06CCF" w14:textId="0F06B07D" w:rsidR="00643EF9" w:rsidRPr="00521A11" w:rsidRDefault="00963DD7" w:rsidP="00643EF9">
            <w:pPr>
              <w:pStyle w:val="BlockText"/>
            </w:pPr>
            <w:r w:rsidRPr="00521A11">
              <w:rPr>
                <w:b/>
                <w:i/>
              </w:rPr>
              <w:t>Reference</w:t>
            </w:r>
            <w:r w:rsidRPr="00521A11">
              <w:t xml:space="preserve">:  For more information on </w:t>
            </w:r>
            <w:r w:rsidR="00643EF9" w:rsidRPr="00521A11">
              <w:t>rescheduling</w:t>
            </w:r>
            <w:r w:rsidR="00C43ACB" w:rsidRPr="00521A11">
              <w:t xml:space="preserve"> </w:t>
            </w:r>
            <w:r w:rsidRPr="00521A11">
              <w:t xml:space="preserve">hearings, see </w:t>
            </w:r>
          </w:p>
          <w:p w14:paraId="65E95C5E" w14:textId="77777777" w:rsidR="00643EF9" w:rsidRPr="00521A11" w:rsidRDefault="00E250E0" w:rsidP="00A74092">
            <w:pPr>
              <w:pStyle w:val="ListParagraph"/>
              <w:numPr>
                <w:ilvl w:val="0"/>
                <w:numId w:val="8"/>
              </w:numPr>
              <w:ind w:left="158" w:hanging="187"/>
              <w:rPr>
                <w:rStyle w:val="Hyperlink"/>
                <w:color w:val="000000"/>
                <w:u w:val="none"/>
              </w:rPr>
            </w:pPr>
            <w:hyperlink r:id="rId23" w:history="1">
              <w:r w:rsidR="00963DD7" w:rsidRPr="00521A11">
                <w:rPr>
                  <w:rStyle w:val="Hyperlink"/>
                </w:rPr>
                <w:t>38 CFR 3.105(i)</w:t>
              </w:r>
            </w:hyperlink>
            <w:r w:rsidR="00643EF9" w:rsidRPr="00521A11">
              <w:rPr>
                <w:rStyle w:val="Hyperlink"/>
                <w:color w:val="auto"/>
                <w:u w:val="none"/>
              </w:rPr>
              <w:t>, and</w:t>
            </w:r>
          </w:p>
          <w:p w14:paraId="7999DE82" w14:textId="30ABF265" w:rsidR="006A512A" w:rsidRPr="00521A11" w:rsidRDefault="00643EF9" w:rsidP="00853092">
            <w:pPr>
              <w:pStyle w:val="ListParagraph"/>
              <w:numPr>
                <w:ilvl w:val="0"/>
                <w:numId w:val="8"/>
              </w:numPr>
              <w:ind w:left="158" w:hanging="187"/>
            </w:pPr>
            <w:r w:rsidRPr="00521A11">
              <w:rPr>
                <w:rStyle w:val="Hyperlink"/>
                <w:color w:val="auto"/>
                <w:u w:val="none"/>
              </w:rPr>
              <w:t>M21-1, Part I, 2.C.3.</w:t>
            </w:r>
            <w:r w:rsidR="00853092" w:rsidRPr="00521A11">
              <w:rPr>
                <w:rStyle w:val="Hyperlink"/>
                <w:color w:val="auto"/>
                <w:u w:val="none"/>
              </w:rPr>
              <w:t>e</w:t>
            </w:r>
            <w:r w:rsidR="00963DD7" w:rsidRPr="00521A11">
              <w:t xml:space="preserve">. </w:t>
            </w:r>
          </w:p>
        </w:tc>
      </w:tr>
    </w:tbl>
    <w:p w14:paraId="7999DE84" w14:textId="44896787" w:rsidR="00963DD7" w:rsidRPr="00521A11" w:rsidRDefault="001B3CE9" w:rsidP="00F3775B">
      <w:pPr>
        <w:pStyle w:val="BlockLine"/>
      </w:pPr>
      <w:r w:rsidRPr="00521A11">
        <w:lastRenderedPageBreak/>
        <w:fldChar w:fldCharType="begin"/>
      </w:r>
      <w:r w:rsidRPr="00521A11">
        <w:instrText xml:space="preserve"> PRIVATE INFOTYPE="PRINCIPLE" </w:instrText>
      </w:r>
      <w:r w:rsidRPr="00521A11">
        <w:fldChar w:fldCharType="end"/>
      </w:r>
    </w:p>
    <w:tbl>
      <w:tblPr>
        <w:tblW w:w="0" w:type="auto"/>
        <w:tblLayout w:type="fixed"/>
        <w:tblLook w:val="0000" w:firstRow="0" w:lastRow="0" w:firstColumn="0" w:lastColumn="0" w:noHBand="0" w:noVBand="0"/>
      </w:tblPr>
      <w:tblGrid>
        <w:gridCol w:w="1728"/>
        <w:gridCol w:w="7740"/>
      </w:tblGrid>
      <w:tr w:rsidR="00963DD7" w:rsidRPr="00521A11" w14:paraId="7999DE91" w14:textId="40B322BE" w:rsidTr="008C0A1B">
        <w:tc>
          <w:tcPr>
            <w:tcW w:w="1728" w:type="dxa"/>
          </w:tcPr>
          <w:p w14:paraId="7999DE85" w14:textId="799B7DA3" w:rsidR="00963DD7" w:rsidRPr="00521A11" w:rsidRDefault="00644BF3" w:rsidP="00643EF9">
            <w:pPr>
              <w:pStyle w:val="Heading5"/>
              <w:numPr>
                <w:ilvl w:val="12"/>
                <w:numId w:val="0"/>
              </w:numPr>
            </w:pPr>
            <w:r w:rsidRPr="00521A11">
              <w:t>e</w:t>
            </w:r>
            <w:r w:rsidR="00963DD7" w:rsidRPr="00521A11">
              <w:t xml:space="preserve">.  Rescheduling </w:t>
            </w:r>
            <w:r w:rsidR="00D33DC3" w:rsidRPr="00521A11">
              <w:t xml:space="preserve">Adverse Action </w:t>
            </w:r>
            <w:r w:rsidR="00963DD7" w:rsidRPr="00521A11">
              <w:t xml:space="preserve">Hearings </w:t>
            </w:r>
          </w:p>
        </w:tc>
        <w:tc>
          <w:tcPr>
            <w:tcW w:w="7740" w:type="dxa"/>
          </w:tcPr>
          <w:p w14:paraId="7999DE86" w14:textId="4F7ECA95" w:rsidR="00963DD7" w:rsidRPr="00521A11" w:rsidRDefault="00963DD7">
            <w:pPr>
              <w:pStyle w:val="BlockText"/>
              <w:numPr>
                <w:ilvl w:val="12"/>
                <w:numId w:val="0"/>
              </w:numPr>
            </w:pPr>
            <w:r w:rsidRPr="00521A11">
              <w:t xml:space="preserve">If the beneficiary failed to appear for a hearing </w:t>
            </w:r>
            <w:r w:rsidR="005C7726" w:rsidRPr="00521A11">
              <w:t>due to</w:t>
            </w:r>
            <w:r w:rsidR="009D207D" w:rsidRPr="00521A11">
              <w:t xml:space="preserve"> </w:t>
            </w:r>
            <w:r w:rsidR="00557D64" w:rsidRPr="00521A11">
              <w:t xml:space="preserve">good cause as discussed in </w:t>
            </w:r>
            <w:hyperlink r:id="rId24" w:history="1">
              <w:r w:rsidR="00557D64" w:rsidRPr="00521A11">
                <w:rPr>
                  <w:rStyle w:val="Hyperlink"/>
                </w:rPr>
                <w:t>38 CFR 3.105(i)</w:t>
              </w:r>
            </w:hyperlink>
          </w:p>
          <w:p w14:paraId="7999DE87" w14:textId="28AB62C2" w:rsidR="00963DD7" w:rsidRPr="00521A11" w:rsidRDefault="00963DD7">
            <w:pPr>
              <w:pStyle w:val="BlockText"/>
              <w:numPr>
                <w:ilvl w:val="12"/>
                <w:numId w:val="0"/>
              </w:numPr>
            </w:pPr>
          </w:p>
          <w:p w14:paraId="12BE0F0C" w14:textId="77777777" w:rsidR="00F46E74" w:rsidRPr="00521A11" w:rsidRDefault="00963DD7">
            <w:pPr>
              <w:pStyle w:val="BulletText1"/>
            </w:pPr>
            <w:r w:rsidRPr="00521A11">
              <w:t>schedule a new hearing on a priority basis</w:t>
            </w:r>
          </w:p>
          <w:p w14:paraId="7999DE88" w14:textId="48387BCE" w:rsidR="00963DD7" w:rsidRPr="00521A11" w:rsidRDefault="00F46E74">
            <w:pPr>
              <w:pStyle w:val="BulletText1"/>
            </w:pPr>
            <w:r w:rsidRPr="00521A11">
              <w:t>establish EP</w:t>
            </w:r>
            <w:r w:rsidR="00896235" w:rsidRPr="00521A11">
              <w:t xml:space="preserve"> 173</w:t>
            </w:r>
            <w:r w:rsidR="00963DD7" w:rsidRPr="00521A11">
              <w:t>, and</w:t>
            </w:r>
          </w:p>
          <w:p w14:paraId="7999DE89" w14:textId="7ABDEF40" w:rsidR="00963DD7" w:rsidRPr="00521A11" w:rsidRDefault="00963DD7">
            <w:pPr>
              <w:pStyle w:val="BulletText1"/>
              <w:rPr>
                <w:b/>
              </w:rPr>
            </w:pPr>
            <w:r w:rsidRPr="00521A11">
              <w:t xml:space="preserve">continue payments, if the request for hearing was received within </w:t>
            </w:r>
            <w:r w:rsidR="005F228D" w:rsidRPr="00521A11">
              <w:t>the appropriate time limit</w:t>
            </w:r>
            <w:r w:rsidRPr="00521A11">
              <w:t>.</w:t>
            </w:r>
          </w:p>
          <w:p w14:paraId="6FF6BDD9" w14:textId="4D0DF0A6" w:rsidR="00C93E42" w:rsidRPr="00521A11" w:rsidRDefault="00C93E42">
            <w:pPr>
              <w:pStyle w:val="BlockText"/>
            </w:pPr>
          </w:p>
          <w:p w14:paraId="2AD5FDDA" w14:textId="39F26A73" w:rsidR="00C93E42" w:rsidRPr="00521A11" w:rsidRDefault="00C93E42">
            <w:pPr>
              <w:pStyle w:val="BlockText"/>
            </w:pPr>
            <w:r w:rsidRPr="00521A11">
              <w:rPr>
                <w:b/>
                <w:i/>
              </w:rPr>
              <w:t>Note</w:t>
            </w:r>
            <w:r w:rsidRPr="00521A11">
              <w:t>:  If the request to reschedule the hearing is received after action has already been taken</w:t>
            </w:r>
            <w:r w:rsidR="00BA7496" w:rsidRPr="00521A11">
              <w:t xml:space="preserve"> on the </w:t>
            </w:r>
            <w:r w:rsidR="001502D2" w:rsidRPr="00521A11">
              <w:t xml:space="preserve">controlling </w:t>
            </w:r>
            <w:r w:rsidR="00BA7496" w:rsidRPr="00521A11">
              <w:t>EP</w:t>
            </w:r>
            <w:r w:rsidRPr="00521A11">
              <w:t>, establish EP</w:t>
            </w:r>
            <w:r w:rsidR="0010117B" w:rsidRPr="00521A11">
              <w:t xml:space="preserve"> 173</w:t>
            </w:r>
            <w:r w:rsidRPr="00521A11">
              <w:t xml:space="preserve"> and take any needed award adjustment under th</w:t>
            </w:r>
            <w:r w:rsidR="00F46E74" w:rsidRPr="00521A11">
              <w:t>at</w:t>
            </w:r>
            <w:r w:rsidRPr="00521A11">
              <w:t xml:space="preserve"> EP.</w:t>
            </w:r>
          </w:p>
          <w:p w14:paraId="6E785D19" w14:textId="77777777" w:rsidR="00C93E42" w:rsidRPr="00521A11" w:rsidRDefault="00C93E42">
            <w:pPr>
              <w:pStyle w:val="BlockText"/>
            </w:pPr>
          </w:p>
          <w:p w14:paraId="4FFE8B39" w14:textId="768D2160" w:rsidR="005F228D" w:rsidRPr="00521A11" w:rsidRDefault="005F228D">
            <w:pPr>
              <w:pStyle w:val="BlockText"/>
            </w:pPr>
            <w:r w:rsidRPr="00521A11">
              <w:rPr>
                <w:b/>
                <w:i/>
              </w:rPr>
              <w:t>References</w:t>
            </w:r>
            <w:r w:rsidRPr="00521A11">
              <w:t>:  For more information on</w:t>
            </w:r>
          </w:p>
          <w:p w14:paraId="132CFCDC" w14:textId="2B02EC46" w:rsidR="005F228D" w:rsidRPr="00521A11" w:rsidRDefault="005F228D" w:rsidP="005F228D">
            <w:pPr>
              <w:pStyle w:val="BulletText1"/>
            </w:pPr>
            <w:r w:rsidRPr="00521A11">
              <w:t>time limits for requesting a hearing, see M21-1, Part I, 2.C.3.a,</w:t>
            </w:r>
          </w:p>
          <w:p w14:paraId="04B65892" w14:textId="23EA84BD" w:rsidR="00D33DC3" w:rsidRPr="00521A11" w:rsidRDefault="00557D64" w:rsidP="00714D52">
            <w:pPr>
              <w:pStyle w:val="BulletText1"/>
            </w:pPr>
            <w:r w:rsidRPr="00521A11">
              <w:t>good cause</w:t>
            </w:r>
            <w:r w:rsidR="00643EF9" w:rsidRPr="00521A11">
              <w:t xml:space="preserve"> and </w:t>
            </w:r>
            <w:r w:rsidR="005F228D" w:rsidRPr="00521A11">
              <w:t>failure to appear for a hearing, see M21-1, Part I, 4.</w:t>
            </w:r>
            <w:r w:rsidR="00714D52" w:rsidRPr="00521A11">
              <w:t>1.q</w:t>
            </w:r>
          </w:p>
          <w:p w14:paraId="2B00F71E" w14:textId="1472029E" w:rsidR="005F228D" w:rsidRPr="00521A11" w:rsidRDefault="00D33DC3" w:rsidP="00714D52">
            <w:pPr>
              <w:pStyle w:val="BulletText1"/>
            </w:pPr>
            <w:r w:rsidRPr="00521A11">
              <w:t>scheduling hearings, see M21-1, Part I, 4.3</w:t>
            </w:r>
            <w:r w:rsidR="0010117B" w:rsidRPr="00521A11">
              <w:t>, and</w:t>
            </w:r>
          </w:p>
          <w:p w14:paraId="7999DE90" w14:textId="5F151589" w:rsidR="0010117B" w:rsidRPr="00521A11" w:rsidRDefault="0010117B" w:rsidP="00714D52">
            <w:pPr>
              <w:pStyle w:val="BulletText1"/>
            </w:pPr>
            <w:r w:rsidRPr="00521A11">
              <w:t>EPs for hearing requests, see M21-4, Appendix B.</w:t>
            </w:r>
          </w:p>
        </w:tc>
      </w:tr>
    </w:tbl>
    <w:p w14:paraId="7999DE92" w14:textId="2E7F376C" w:rsidR="00963DD7" w:rsidRPr="00521A11" w:rsidRDefault="00E3079C" w:rsidP="00E3079C">
      <w:pPr>
        <w:tabs>
          <w:tab w:val="left" w:pos="9360"/>
        </w:tabs>
        <w:ind w:left="1714"/>
      </w:pPr>
      <w:r w:rsidRPr="00521A11">
        <w:rPr>
          <w:u w:val="single"/>
        </w:rPr>
        <w:tab/>
      </w:r>
    </w:p>
    <w:p w14:paraId="617DEE58" w14:textId="372D8414" w:rsidR="00E3079C" w:rsidRPr="00521A11" w:rsidRDefault="00E3079C" w:rsidP="00E3079C">
      <w:pPr>
        <w:ind w:left="1714"/>
      </w:pPr>
    </w:p>
    <w:p w14:paraId="6830D27F" w14:textId="77777777" w:rsidR="00E3079C" w:rsidRPr="00521A11" w:rsidRDefault="00E3079C" w:rsidP="00E3079C"/>
    <w:p w14:paraId="6287017B" w14:textId="77777777" w:rsidR="00521A11" w:rsidRPr="00521A11" w:rsidRDefault="00521A11">
      <w:pPr>
        <w:rPr>
          <w:rFonts w:ascii="Arial" w:hAnsi="Arial" w:cs="Arial"/>
          <w:b/>
          <w:sz w:val="32"/>
          <w:szCs w:val="20"/>
        </w:rPr>
      </w:pPr>
      <w:r w:rsidRPr="00521A11">
        <w:br w:type="page"/>
      </w:r>
    </w:p>
    <w:p w14:paraId="7999DE93" w14:textId="76F2FAA8" w:rsidR="00963DD7" w:rsidRPr="00521A11" w:rsidRDefault="00FA24FF" w:rsidP="00BE6899">
      <w:pPr>
        <w:pStyle w:val="Heading4"/>
      </w:pPr>
      <w:r w:rsidRPr="00521A11">
        <w:lastRenderedPageBreak/>
        <w:t>4</w:t>
      </w:r>
      <w:r w:rsidR="00963DD7" w:rsidRPr="00521A11">
        <w:t xml:space="preserve">.  Sending Final </w:t>
      </w:r>
      <w:r w:rsidR="00CF2194" w:rsidRPr="00521A11">
        <w:t xml:space="preserve">Decision </w:t>
      </w:r>
      <w:r w:rsidR="00963DD7" w:rsidRPr="00521A11">
        <w:t>Notice</w:t>
      </w:r>
    </w:p>
    <w:p w14:paraId="7999DE94" w14:textId="77777777" w:rsidR="00963DD7" w:rsidRPr="00521A11" w:rsidRDefault="00963DD7">
      <w:pPr>
        <w:pStyle w:val="BlockLine"/>
        <w:numPr>
          <w:ilvl w:val="12"/>
          <w:numId w:val="0"/>
        </w:numPr>
        <w:ind w:left="1700"/>
      </w:pPr>
      <w:r w:rsidRPr="00521A11">
        <w:fldChar w:fldCharType="begin"/>
      </w:r>
      <w:r w:rsidRPr="00521A11">
        <w:instrText xml:space="preserve"> PRIVATE INFOTYPE="OTHER" </w:instrText>
      </w:r>
      <w:r w:rsidRPr="00521A11">
        <w:fldChar w:fldCharType="end"/>
      </w:r>
    </w:p>
    <w:tbl>
      <w:tblPr>
        <w:tblW w:w="0" w:type="auto"/>
        <w:tblLayout w:type="fixed"/>
        <w:tblLook w:val="0000" w:firstRow="0" w:lastRow="0" w:firstColumn="0" w:lastColumn="0" w:noHBand="0" w:noVBand="0"/>
      </w:tblPr>
      <w:tblGrid>
        <w:gridCol w:w="1728"/>
        <w:gridCol w:w="7740"/>
      </w:tblGrid>
      <w:tr w:rsidR="00963DD7" w:rsidRPr="00521A11" w14:paraId="7999DE9B" w14:textId="77777777">
        <w:trPr>
          <w:cantSplit/>
        </w:trPr>
        <w:tc>
          <w:tcPr>
            <w:tcW w:w="1728" w:type="dxa"/>
          </w:tcPr>
          <w:p w14:paraId="7999DE95" w14:textId="77777777" w:rsidR="00963DD7" w:rsidRPr="00521A11" w:rsidRDefault="00963DD7">
            <w:pPr>
              <w:pStyle w:val="Heading5"/>
              <w:numPr>
                <w:ilvl w:val="12"/>
                <w:numId w:val="0"/>
              </w:numPr>
            </w:pPr>
            <w:r w:rsidRPr="00521A11">
              <w:t>Introduction</w:t>
            </w:r>
          </w:p>
        </w:tc>
        <w:tc>
          <w:tcPr>
            <w:tcW w:w="7740" w:type="dxa"/>
          </w:tcPr>
          <w:p w14:paraId="7999DE96" w14:textId="00BE9551" w:rsidR="00963DD7" w:rsidRPr="00521A11" w:rsidRDefault="00963DD7">
            <w:pPr>
              <w:pStyle w:val="BlockText"/>
              <w:numPr>
                <w:ilvl w:val="12"/>
                <w:numId w:val="0"/>
              </w:numPr>
            </w:pPr>
            <w:r w:rsidRPr="00521A11">
              <w:t>This topic contains information on</w:t>
            </w:r>
            <w:r w:rsidR="007374C9" w:rsidRPr="00521A11">
              <w:t xml:space="preserve"> sending</w:t>
            </w:r>
            <w:r w:rsidR="006F5620" w:rsidRPr="00521A11">
              <w:t xml:space="preserve"> a</w:t>
            </w:r>
            <w:r w:rsidR="007374C9" w:rsidRPr="00521A11">
              <w:t xml:space="preserve"> final </w:t>
            </w:r>
            <w:r w:rsidR="006F5620" w:rsidRPr="00521A11">
              <w:t xml:space="preserve">decision </w:t>
            </w:r>
            <w:r w:rsidR="007374C9" w:rsidRPr="00521A11">
              <w:t>notice, including</w:t>
            </w:r>
          </w:p>
          <w:p w14:paraId="7999DE97" w14:textId="77777777" w:rsidR="00963DD7" w:rsidRPr="00521A11" w:rsidRDefault="00963DD7">
            <w:pPr>
              <w:pStyle w:val="BlockText"/>
              <w:numPr>
                <w:ilvl w:val="12"/>
                <w:numId w:val="0"/>
              </w:numPr>
            </w:pPr>
          </w:p>
          <w:p w14:paraId="7999DE98" w14:textId="33DDA4DE" w:rsidR="00963DD7" w:rsidRPr="00521A11" w:rsidRDefault="00963DD7">
            <w:pPr>
              <w:pStyle w:val="BulletText1"/>
            </w:pPr>
            <w:r w:rsidRPr="00521A11">
              <w:t xml:space="preserve">requirement for sending a final </w:t>
            </w:r>
            <w:r w:rsidR="009D207D" w:rsidRPr="00521A11">
              <w:t>decision notice</w:t>
            </w:r>
          </w:p>
          <w:p w14:paraId="7999DE99" w14:textId="1FB31345" w:rsidR="00963DD7" w:rsidRPr="00521A11" w:rsidRDefault="00EC6598">
            <w:pPr>
              <w:pStyle w:val="BulletText1"/>
            </w:pPr>
            <w:r w:rsidRPr="00521A11">
              <w:t xml:space="preserve">required elements of </w:t>
            </w:r>
            <w:r w:rsidR="005C56E6" w:rsidRPr="00521A11">
              <w:t xml:space="preserve">the </w:t>
            </w:r>
            <w:r w:rsidR="000E03E4" w:rsidRPr="00521A11">
              <w:t xml:space="preserve">final </w:t>
            </w:r>
            <w:r w:rsidR="005C56E6" w:rsidRPr="00521A11">
              <w:t>decision notice</w:t>
            </w:r>
            <w:r w:rsidR="00963DD7" w:rsidRPr="00521A11">
              <w:t>, and</w:t>
            </w:r>
          </w:p>
          <w:p w14:paraId="7999DE9A" w14:textId="33F70F5D" w:rsidR="00963DD7" w:rsidRPr="00521A11" w:rsidRDefault="00963DD7" w:rsidP="005C56E6">
            <w:pPr>
              <w:pStyle w:val="BulletText1"/>
            </w:pPr>
            <w:r w:rsidRPr="00521A11">
              <w:t xml:space="preserve">procedure for sending </w:t>
            </w:r>
            <w:r w:rsidR="000E4AE9" w:rsidRPr="00521A11">
              <w:t>a</w:t>
            </w:r>
            <w:r w:rsidRPr="00521A11">
              <w:t xml:space="preserve"> final </w:t>
            </w:r>
            <w:r w:rsidR="005C56E6" w:rsidRPr="00521A11">
              <w:t xml:space="preserve">decision </w:t>
            </w:r>
            <w:r w:rsidRPr="00521A11">
              <w:t xml:space="preserve">notice. </w:t>
            </w:r>
          </w:p>
        </w:tc>
      </w:tr>
    </w:tbl>
    <w:p w14:paraId="7999DE9C" w14:textId="77777777" w:rsidR="00963DD7" w:rsidRPr="00521A11" w:rsidRDefault="00963DD7">
      <w:pPr>
        <w:pStyle w:val="BlockLine"/>
        <w:numPr>
          <w:ilvl w:val="12"/>
          <w:numId w:val="0"/>
        </w:numPr>
        <w:ind w:left="1700"/>
      </w:pPr>
    </w:p>
    <w:tbl>
      <w:tblPr>
        <w:tblW w:w="0" w:type="auto"/>
        <w:tblLayout w:type="fixed"/>
        <w:tblLook w:val="0000" w:firstRow="0" w:lastRow="0" w:firstColumn="0" w:lastColumn="0" w:noHBand="0" w:noVBand="0"/>
      </w:tblPr>
      <w:tblGrid>
        <w:gridCol w:w="1728"/>
        <w:gridCol w:w="7740"/>
      </w:tblGrid>
      <w:tr w:rsidR="00963DD7" w:rsidRPr="00521A11" w14:paraId="7999DE9F" w14:textId="77777777">
        <w:trPr>
          <w:cantSplit/>
        </w:trPr>
        <w:tc>
          <w:tcPr>
            <w:tcW w:w="1728" w:type="dxa"/>
          </w:tcPr>
          <w:p w14:paraId="7999DE9D" w14:textId="77777777" w:rsidR="00963DD7" w:rsidRPr="00521A11" w:rsidRDefault="00963DD7">
            <w:pPr>
              <w:pStyle w:val="Heading5"/>
            </w:pPr>
            <w:r w:rsidRPr="00521A11">
              <w:t>Change Date</w:t>
            </w:r>
          </w:p>
        </w:tc>
        <w:tc>
          <w:tcPr>
            <w:tcW w:w="7740" w:type="dxa"/>
          </w:tcPr>
          <w:p w14:paraId="7999DE9E" w14:textId="5AADB959" w:rsidR="00963DD7" w:rsidRPr="00521A11" w:rsidRDefault="008C0A1B">
            <w:pPr>
              <w:pStyle w:val="BlockText"/>
            </w:pPr>
            <w:r w:rsidRPr="00521A11">
              <w:t>July 5, 2015</w:t>
            </w:r>
          </w:p>
        </w:tc>
      </w:tr>
    </w:tbl>
    <w:p w14:paraId="7999DEA0" w14:textId="77777777" w:rsidR="00963DD7" w:rsidRPr="00521A11" w:rsidRDefault="001B3CE9" w:rsidP="008C0A1B">
      <w:pPr>
        <w:pStyle w:val="BlockLine"/>
        <w:numPr>
          <w:ilvl w:val="12"/>
          <w:numId w:val="0"/>
        </w:numPr>
        <w:pBdr>
          <w:top w:val="single" w:sz="6" w:space="4" w:color="000000"/>
        </w:pBdr>
        <w:ind w:left="1700"/>
      </w:pPr>
      <w:r w:rsidRPr="00521A11">
        <w:fldChar w:fldCharType="begin"/>
      </w:r>
      <w:r w:rsidRPr="00521A11">
        <w:instrText xml:space="preserve"> PRIVATE INFOTYPE="PRINCIPLE" </w:instrText>
      </w:r>
      <w:r w:rsidRPr="00521A11">
        <w:fldChar w:fldCharType="end"/>
      </w:r>
    </w:p>
    <w:tbl>
      <w:tblPr>
        <w:tblW w:w="0" w:type="auto"/>
        <w:tblLayout w:type="fixed"/>
        <w:tblLook w:val="0000" w:firstRow="0" w:lastRow="0" w:firstColumn="0" w:lastColumn="0" w:noHBand="0" w:noVBand="0"/>
      </w:tblPr>
      <w:tblGrid>
        <w:gridCol w:w="1728"/>
        <w:gridCol w:w="7740"/>
      </w:tblGrid>
      <w:tr w:rsidR="00963DD7" w:rsidRPr="00521A11" w14:paraId="7999DEA8" w14:textId="77777777">
        <w:trPr>
          <w:cantSplit/>
        </w:trPr>
        <w:tc>
          <w:tcPr>
            <w:tcW w:w="1728" w:type="dxa"/>
          </w:tcPr>
          <w:p w14:paraId="7999DEA1" w14:textId="2BF04057" w:rsidR="00963DD7" w:rsidRPr="00521A11" w:rsidRDefault="00963DD7" w:rsidP="006F5620">
            <w:pPr>
              <w:pStyle w:val="Heading5"/>
              <w:numPr>
                <w:ilvl w:val="12"/>
                <w:numId w:val="0"/>
              </w:numPr>
            </w:pPr>
            <w:r w:rsidRPr="00521A11">
              <w:t xml:space="preserve">a.  Requirement  for Sending a Final </w:t>
            </w:r>
            <w:r w:rsidR="006F5620" w:rsidRPr="00521A11">
              <w:t xml:space="preserve">Decision </w:t>
            </w:r>
            <w:r w:rsidRPr="00521A11">
              <w:t>Notice</w:t>
            </w:r>
          </w:p>
        </w:tc>
        <w:tc>
          <w:tcPr>
            <w:tcW w:w="7740" w:type="dxa"/>
          </w:tcPr>
          <w:p w14:paraId="7999DEA2" w14:textId="28153FB3" w:rsidR="00963DD7" w:rsidRPr="00521A11" w:rsidRDefault="00963DD7">
            <w:pPr>
              <w:pStyle w:val="BlockText"/>
              <w:numPr>
                <w:ilvl w:val="12"/>
                <w:numId w:val="0"/>
              </w:numPr>
            </w:pPr>
            <w:r w:rsidRPr="00521A11">
              <w:t>The final decision</w:t>
            </w:r>
            <w:r w:rsidR="005C56E6" w:rsidRPr="00521A11">
              <w:t xml:space="preserve"> notice</w:t>
            </w:r>
            <w:r w:rsidRPr="00521A11">
              <w:t xml:space="preserve"> must be sent to the last address of record for the  </w:t>
            </w:r>
          </w:p>
          <w:p w14:paraId="7999DEA3" w14:textId="77777777" w:rsidR="00963DD7" w:rsidRPr="00521A11" w:rsidRDefault="00963DD7">
            <w:pPr>
              <w:pStyle w:val="BlockText"/>
              <w:numPr>
                <w:ilvl w:val="12"/>
                <w:numId w:val="0"/>
              </w:numPr>
              <w:rPr>
                <w:b/>
              </w:rPr>
            </w:pPr>
          </w:p>
          <w:p w14:paraId="7999DEA4" w14:textId="77777777" w:rsidR="00963DD7" w:rsidRPr="00521A11" w:rsidRDefault="00963DD7">
            <w:pPr>
              <w:pStyle w:val="BulletText1"/>
            </w:pPr>
            <w:r w:rsidRPr="00521A11">
              <w:t>beneficiary, and</w:t>
            </w:r>
          </w:p>
          <w:p w14:paraId="7999DEA5" w14:textId="77777777" w:rsidR="00963DD7" w:rsidRPr="00521A11" w:rsidRDefault="00963DD7">
            <w:pPr>
              <w:pStyle w:val="BulletText1"/>
              <w:rPr>
                <w:b/>
              </w:rPr>
            </w:pPr>
            <w:r w:rsidRPr="00521A11">
              <w:t>beneficiary’s designated representative (if any).</w:t>
            </w:r>
          </w:p>
          <w:p w14:paraId="7999DEA6" w14:textId="77777777" w:rsidR="00963DD7" w:rsidRPr="00521A11" w:rsidRDefault="00963DD7" w:rsidP="00720FF9">
            <w:pPr>
              <w:pStyle w:val="BlockText"/>
            </w:pPr>
          </w:p>
          <w:p w14:paraId="7999DEA7" w14:textId="5239727E" w:rsidR="00963DD7" w:rsidRPr="00521A11" w:rsidRDefault="00963DD7" w:rsidP="00720FF9">
            <w:pPr>
              <w:pStyle w:val="BlockText"/>
              <w:rPr>
                <w:b/>
              </w:rPr>
            </w:pPr>
            <w:r w:rsidRPr="00521A11">
              <w:rPr>
                <w:b/>
                <w:i/>
              </w:rPr>
              <w:t>Reference</w:t>
            </w:r>
            <w:r w:rsidRPr="00521A11">
              <w:t xml:space="preserve">:  For more information on determining where to send a notice, see </w:t>
            </w:r>
            <w:r w:rsidR="001B3CE9" w:rsidRPr="00521A11">
              <w:t>M21-1, Part I, 2.B.</w:t>
            </w:r>
            <w:r w:rsidR="000E4AE9" w:rsidRPr="00521A11">
              <w:t>3</w:t>
            </w:r>
            <w:r w:rsidR="001B3CE9" w:rsidRPr="00521A11">
              <w:t>.b</w:t>
            </w:r>
            <w:r w:rsidRPr="00521A11">
              <w:t>.</w:t>
            </w:r>
          </w:p>
        </w:tc>
      </w:tr>
    </w:tbl>
    <w:p w14:paraId="7999DEA9" w14:textId="77777777" w:rsidR="00963DD7" w:rsidRPr="00521A11" w:rsidRDefault="001B3CE9">
      <w:pPr>
        <w:pStyle w:val="BlockLine"/>
        <w:numPr>
          <w:ilvl w:val="12"/>
          <w:numId w:val="0"/>
        </w:numPr>
        <w:ind w:left="1700"/>
      </w:pPr>
      <w:r w:rsidRPr="00521A11">
        <w:fldChar w:fldCharType="begin"/>
      </w:r>
      <w:r w:rsidRPr="00521A11">
        <w:instrText xml:space="preserve"> PRIVATE INFOTYPE="PRINCIPLE" </w:instrText>
      </w:r>
      <w:r w:rsidRPr="00521A11">
        <w:fldChar w:fldCharType="end"/>
      </w:r>
    </w:p>
    <w:tbl>
      <w:tblPr>
        <w:tblW w:w="0" w:type="auto"/>
        <w:tblLayout w:type="fixed"/>
        <w:tblLook w:val="0000" w:firstRow="0" w:lastRow="0" w:firstColumn="0" w:lastColumn="0" w:noHBand="0" w:noVBand="0"/>
      </w:tblPr>
      <w:tblGrid>
        <w:gridCol w:w="1728"/>
        <w:gridCol w:w="7740"/>
      </w:tblGrid>
      <w:tr w:rsidR="00963DD7" w:rsidRPr="00521A11" w14:paraId="7999DEB4" w14:textId="77777777">
        <w:trPr>
          <w:cantSplit/>
        </w:trPr>
        <w:tc>
          <w:tcPr>
            <w:tcW w:w="1728" w:type="dxa"/>
          </w:tcPr>
          <w:p w14:paraId="7999DEAA" w14:textId="00EA3C05" w:rsidR="00963DD7" w:rsidRPr="00521A11" w:rsidRDefault="00963DD7" w:rsidP="00514E23">
            <w:pPr>
              <w:pStyle w:val="Heading5"/>
              <w:numPr>
                <w:ilvl w:val="12"/>
                <w:numId w:val="0"/>
              </w:numPr>
            </w:pPr>
            <w:r w:rsidRPr="00521A11">
              <w:t xml:space="preserve">b.  Required Elements of </w:t>
            </w:r>
            <w:r w:rsidR="005C56E6" w:rsidRPr="00521A11">
              <w:t>the</w:t>
            </w:r>
            <w:r w:rsidR="000E03E4" w:rsidRPr="00521A11">
              <w:t xml:space="preserve"> Final</w:t>
            </w:r>
            <w:r w:rsidR="005C56E6" w:rsidRPr="00521A11">
              <w:t xml:space="preserve"> Decision Notice</w:t>
            </w:r>
          </w:p>
        </w:tc>
        <w:tc>
          <w:tcPr>
            <w:tcW w:w="7740" w:type="dxa"/>
          </w:tcPr>
          <w:p w14:paraId="7999DEAB" w14:textId="27CEE5F3" w:rsidR="00963DD7" w:rsidRPr="00521A11" w:rsidRDefault="00963DD7">
            <w:pPr>
              <w:pStyle w:val="BlockText"/>
              <w:numPr>
                <w:ilvl w:val="12"/>
                <w:numId w:val="0"/>
              </w:numPr>
            </w:pPr>
            <w:r w:rsidRPr="00521A11">
              <w:t xml:space="preserve">Every </w:t>
            </w:r>
            <w:r w:rsidR="000E03E4" w:rsidRPr="00521A11">
              <w:t xml:space="preserve">final </w:t>
            </w:r>
            <w:r w:rsidR="005C56E6" w:rsidRPr="00521A11">
              <w:t>decision notice</w:t>
            </w:r>
            <w:r w:rsidRPr="00521A11">
              <w:t>, like a contemporaneous notice, must include the following elements</w:t>
            </w:r>
            <w:r w:rsidR="001E6797" w:rsidRPr="00521A11">
              <w:t>:</w:t>
            </w:r>
          </w:p>
          <w:p w14:paraId="7999DEAC" w14:textId="77777777" w:rsidR="00963DD7" w:rsidRPr="00521A11" w:rsidRDefault="00963DD7">
            <w:pPr>
              <w:pStyle w:val="BlockText"/>
              <w:numPr>
                <w:ilvl w:val="12"/>
                <w:numId w:val="0"/>
              </w:numPr>
            </w:pPr>
          </w:p>
          <w:p w14:paraId="7999DEAD" w14:textId="77777777" w:rsidR="00963DD7" w:rsidRPr="00521A11" w:rsidRDefault="00963DD7" w:rsidP="00A74092">
            <w:pPr>
              <w:pStyle w:val="ListParagraph"/>
              <w:numPr>
                <w:ilvl w:val="0"/>
                <w:numId w:val="9"/>
              </w:numPr>
              <w:ind w:left="158" w:hanging="187"/>
            </w:pPr>
            <w:r w:rsidRPr="00521A11">
              <w:t>statement of decision (including new rate(s), if applicable)</w:t>
            </w:r>
          </w:p>
          <w:p w14:paraId="7999DEAE" w14:textId="77777777" w:rsidR="00963DD7" w:rsidRPr="00521A11" w:rsidRDefault="00963DD7" w:rsidP="00A74092">
            <w:pPr>
              <w:pStyle w:val="ListParagraph"/>
              <w:numPr>
                <w:ilvl w:val="0"/>
                <w:numId w:val="9"/>
              </w:numPr>
              <w:ind w:left="158" w:hanging="187"/>
            </w:pPr>
            <w:r w:rsidRPr="00521A11">
              <w:t>statement of applicable effective date(s)</w:t>
            </w:r>
          </w:p>
          <w:p w14:paraId="7999DEAF" w14:textId="7EAB57CB" w:rsidR="00963DD7" w:rsidRPr="00521A11" w:rsidRDefault="00963DD7" w:rsidP="00A74092">
            <w:pPr>
              <w:pStyle w:val="ListParagraph"/>
              <w:numPr>
                <w:ilvl w:val="0"/>
                <w:numId w:val="9"/>
              </w:numPr>
              <w:ind w:left="158" w:hanging="187"/>
            </w:pPr>
            <w:r w:rsidRPr="00521A11">
              <w:t>reasons for decision</w:t>
            </w:r>
          </w:p>
          <w:p w14:paraId="7999DEB0" w14:textId="77777777" w:rsidR="00963DD7" w:rsidRPr="00521A11" w:rsidRDefault="00963DD7" w:rsidP="00A74092">
            <w:pPr>
              <w:pStyle w:val="ListParagraph"/>
              <w:numPr>
                <w:ilvl w:val="0"/>
                <w:numId w:val="9"/>
              </w:numPr>
              <w:ind w:left="158" w:hanging="187"/>
            </w:pPr>
            <w:r w:rsidRPr="00521A11">
              <w:t>overpayment information, and</w:t>
            </w:r>
          </w:p>
          <w:p w14:paraId="40E6D317" w14:textId="4F64C462" w:rsidR="00B93AC2" w:rsidRPr="00521A11" w:rsidRDefault="00963DD7" w:rsidP="00A74092">
            <w:pPr>
              <w:pStyle w:val="ListParagraph"/>
              <w:numPr>
                <w:ilvl w:val="0"/>
                <w:numId w:val="9"/>
              </w:numPr>
              <w:ind w:left="158" w:hanging="187"/>
            </w:pPr>
            <w:r w:rsidRPr="00521A11">
              <w:t xml:space="preserve">appeal rights. </w:t>
            </w:r>
          </w:p>
          <w:p w14:paraId="29168225" w14:textId="77777777" w:rsidR="00B93AC2" w:rsidRPr="00521A11" w:rsidRDefault="00B93AC2" w:rsidP="00F85AA2">
            <w:pPr>
              <w:pStyle w:val="BlockText"/>
            </w:pPr>
          </w:p>
          <w:p w14:paraId="002AB679" w14:textId="676F1491" w:rsidR="005F5524" w:rsidRPr="00521A11" w:rsidRDefault="005F5524" w:rsidP="00F85AA2">
            <w:pPr>
              <w:pStyle w:val="BlockText"/>
            </w:pPr>
            <w:r w:rsidRPr="00521A11">
              <w:rPr>
                <w:b/>
                <w:i/>
              </w:rPr>
              <w:t>Note</w:t>
            </w:r>
            <w:r w:rsidRPr="00521A11">
              <w:t>:  There is no need to re-summarize in the final decision notice any evidence referenced in the advance notice.</w:t>
            </w:r>
          </w:p>
          <w:p w14:paraId="34E30B3C" w14:textId="77777777" w:rsidR="005F5524" w:rsidRPr="00521A11" w:rsidRDefault="005F5524" w:rsidP="00F85AA2">
            <w:pPr>
              <w:pStyle w:val="BlockText"/>
            </w:pPr>
          </w:p>
          <w:p w14:paraId="0927417C" w14:textId="3865BC0C" w:rsidR="00B93AC2" w:rsidRPr="00521A11" w:rsidRDefault="005F5524" w:rsidP="005F5524">
            <w:pPr>
              <w:pStyle w:val="BlockText"/>
            </w:pPr>
            <w:r w:rsidRPr="00521A11">
              <w:rPr>
                <w:b/>
                <w:i/>
              </w:rPr>
              <w:t>Reference</w:t>
            </w:r>
            <w:r w:rsidR="00052417" w:rsidRPr="00521A11">
              <w:rPr>
                <w:b/>
                <w:i/>
              </w:rPr>
              <w:t>s</w:t>
            </w:r>
            <w:r w:rsidRPr="00521A11">
              <w:t xml:space="preserve">:  For more information on </w:t>
            </w:r>
          </w:p>
          <w:p w14:paraId="77178262" w14:textId="77777777" w:rsidR="00B93AC2" w:rsidRPr="00521A11" w:rsidRDefault="005F5524" w:rsidP="00A74092">
            <w:pPr>
              <w:pStyle w:val="ListParagraph"/>
              <w:numPr>
                <w:ilvl w:val="0"/>
                <w:numId w:val="10"/>
              </w:numPr>
              <w:ind w:left="158" w:hanging="187"/>
            </w:pPr>
            <w:r w:rsidRPr="00521A11">
              <w:t>when to provide a summary of evidence in a decision notice, see M21-1, Part III, Subpart v, 2.B.1.e</w:t>
            </w:r>
            <w:r w:rsidR="00B93AC2" w:rsidRPr="00521A11">
              <w:t xml:space="preserve">, and </w:t>
            </w:r>
          </w:p>
          <w:p w14:paraId="7999DEB3" w14:textId="283803F0" w:rsidR="005F5524" w:rsidRPr="00521A11" w:rsidRDefault="00B93AC2" w:rsidP="00A74092">
            <w:pPr>
              <w:pStyle w:val="ListParagraph"/>
              <w:numPr>
                <w:ilvl w:val="0"/>
                <w:numId w:val="11"/>
              </w:numPr>
              <w:ind w:left="158" w:hanging="187"/>
            </w:pPr>
            <w:r w:rsidRPr="00521A11">
              <w:t>notification requirements, see M21-1, Part III, Subpart v, 2.B.1.</w:t>
            </w:r>
          </w:p>
        </w:tc>
      </w:tr>
    </w:tbl>
    <w:p w14:paraId="7999DEB5" w14:textId="5BF1DF04" w:rsidR="00963DD7" w:rsidRPr="00521A11" w:rsidRDefault="001B3CE9">
      <w:pPr>
        <w:pStyle w:val="BlockLine"/>
      </w:pPr>
      <w:r w:rsidRPr="00521A11">
        <w:fldChar w:fldCharType="begin"/>
      </w:r>
      <w:r w:rsidRPr="00521A11">
        <w:instrText xml:space="preserve"> PRIVATE INFOTYPE="PROCEDURE" </w:instrText>
      </w:r>
      <w:r w:rsidRPr="00521A11">
        <w:fldChar w:fldCharType="end"/>
      </w:r>
      <w:r w:rsidR="00963DD7" w:rsidRPr="00521A11">
        <w:t xml:space="preserve"> </w:t>
      </w:r>
    </w:p>
    <w:tbl>
      <w:tblPr>
        <w:tblW w:w="0" w:type="auto"/>
        <w:tblLayout w:type="fixed"/>
        <w:tblLook w:val="0000" w:firstRow="0" w:lastRow="0" w:firstColumn="0" w:lastColumn="0" w:noHBand="0" w:noVBand="0"/>
      </w:tblPr>
      <w:tblGrid>
        <w:gridCol w:w="1728"/>
        <w:gridCol w:w="7740"/>
      </w:tblGrid>
      <w:tr w:rsidR="00963DD7" w:rsidRPr="00521A11" w14:paraId="7999DEB8" w14:textId="77777777">
        <w:trPr>
          <w:cantSplit/>
        </w:trPr>
        <w:tc>
          <w:tcPr>
            <w:tcW w:w="1728" w:type="dxa"/>
          </w:tcPr>
          <w:p w14:paraId="7999DEB6" w14:textId="395CCE32" w:rsidR="00963DD7" w:rsidRPr="00521A11" w:rsidRDefault="00963DD7" w:rsidP="00514E23">
            <w:pPr>
              <w:pStyle w:val="Heading5"/>
              <w:numPr>
                <w:ilvl w:val="12"/>
                <w:numId w:val="0"/>
              </w:numPr>
            </w:pPr>
            <w:r w:rsidRPr="00521A11">
              <w:t xml:space="preserve">c.  Procedure for Sending </w:t>
            </w:r>
            <w:r w:rsidR="00514E23" w:rsidRPr="00521A11">
              <w:t>a</w:t>
            </w:r>
            <w:r w:rsidRPr="00521A11">
              <w:t xml:space="preserve"> Final </w:t>
            </w:r>
            <w:r w:rsidR="005C56E6" w:rsidRPr="00521A11">
              <w:t>Decision Notice</w:t>
            </w:r>
          </w:p>
        </w:tc>
        <w:tc>
          <w:tcPr>
            <w:tcW w:w="7740" w:type="dxa"/>
          </w:tcPr>
          <w:p w14:paraId="7999DEB7" w14:textId="0A2BF868" w:rsidR="00963DD7" w:rsidRPr="00521A11" w:rsidRDefault="00963DD7" w:rsidP="005C56E6">
            <w:pPr>
              <w:pStyle w:val="BlockText"/>
              <w:numPr>
                <w:ilvl w:val="12"/>
                <w:numId w:val="0"/>
              </w:numPr>
            </w:pPr>
            <w:r w:rsidRPr="00521A11">
              <w:t xml:space="preserve">Follow the steps in the table below to send the </w:t>
            </w:r>
            <w:r w:rsidR="000E03E4" w:rsidRPr="00521A11">
              <w:t xml:space="preserve">final </w:t>
            </w:r>
            <w:r w:rsidR="005C56E6" w:rsidRPr="00521A11">
              <w:t xml:space="preserve">decision </w:t>
            </w:r>
            <w:r w:rsidRPr="00521A11">
              <w:t>notice.</w:t>
            </w:r>
          </w:p>
        </w:tc>
      </w:tr>
    </w:tbl>
    <w:p w14:paraId="7999DEB9" w14:textId="77777777" w:rsidR="00963DD7" w:rsidRPr="00521A11" w:rsidRDefault="00963DD7">
      <w:pPr>
        <w:numPr>
          <w:ilvl w:val="12"/>
          <w:numId w:val="0"/>
        </w:numPr>
      </w:pPr>
    </w:p>
    <w:tbl>
      <w:tblPr>
        <w:tblW w:w="0" w:type="auto"/>
        <w:tblInd w:w="1829" w:type="dxa"/>
        <w:tblLayout w:type="fixed"/>
        <w:tblLook w:val="0000" w:firstRow="0" w:lastRow="0" w:firstColumn="0" w:lastColumn="0" w:noHBand="0" w:noVBand="0"/>
      </w:tblPr>
      <w:tblGrid>
        <w:gridCol w:w="878"/>
        <w:gridCol w:w="6670"/>
      </w:tblGrid>
      <w:tr w:rsidR="00963DD7" w:rsidRPr="00521A11" w14:paraId="7999DEBC" w14:textId="77777777" w:rsidTr="008C0A1B">
        <w:tc>
          <w:tcPr>
            <w:tcW w:w="878" w:type="dxa"/>
            <w:tcBorders>
              <w:top w:val="single" w:sz="6" w:space="0" w:color="auto"/>
              <w:left w:val="single" w:sz="6" w:space="0" w:color="auto"/>
              <w:bottom w:val="single" w:sz="6" w:space="0" w:color="auto"/>
              <w:right w:val="single" w:sz="6" w:space="0" w:color="auto"/>
            </w:tcBorders>
          </w:tcPr>
          <w:p w14:paraId="7999DEBA" w14:textId="77777777" w:rsidR="00963DD7" w:rsidRPr="00521A11" w:rsidRDefault="00963DD7">
            <w:pPr>
              <w:pStyle w:val="TableHeaderText"/>
              <w:numPr>
                <w:ilvl w:val="12"/>
                <w:numId w:val="0"/>
              </w:numPr>
            </w:pPr>
            <w:r w:rsidRPr="00521A11">
              <w:t>Step</w:t>
            </w:r>
          </w:p>
        </w:tc>
        <w:tc>
          <w:tcPr>
            <w:tcW w:w="6670" w:type="dxa"/>
            <w:tcBorders>
              <w:top w:val="single" w:sz="6" w:space="0" w:color="auto"/>
              <w:bottom w:val="single" w:sz="6" w:space="0" w:color="auto"/>
              <w:right w:val="single" w:sz="6" w:space="0" w:color="auto"/>
            </w:tcBorders>
          </w:tcPr>
          <w:p w14:paraId="7999DEBB" w14:textId="77777777" w:rsidR="00963DD7" w:rsidRPr="00521A11" w:rsidRDefault="00963DD7">
            <w:pPr>
              <w:pStyle w:val="TableHeaderText"/>
              <w:numPr>
                <w:ilvl w:val="12"/>
                <w:numId w:val="0"/>
              </w:numPr>
            </w:pPr>
            <w:r w:rsidRPr="00521A11">
              <w:t>Action</w:t>
            </w:r>
          </w:p>
        </w:tc>
      </w:tr>
      <w:tr w:rsidR="00963DD7" w:rsidRPr="00521A11" w14:paraId="7999DEC1" w14:textId="77777777" w:rsidTr="008C0A1B">
        <w:tc>
          <w:tcPr>
            <w:tcW w:w="878" w:type="dxa"/>
            <w:tcBorders>
              <w:top w:val="single" w:sz="6" w:space="0" w:color="auto"/>
              <w:left w:val="single" w:sz="6" w:space="0" w:color="auto"/>
              <w:bottom w:val="single" w:sz="6" w:space="0" w:color="auto"/>
              <w:right w:val="single" w:sz="6" w:space="0" w:color="auto"/>
            </w:tcBorders>
          </w:tcPr>
          <w:p w14:paraId="7999DEBD" w14:textId="77777777" w:rsidR="00963DD7" w:rsidRPr="00521A11" w:rsidRDefault="00963DD7">
            <w:pPr>
              <w:pStyle w:val="TableText"/>
              <w:numPr>
                <w:ilvl w:val="12"/>
                <w:numId w:val="0"/>
              </w:numPr>
              <w:jc w:val="center"/>
            </w:pPr>
            <w:r w:rsidRPr="00521A11">
              <w:t>1</w:t>
            </w:r>
          </w:p>
        </w:tc>
        <w:tc>
          <w:tcPr>
            <w:tcW w:w="6670" w:type="dxa"/>
            <w:tcBorders>
              <w:top w:val="single" w:sz="6" w:space="0" w:color="auto"/>
              <w:bottom w:val="single" w:sz="6" w:space="0" w:color="auto"/>
              <w:right w:val="single" w:sz="6" w:space="0" w:color="auto"/>
            </w:tcBorders>
          </w:tcPr>
          <w:p w14:paraId="6AE77475" w14:textId="3C2823C6" w:rsidR="00691934" w:rsidRPr="00521A11" w:rsidRDefault="00691934" w:rsidP="00691934">
            <w:pPr>
              <w:pStyle w:val="BlockText"/>
            </w:pPr>
            <w:r w:rsidRPr="00521A11">
              <w:t xml:space="preserve">Compose the final decision notice with all of the required elements and language. </w:t>
            </w:r>
          </w:p>
          <w:p w14:paraId="4C6B9960" w14:textId="77777777" w:rsidR="00691934" w:rsidRPr="00521A11" w:rsidRDefault="00691934" w:rsidP="00691934">
            <w:pPr>
              <w:pStyle w:val="BlockText"/>
            </w:pPr>
          </w:p>
          <w:p w14:paraId="557536A9" w14:textId="77777777" w:rsidR="00691934" w:rsidRPr="00521A11" w:rsidRDefault="00691934" w:rsidP="00691934">
            <w:pPr>
              <w:pStyle w:val="BlockText"/>
            </w:pPr>
            <w:r w:rsidRPr="00521A11">
              <w:rPr>
                <w:b/>
                <w:i/>
              </w:rPr>
              <w:t>References</w:t>
            </w:r>
            <w:r w:rsidRPr="00521A11">
              <w:t xml:space="preserve">:  For more information on </w:t>
            </w:r>
          </w:p>
          <w:p w14:paraId="69D4D51B" w14:textId="6AF147DC" w:rsidR="0083209D" w:rsidRPr="00521A11" w:rsidRDefault="00691934" w:rsidP="00A74092">
            <w:pPr>
              <w:pStyle w:val="ListParagraph"/>
              <w:numPr>
                <w:ilvl w:val="0"/>
                <w:numId w:val="18"/>
              </w:numPr>
              <w:ind w:left="158" w:hanging="187"/>
            </w:pPr>
            <w:r w:rsidRPr="00521A11">
              <w:t xml:space="preserve">the required elements of the final </w:t>
            </w:r>
            <w:r w:rsidR="0083209D" w:rsidRPr="00521A11">
              <w:t xml:space="preserve">decision </w:t>
            </w:r>
            <w:r w:rsidRPr="00521A11">
              <w:t>notice, see M21-1, Part I, 2.C.4.b</w:t>
            </w:r>
            <w:r w:rsidR="0083209D" w:rsidRPr="00521A11">
              <w:t>, and</w:t>
            </w:r>
          </w:p>
          <w:p w14:paraId="7999DEC0" w14:textId="267C550C" w:rsidR="00957849" w:rsidRPr="00521A11" w:rsidRDefault="0083209D" w:rsidP="00A74092">
            <w:pPr>
              <w:pStyle w:val="ListParagraph"/>
              <w:numPr>
                <w:ilvl w:val="0"/>
                <w:numId w:val="18"/>
              </w:numPr>
              <w:ind w:left="158" w:hanging="187"/>
            </w:pPr>
            <w:r w:rsidRPr="00521A11">
              <w:t>decision notices, see M21-1, Part III, Subpart v, 2.B</w:t>
            </w:r>
            <w:r w:rsidR="00691934" w:rsidRPr="00521A11">
              <w:t>.</w:t>
            </w:r>
          </w:p>
        </w:tc>
      </w:tr>
      <w:tr w:rsidR="00963DD7" w:rsidRPr="00521A11" w14:paraId="7999DED8" w14:textId="77777777" w:rsidTr="008C0A1B">
        <w:tc>
          <w:tcPr>
            <w:tcW w:w="878" w:type="dxa"/>
            <w:tcBorders>
              <w:top w:val="single" w:sz="6" w:space="0" w:color="auto"/>
              <w:left w:val="single" w:sz="6" w:space="0" w:color="auto"/>
              <w:bottom w:val="single" w:sz="6" w:space="0" w:color="auto"/>
              <w:right w:val="single" w:sz="6" w:space="0" w:color="auto"/>
            </w:tcBorders>
          </w:tcPr>
          <w:p w14:paraId="7999DECF" w14:textId="455EA71A" w:rsidR="00963DD7" w:rsidRPr="00521A11" w:rsidRDefault="007A649E">
            <w:pPr>
              <w:pStyle w:val="TableText"/>
              <w:numPr>
                <w:ilvl w:val="12"/>
                <w:numId w:val="0"/>
              </w:numPr>
              <w:jc w:val="center"/>
            </w:pPr>
            <w:r w:rsidRPr="00521A11">
              <w:lastRenderedPageBreak/>
              <w:t>2</w:t>
            </w:r>
          </w:p>
        </w:tc>
        <w:tc>
          <w:tcPr>
            <w:tcW w:w="6670" w:type="dxa"/>
            <w:tcBorders>
              <w:top w:val="single" w:sz="6" w:space="0" w:color="auto"/>
              <w:bottom w:val="single" w:sz="6" w:space="0" w:color="auto"/>
              <w:right w:val="single" w:sz="6" w:space="0" w:color="auto"/>
            </w:tcBorders>
          </w:tcPr>
          <w:p w14:paraId="7999DED0" w14:textId="77777777" w:rsidR="00963DD7" w:rsidRPr="00521A11" w:rsidRDefault="00963DD7">
            <w:pPr>
              <w:pStyle w:val="TableText"/>
              <w:numPr>
                <w:ilvl w:val="12"/>
                <w:numId w:val="0"/>
              </w:numPr>
            </w:pPr>
            <w:r w:rsidRPr="00521A11">
              <w:t xml:space="preserve">Determine </w:t>
            </w:r>
          </w:p>
          <w:p w14:paraId="7999DED1" w14:textId="77777777" w:rsidR="00963DD7" w:rsidRPr="00521A11" w:rsidRDefault="00963DD7">
            <w:pPr>
              <w:pStyle w:val="TableText"/>
              <w:numPr>
                <w:ilvl w:val="12"/>
                <w:numId w:val="0"/>
              </w:numPr>
            </w:pPr>
          </w:p>
          <w:p w14:paraId="7999DED2" w14:textId="77777777" w:rsidR="00963DD7" w:rsidRPr="00521A11" w:rsidRDefault="00963DD7">
            <w:pPr>
              <w:pStyle w:val="BulletText1"/>
            </w:pPr>
            <w:r w:rsidRPr="00521A11">
              <w:t xml:space="preserve">who will receive a notice, and </w:t>
            </w:r>
          </w:p>
          <w:p w14:paraId="7999DED3" w14:textId="77777777" w:rsidR="00963DD7" w:rsidRPr="00521A11" w:rsidRDefault="00963DD7">
            <w:pPr>
              <w:pStyle w:val="BulletText1"/>
              <w:rPr>
                <w:b/>
                <w:i/>
              </w:rPr>
            </w:pPr>
            <w:r w:rsidRPr="00521A11">
              <w:t>the appropriate address to send the notice.</w:t>
            </w:r>
            <w:r w:rsidRPr="00521A11">
              <w:rPr>
                <w:b/>
                <w:i/>
              </w:rPr>
              <w:t xml:space="preserve"> </w:t>
            </w:r>
          </w:p>
          <w:p w14:paraId="7999DED4" w14:textId="77777777" w:rsidR="00963DD7" w:rsidRPr="00521A11" w:rsidRDefault="00963DD7">
            <w:pPr>
              <w:pStyle w:val="TableText"/>
              <w:numPr>
                <w:ilvl w:val="12"/>
                <w:numId w:val="0"/>
              </w:numPr>
            </w:pPr>
          </w:p>
          <w:p w14:paraId="7999DED5" w14:textId="77777777" w:rsidR="00963DD7" w:rsidRPr="00521A11" w:rsidRDefault="00963DD7">
            <w:pPr>
              <w:pStyle w:val="TableText"/>
              <w:numPr>
                <w:ilvl w:val="12"/>
                <w:numId w:val="0"/>
              </w:numPr>
            </w:pPr>
            <w:r w:rsidRPr="00521A11">
              <w:rPr>
                <w:b/>
                <w:i/>
              </w:rPr>
              <w:t>References</w:t>
            </w:r>
            <w:r w:rsidRPr="00521A11">
              <w:rPr>
                <w:bCs/>
                <w:iCs/>
              </w:rPr>
              <w:t>:</w:t>
            </w:r>
            <w:r w:rsidRPr="00521A11">
              <w:t xml:space="preserve">  For more information on determining </w:t>
            </w:r>
          </w:p>
          <w:p w14:paraId="7999DED6" w14:textId="5E540553" w:rsidR="00963DD7" w:rsidRPr="00521A11" w:rsidRDefault="00963DD7">
            <w:pPr>
              <w:pStyle w:val="BulletText1"/>
            </w:pPr>
            <w:r w:rsidRPr="00521A11">
              <w:t>who receives a notice, see M21-1, Part I, 2.A.1.c., and</w:t>
            </w:r>
          </w:p>
          <w:p w14:paraId="7999DED7" w14:textId="5B3D64BD" w:rsidR="00963DD7" w:rsidRPr="00521A11" w:rsidRDefault="00963DD7" w:rsidP="00BA7C46">
            <w:pPr>
              <w:pStyle w:val="BulletText1"/>
            </w:pPr>
            <w:r w:rsidRPr="00521A11">
              <w:t xml:space="preserve">the appropriate address to send the notice, see </w:t>
            </w:r>
            <w:hyperlink r:id="rId25" w:history="1">
              <w:r w:rsidRPr="00521A11">
                <w:t>M21-1, Part I, 2.B.</w:t>
              </w:r>
              <w:r w:rsidR="00BA7C46" w:rsidRPr="00521A11">
                <w:t>3</w:t>
              </w:r>
              <w:r w:rsidRPr="00521A11">
                <w:t>.b</w:t>
              </w:r>
            </w:hyperlink>
            <w:r w:rsidRPr="00521A11">
              <w:t>.</w:t>
            </w:r>
          </w:p>
        </w:tc>
      </w:tr>
      <w:tr w:rsidR="00963DD7" w:rsidRPr="00521A11" w14:paraId="7999DEDE" w14:textId="77777777" w:rsidTr="008C0A1B">
        <w:tc>
          <w:tcPr>
            <w:tcW w:w="878" w:type="dxa"/>
            <w:tcBorders>
              <w:top w:val="single" w:sz="6" w:space="0" w:color="auto"/>
              <w:left w:val="single" w:sz="6" w:space="0" w:color="auto"/>
              <w:bottom w:val="single" w:sz="6" w:space="0" w:color="auto"/>
              <w:right w:val="single" w:sz="6" w:space="0" w:color="auto"/>
            </w:tcBorders>
          </w:tcPr>
          <w:p w14:paraId="7999DEDC" w14:textId="5D4E8DC3" w:rsidR="00963DD7" w:rsidRPr="00521A11" w:rsidRDefault="007A649E">
            <w:pPr>
              <w:pStyle w:val="TableText"/>
              <w:jc w:val="center"/>
            </w:pPr>
            <w:r w:rsidRPr="00521A11">
              <w:t>3</w:t>
            </w:r>
          </w:p>
        </w:tc>
        <w:tc>
          <w:tcPr>
            <w:tcW w:w="6670" w:type="dxa"/>
            <w:tcBorders>
              <w:top w:val="single" w:sz="6" w:space="0" w:color="auto"/>
              <w:bottom w:val="single" w:sz="6" w:space="0" w:color="auto"/>
              <w:right w:val="single" w:sz="6" w:space="0" w:color="auto"/>
            </w:tcBorders>
          </w:tcPr>
          <w:p w14:paraId="7999DEDD" w14:textId="6CBE7015" w:rsidR="007A649E" w:rsidRPr="00521A11" w:rsidRDefault="00963DD7" w:rsidP="00514E23">
            <w:pPr>
              <w:pStyle w:val="TableText"/>
            </w:pPr>
            <w:r w:rsidRPr="00521A11">
              <w:t xml:space="preserve">Send </w:t>
            </w:r>
            <w:r w:rsidR="007A649E" w:rsidRPr="00521A11">
              <w:t>the final decision notice</w:t>
            </w:r>
            <w:r w:rsidR="00B52C9C" w:rsidRPr="00521A11">
              <w:t xml:space="preserve"> to the beneficiary and representative</w:t>
            </w:r>
            <w:r w:rsidR="00514E23" w:rsidRPr="00521A11">
              <w:t>, if any</w:t>
            </w:r>
            <w:r w:rsidR="00BA7C46" w:rsidRPr="00521A11">
              <w:t>.</w:t>
            </w:r>
          </w:p>
        </w:tc>
      </w:tr>
      <w:tr w:rsidR="00963DD7" w:rsidRPr="009F1E88" w14:paraId="7999DEE1" w14:textId="77777777" w:rsidTr="008C0A1B">
        <w:tc>
          <w:tcPr>
            <w:tcW w:w="878" w:type="dxa"/>
            <w:tcBorders>
              <w:top w:val="single" w:sz="6" w:space="0" w:color="auto"/>
              <w:left w:val="single" w:sz="6" w:space="0" w:color="auto"/>
              <w:bottom w:val="single" w:sz="6" w:space="0" w:color="auto"/>
              <w:right w:val="single" w:sz="6" w:space="0" w:color="auto"/>
            </w:tcBorders>
          </w:tcPr>
          <w:p w14:paraId="7999DEDF" w14:textId="60DEC74B" w:rsidR="00963DD7" w:rsidRPr="00521A11" w:rsidRDefault="007A649E">
            <w:pPr>
              <w:pStyle w:val="TableText"/>
              <w:jc w:val="center"/>
            </w:pPr>
            <w:r w:rsidRPr="00521A11">
              <w:t>4</w:t>
            </w:r>
          </w:p>
        </w:tc>
        <w:tc>
          <w:tcPr>
            <w:tcW w:w="6670" w:type="dxa"/>
            <w:tcBorders>
              <w:top w:val="single" w:sz="6" w:space="0" w:color="auto"/>
              <w:bottom w:val="single" w:sz="6" w:space="0" w:color="auto"/>
              <w:right w:val="single" w:sz="6" w:space="0" w:color="auto"/>
            </w:tcBorders>
          </w:tcPr>
          <w:p w14:paraId="7999DEE0" w14:textId="130697C0" w:rsidR="00963DD7" w:rsidRPr="009F1E88" w:rsidRDefault="00963DD7" w:rsidP="00927541">
            <w:pPr>
              <w:pStyle w:val="TableText"/>
            </w:pPr>
            <w:r w:rsidRPr="00521A11">
              <w:t>Place a copy of the notice in the</w:t>
            </w:r>
            <w:r w:rsidR="00514E23" w:rsidRPr="00521A11">
              <w:t xml:space="preserve"> </w:t>
            </w:r>
            <w:r w:rsidRPr="00521A11">
              <w:t>claims folder.</w:t>
            </w:r>
          </w:p>
        </w:tc>
      </w:tr>
    </w:tbl>
    <w:p w14:paraId="7999DEE2" w14:textId="489C9E9F" w:rsidR="00963DD7" w:rsidRDefault="00E250E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bookmarkStart w:id="8" w:name="_GoBack"/>
      <w:bookmarkEnd w:id="8"/>
    </w:p>
    <w:sectPr w:rsidR="00963DD7" w:rsidSect="00720FF9">
      <w:headerReference w:type="even" r:id="rId26"/>
      <w:headerReference w:type="default" r:id="rId27"/>
      <w:footerReference w:type="even" r:id="rId28"/>
      <w:footerReference w:type="default" r:id="rId29"/>
      <w:pgSz w:w="12240" w:h="15840" w:code="1"/>
      <w:pgMar w:top="1008" w:right="1440" w:bottom="1008" w:left="1440" w:header="720" w:footer="720" w:gutter="0"/>
      <w:cols w:space="720"/>
      <w:docGrid w:linePitch="326"/>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122D40" w14:textId="77777777" w:rsidR="0069438E" w:rsidRDefault="0069438E" w:rsidP="00963DD7">
      <w:r>
        <w:separator/>
      </w:r>
    </w:p>
  </w:endnote>
  <w:endnote w:type="continuationSeparator" w:id="0">
    <w:p w14:paraId="0359D5A0" w14:textId="77777777" w:rsidR="0069438E" w:rsidRDefault="0069438E" w:rsidP="0096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9DEE9" w14:textId="580A38AE" w:rsidR="0069438E" w:rsidRDefault="0069438E">
    <w:pPr>
      <w:pStyle w:val="Footer"/>
      <w:tabs>
        <w:tab w:val="right" w:pos="9274"/>
      </w:tabs>
      <w:rPr>
        <w:b/>
        <w:sz w:val="20"/>
      </w:rPr>
    </w:pP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9DEEA" w14:textId="14BCAD96" w:rsidR="0069438E" w:rsidRDefault="0069438E">
    <w:pPr>
      <w:pStyle w:val="Footer"/>
      <w:tabs>
        <w:tab w:val="left" w:pos="0"/>
        <w:tab w:val="right" w:pos="9274"/>
      </w:tabs>
      <w:ind w:right="90"/>
      <w:rPr>
        <w:b/>
        <w:sz w:val="20"/>
      </w:rPr>
    </w:pPr>
    <w:r>
      <w:rPr>
        <w:b/>
        <w:sz w:val="20"/>
      </w:rPr>
      <w:tab/>
    </w:r>
    <w:r>
      <w:rPr>
        <w:b/>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C8678" w14:textId="77777777" w:rsidR="0069438E" w:rsidRDefault="0069438E" w:rsidP="00963DD7">
      <w:r>
        <w:separator/>
      </w:r>
    </w:p>
  </w:footnote>
  <w:footnote w:type="continuationSeparator" w:id="0">
    <w:p w14:paraId="59E499FF" w14:textId="77777777" w:rsidR="0069438E" w:rsidRDefault="0069438E" w:rsidP="00963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9DEE7" w14:textId="0B4C6487" w:rsidR="0069438E" w:rsidRDefault="0069438E" w:rsidP="008C6B25">
    <w:pPr>
      <w:pStyle w:val="Header"/>
      <w:jc w:val="right"/>
      <w:rPr>
        <w:b/>
        <w:sz w:val="20"/>
      </w:rPr>
    </w:pPr>
    <w:r>
      <w:rPr>
        <w:b/>
        <w:sz w:val="20"/>
      </w:rPr>
      <w:t>M21-1, Part I, Chapter 2, Section 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9DEE8" w14:textId="77777777" w:rsidR="0069438E" w:rsidRDefault="0069438E">
    <w:pPr>
      <w:pStyle w:val="Header"/>
      <w:rPr>
        <w:b/>
        <w:sz w:val="20"/>
      </w:rPr>
    </w:pPr>
    <w:r>
      <w:rPr>
        <w:b/>
        <w:sz w:val="20"/>
      </w:rPr>
      <w:tab/>
    </w:r>
    <w:r>
      <w:rPr>
        <w:b/>
        <w:sz w:val="20"/>
      </w:rPr>
      <w:tab/>
      <w:t>M21-1, Part I, Chapter 2, Section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77562"/>
    <w:multiLevelType w:val="hybridMultilevel"/>
    <w:tmpl w:val="12664256"/>
    <w:lvl w:ilvl="0" w:tplc="954896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C07851"/>
    <w:multiLevelType w:val="hybridMultilevel"/>
    <w:tmpl w:val="0B064DBC"/>
    <w:lvl w:ilvl="0" w:tplc="858E09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81F33"/>
    <w:multiLevelType w:val="hybridMultilevel"/>
    <w:tmpl w:val="1D56C37E"/>
    <w:lvl w:ilvl="0" w:tplc="CA4082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461C6"/>
    <w:multiLevelType w:val="hybridMultilevel"/>
    <w:tmpl w:val="6076FD5E"/>
    <w:lvl w:ilvl="0" w:tplc="C7766C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C55569"/>
    <w:multiLevelType w:val="hybridMultilevel"/>
    <w:tmpl w:val="AB9E75B4"/>
    <w:lvl w:ilvl="0" w:tplc="2EBAFE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9B4659"/>
    <w:multiLevelType w:val="hybridMultilevel"/>
    <w:tmpl w:val="1F8493D2"/>
    <w:lvl w:ilvl="0" w:tplc="77ECF3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C7854"/>
    <w:multiLevelType w:val="hybridMultilevel"/>
    <w:tmpl w:val="FBB603A4"/>
    <w:lvl w:ilvl="0" w:tplc="5AB2D61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F6075C"/>
    <w:multiLevelType w:val="hybridMultilevel"/>
    <w:tmpl w:val="165E5C6E"/>
    <w:lvl w:ilvl="0" w:tplc="4B4ABB2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D6580"/>
    <w:multiLevelType w:val="hybridMultilevel"/>
    <w:tmpl w:val="5900B0C6"/>
    <w:lvl w:ilvl="0" w:tplc="88021FC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002A1F"/>
    <w:multiLevelType w:val="hybridMultilevel"/>
    <w:tmpl w:val="593CA79C"/>
    <w:lvl w:ilvl="0" w:tplc="D302A2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8F04F9"/>
    <w:multiLevelType w:val="hybridMultilevel"/>
    <w:tmpl w:val="019AE4EC"/>
    <w:lvl w:ilvl="0" w:tplc="C7766C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3C2B0F"/>
    <w:multiLevelType w:val="hybridMultilevel"/>
    <w:tmpl w:val="55841A80"/>
    <w:lvl w:ilvl="0" w:tplc="162288E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8725F1"/>
    <w:multiLevelType w:val="hybridMultilevel"/>
    <w:tmpl w:val="76309646"/>
    <w:lvl w:ilvl="0" w:tplc="954896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983717"/>
    <w:multiLevelType w:val="hybridMultilevel"/>
    <w:tmpl w:val="72661E70"/>
    <w:lvl w:ilvl="0" w:tplc="2EBAFE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780ECE"/>
    <w:multiLevelType w:val="hybridMultilevel"/>
    <w:tmpl w:val="52C011F0"/>
    <w:lvl w:ilvl="0" w:tplc="C7766C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8432F"/>
    <w:multiLevelType w:val="hybridMultilevel"/>
    <w:tmpl w:val="308E3D32"/>
    <w:lvl w:ilvl="0" w:tplc="954896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675FD9"/>
    <w:multiLevelType w:val="hybridMultilevel"/>
    <w:tmpl w:val="901AA926"/>
    <w:lvl w:ilvl="0" w:tplc="954896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3237DE"/>
    <w:multiLevelType w:val="hybridMultilevel"/>
    <w:tmpl w:val="EB94420A"/>
    <w:lvl w:ilvl="0" w:tplc="F5B839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390906"/>
    <w:multiLevelType w:val="hybridMultilevel"/>
    <w:tmpl w:val="A610303A"/>
    <w:lvl w:ilvl="0" w:tplc="2298A4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CB5BF9"/>
    <w:multiLevelType w:val="hybridMultilevel"/>
    <w:tmpl w:val="5D4A7752"/>
    <w:lvl w:ilvl="0" w:tplc="954896F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E7B541A"/>
    <w:multiLevelType w:val="hybridMultilevel"/>
    <w:tmpl w:val="80AA9B96"/>
    <w:lvl w:ilvl="0" w:tplc="B5A4E0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A15F69"/>
    <w:multiLevelType w:val="hybridMultilevel"/>
    <w:tmpl w:val="F266E34E"/>
    <w:lvl w:ilvl="0" w:tplc="D5D83C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4624938"/>
    <w:multiLevelType w:val="hybridMultilevel"/>
    <w:tmpl w:val="43408460"/>
    <w:lvl w:ilvl="0" w:tplc="FABC99F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28E1176"/>
    <w:multiLevelType w:val="hybridMultilevel"/>
    <w:tmpl w:val="1018C2BE"/>
    <w:lvl w:ilvl="0" w:tplc="954896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1D3A7F"/>
    <w:multiLevelType w:val="hybridMultilevel"/>
    <w:tmpl w:val="D0A4CA3A"/>
    <w:lvl w:ilvl="0" w:tplc="2298A4C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D47C24"/>
    <w:multiLevelType w:val="hybridMultilevel"/>
    <w:tmpl w:val="946C8488"/>
    <w:lvl w:ilvl="0" w:tplc="BBF2DCF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8818B1"/>
    <w:multiLevelType w:val="hybridMultilevel"/>
    <w:tmpl w:val="D95C1BC2"/>
    <w:lvl w:ilvl="0" w:tplc="D5D83C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7D3E22"/>
    <w:multiLevelType w:val="hybridMultilevel"/>
    <w:tmpl w:val="B3287904"/>
    <w:lvl w:ilvl="0" w:tplc="FB3A7A6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E6246CC"/>
    <w:multiLevelType w:val="hybridMultilevel"/>
    <w:tmpl w:val="6C1AAE66"/>
    <w:lvl w:ilvl="0" w:tplc="CD7EFA4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0"/>
  </w:num>
  <w:num w:numId="4">
    <w:abstractNumId w:val="24"/>
  </w:num>
  <w:num w:numId="5">
    <w:abstractNumId w:val="6"/>
  </w:num>
  <w:num w:numId="6">
    <w:abstractNumId w:val="18"/>
  </w:num>
  <w:num w:numId="7">
    <w:abstractNumId w:val="30"/>
  </w:num>
  <w:num w:numId="8">
    <w:abstractNumId w:val="2"/>
  </w:num>
  <w:num w:numId="9">
    <w:abstractNumId w:val="4"/>
  </w:num>
  <w:num w:numId="10">
    <w:abstractNumId w:val="15"/>
  </w:num>
  <w:num w:numId="11">
    <w:abstractNumId w:val="11"/>
  </w:num>
  <w:num w:numId="12">
    <w:abstractNumId w:val="22"/>
  </w:num>
  <w:num w:numId="13">
    <w:abstractNumId w:val="29"/>
  </w:num>
  <w:num w:numId="14">
    <w:abstractNumId w:val="8"/>
  </w:num>
  <w:num w:numId="15">
    <w:abstractNumId w:val="7"/>
  </w:num>
  <w:num w:numId="16">
    <w:abstractNumId w:val="3"/>
  </w:num>
  <w:num w:numId="17">
    <w:abstractNumId w:val="14"/>
  </w:num>
  <w:num w:numId="18">
    <w:abstractNumId w:val="5"/>
  </w:num>
  <w:num w:numId="19">
    <w:abstractNumId w:val="9"/>
  </w:num>
  <w:num w:numId="20">
    <w:abstractNumId w:val="21"/>
  </w:num>
  <w:num w:numId="21">
    <w:abstractNumId w:val="13"/>
  </w:num>
  <w:num w:numId="22">
    <w:abstractNumId w:val="17"/>
  </w:num>
  <w:num w:numId="23">
    <w:abstractNumId w:val="16"/>
  </w:num>
  <w:num w:numId="24">
    <w:abstractNumId w:val="26"/>
  </w:num>
  <w:num w:numId="25">
    <w:abstractNumId w:val="1"/>
  </w:num>
  <w:num w:numId="26">
    <w:abstractNumId w:val="31"/>
  </w:num>
  <w:num w:numId="27">
    <w:abstractNumId w:val="27"/>
  </w:num>
  <w:num w:numId="28">
    <w:abstractNumId w:val="20"/>
  </w:num>
  <w:num w:numId="29">
    <w:abstractNumId w:val="19"/>
  </w:num>
  <w:num w:numId="30">
    <w:abstractNumId w:val="10"/>
  </w:num>
  <w:num w:numId="31">
    <w:abstractNumId w:val="12"/>
  </w:num>
  <w:num w:numId="32">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imistyles.xml"/>
    <w:docVar w:name="XSLPath" w:val="C:\Program Files\Information Mapping\FS Pro 4.1\StyleSheets\"/>
    <w:docVar w:name="XSLstylesheet" w:val="Basic.xsl"/>
  </w:docVars>
  <w:rsids>
    <w:rsidRoot w:val="00C36796"/>
    <w:rsid w:val="00000141"/>
    <w:rsid w:val="000060CC"/>
    <w:rsid w:val="00007DF9"/>
    <w:rsid w:val="000178D0"/>
    <w:rsid w:val="00022F33"/>
    <w:rsid w:val="00023602"/>
    <w:rsid w:val="00032824"/>
    <w:rsid w:val="00032A1D"/>
    <w:rsid w:val="00035E2A"/>
    <w:rsid w:val="0004050C"/>
    <w:rsid w:val="00041B95"/>
    <w:rsid w:val="000450CB"/>
    <w:rsid w:val="000521A6"/>
    <w:rsid w:val="00052417"/>
    <w:rsid w:val="000547AE"/>
    <w:rsid w:val="00064F43"/>
    <w:rsid w:val="00070ECA"/>
    <w:rsid w:val="0007133A"/>
    <w:rsid w:val="00082B6A"/>
    <w:rsid w:val="00082E20"/>
    <w:rsid w:val="00085C10"/>
    <w:rsid w:val="00087740"/>
    <w:rsid w:val="000A24D8"/>
    <w:rsid w:val="000B7163"/>
    <w:rsid w:val="000C1536"/>
    <w:rsid w:val="000C267C"/>
    <w:rsid w:val="000C289C"/>
    <w:rsid w:val="000D4A21"/>
    <w:rsid w:val="000D626B"/>
    <w:rsid w:val="000E03E4"/>
    <w:rsid w:val="000E4AE9"/>
    <w:rsid w:val="000E6F5A"/>
    <w:rsid w:val="000E732F"/>
    <w:rsid w:val="000F3C09"/>
    <w:rsid w:val="0010117B"/>
    <w:rsid w:val="00112BDF"/>
    <w:rsid w:val="0011783F"/>
    <w:rsid w:val="00127A44"/>
    <w:rsid w:val="0013065A"/>
    <w:rsid w:val="00135C7A"/>
    <w:rsid w:val="00135E9A"/>
    <w:rsid w:val="00141343"/>
    <w:rsid w:val="001470AC"/>
    <w:rsid w:val="001502D2"/>
    <w:rsid w:val="00162C42"/>
    <w:rsid w:val="00162DC8"/>
    <w:rsid w:val="0016785B"/>
    <w:rsid w:val="00170483"/>
    <w:rsid w:val="00173236"/>
    <w:rsid w:val="00173481"/>
    <w:rsid w:val="00173B19"/>
    <w:rsid w:val="00176C41"/>
    <w:rsid w:val="0018100C"/>
    <w:rsid w:val="001922CF"/>
    <w:rsid w:val="001A3D76"/>
    <w:rsid w:val="001B3CE9"/>
    <w:rsid w:val="001C62AB"/>
    <w:rsid w:val="001E02EC"/>
    <w:rsid w:val="001E317B"/>
    <w:rsid w:val="001E6797"/>
    <w:rsid w:val="001E6D27"/>
    <w:rsid w:val="001F3F2C"/>
    <w:rsid w:val="002022D0"/>
    <w:rsid w:val="002029D3"/>
    <w:rsid w:val="0020549B"/>
    <w:rsid w:val="0020700D"/>
    <w:rsid w:val="002241C9"/>
    <w:rsid w:val="00227746"/>
    <w:rsid w:val="00234EA4"/>
    <w:rsid w:val="00250BDE"/>
    <w:rsid w:val="0025360F"/>
    <w:rsid w:val="002658CB"/>
    <w:rsid w:val="00274B07"/>
    <w:rsid w:val="002865A5"/>
    <w:rsid w:val="00296228"/>
    <w:rsid w:val="002A128C"/>
    <w:rsid w:val="002A4449"/>
    <w:rsid w:val="002B0E57"/>
    <w:rsid w:val="002B1B2F"/>
    <w:rsid w:val="002C3093"/>
    <w:rsid w:val="002D1F2A"/>
    <w:rsid w:val="002D47A7"/>
    <w:rsid w:val="002D7CA1"/>
    <w:rsid w:val="002E68D2"/>
    <w:rsid w:val="002F32D0"/>
    <w:rsid w:val="002F7D60"/>
    <w:rsid w:val="00300288"/>
    <w:rsid w:val="003003D4"/>
    <w:rsid w:val="003036D3"/>
    <w:rsid w:val="00307602"/>
    <w:rsid w:val="003209A4"/>
    <w:rsid w:val="003272B6"/>
    <w:rsid w:val="0035080B"/>
    <w:rsid w:val="00356080"/>
    <w:rsid w:val="0035665C"/>
    <w:rsid w:val="00357C97"/>
    <w:rsid w:val="00372822"/>
    <w:rsid w:val="00374939"/>
    <w:rsid w:val="003868D6"/>
    <w:rsid w:val="003A568E"/>
    <w:rsid w:val="003A591B"/>
    <w:rsid w:val="003B11D7"/>
    <w:rsid w:val="003B48B0"/>
    <w:rsid w:val="003C7B9C"/>
    <w:rsid w:val="003D4DFB"/>
    <w:rsid w:val="003E4D9A"/>
    <w:rsid w:val="003F3A0B"/>
    <w:rsid w:val="00400FA7"/>
    <w:rsid w:val="00402280"/>
    <w:rsid w:val="00405CC9"/>
    <w:rsid w:val="0041135F"/>
    <w:rsid w:val="00415F9C"/>
    <w:rsid w:val="0041649E"/>
    <w:rsid w:val="00424308"/>
    <w:rsid w:val="00430FB6"/>
    <w:rsid w:val="00431026"/>
    <w:rsid w:val="00435E91"/>
    <w:rsid w:val="004364F5"/>
    <w:rsid w:val="004377AD"/>
    <w:rsid w:val="0046237B"/>
    <w:rsid w:val="0046294E"/>
    <w:rsid w:val="00475F36"/>
    <w:rsid w:val="00491245"/>
    <w:rsid w:val="00492E20"/>
    <w:rsid w:val="004948E1"/>
    <w:rsid w:val="00497A83"/>
    <w:rsid w:val="004A05BF"/>
    <w:rsid w:val="004A1FE0"/>
    <w:rsid w:val="004A2D5B"/>
    <w:rsid w:val="004B1D4F"/>
    <w:rsid w:val="004B2968"/>
    <w:rsid w:val="004E27CA"/>
    <w:rsid w:val="004E4064"/>
    <w:rsid w:val="004F4169"/>
    <w:rsid w:val="004F438F"/>
    <w:rsid w:val="005115E1"/>
    <w:rsid w:val="00513634"/>
    <w:rsid w:val="00514E23"/>
    <w:rsid w:val="00515B06"/>
    <w:rsid w:val="00521A11"/>
    <w:rsid w:val="00525BF0"/>
    <w:rsid w:val="00526CFC"/>
    <w:rsid w:val="005279C9"/>
    <w:rsid w:val="0053252B"/>
    <w:rsid w:val="00535CA3"/>
    <w:rsid w:val="005406E6"/>
    <w:rsid w:val="00543BC8"/>
    <w:rsid w:val="00557D64"/>
    <w:rsid w:val="00565BF3"/>
    <w:rsid w:val="00571D95"/>
    <w:rsid w:val="00574C64"/>
    <w:rsid w:val="00580115"/>
    <w:rsid w:val="00591630"/>
    <w:rsid w:val="005A5576"/>
    <w:rsid w:val="005A63D3"/>
    <w:rsid w:val="005B154B"/>
    <w:rsid w:val="005B78C1"/>
    <w:rsid w:val="005C17AA"/>
    <w:rsid w:val="005C1F5B"/>
    <w:rsid w:val="005C56E6"/>
    <w:rsid w:val="005C6B9F"/>
    <w:rsid w:val="005C7726"/>
    <w:rsid w:val="005D1C4A"/>
    <w:rsid w:val="005D20F8"/>
    <w:rsid w:val="005D2117"/>
    <w:rsid w:val="005F228D"/>
    <w:rsid w:val="005F5524"/>
    <w:rsid w:val="00601B10"/>
    <w:rsid w:val="0060702E"/>
    <w:rsid w:val="00611134"/>
    <w:rsid w:val="00633E73"/>
    <w:rsid w:val="0063590A"/>
    <w:rsid w:val="00643EF9"/>
    <w:rsid w:val="00644BF3"/>
    <w:rsid w:val="0064557A"/>
    <w:rsid w:val="00664C06"/>
    <w:rsid w:val="00666793"/>
    <w:rsid w:val="00673100"/>
    <w:rsid w:val="00676A3C"/>
    <w:rsid w:val="00677FED"/>
    <w:rsid w:val="00681500"/>
    <w:rsid w:val="00684305"/>
    <w:rsid w:val="006866F4"/>
    <w:rsid w:val="00691934"/>
    <w:rsid w:val="0069438E"/>
    <w:rsid w:val="006A020E"/>
    <w:rsid w:val="006A512A"/>
    <w:rsid w:val="006B18E4"/>
    <w:rsid w:val="006C1AF2"/>
    <w:rsid w:val="006C1BD3"/>
    <w:rsid w:val="006C4C44"/>
    <w:rsid w:val="006D10FA"/>
    <w:rsid w:val="006D354C"/>
    <w:rsid w:val="006F5620"/>
    <w:rsid w:val="006F57FD"/>
    <w:rsid w:val="00714D52"/>
    <w:rsid w:val="00716843"/>
    <w:rsid w:val="00720FF9"/>
    <w:rsid w:val="00721AF4"/>
    <w:rsid w:val="00725EE6"/>
    <w:rsid w:val="007349BF"/>
    <w:rsid w:val="007374C9"/>
    <w:rsid w:val="00746CA0"/>
    <w:rsid w:val="00764AD9"/>
    <w:rsid w:val="00764BD3"/>
    <w:rsid w:val="00774F0F"/>
    <w:rsid w:val="007802CA"/>
    <w:rsid w:val="007824C6"/>
    <w:rsid w:val="00791801"/>
    <w:rsid w:val="0079404A"/>
    <w:rsid w:val="007A649E"/>
    <w:rsid w:val="007E30BE"/>
    <w:rsid w:val="007F24DA"/>
    <w:rsid w:val="00803C5A"/>
    <w:rsid w:val="00806E97"/>
    <w:rsid w:val="00807BAF"/>
    <w:rsid w:val="00830B35"/>
    <w:rsid w:val="00830D3D"/>
    <w:rsid w:val="0083209D"/>
    <w:rsid w:val="0084067E"/>
    <w:rsid w:val="008433DD"/>
    <w:rsid w:val="00843C90"/>
    <w:rsid w:val="00853092"/>
    <w:rsid w:val="008614A8"/>
    <w:rsid w:val="00867FA3"/>
    <w:rsid w:val="008701D7"/>
    <w:rsid w:val="0087186D"/>
    <w:rsid w:val="0087736D"/>
    <w:rsid w:val="008809F9"/>
    <w:rsid w:val="00896235"/>
    <w:rsid w:val="00896643"/>
    <w:rsid w:val="008A060F"/>
    <w:rsid w:val="008B5D0A"/>
    <w:rsid w:val="008C0A1B"/>
    <w:rsid w:val="008C6B25"/>
    <w:rsid w:val="008C6FBC"/>
    <w:rsid w:val="008F056C"/>
    <w:rsid w:val="008F2806"/>
    <w:rsid w:val="009169E0"/>
    <w:rsid w:val="00926799"/>
    <w:rsid w:val="00927541"/>
    <w:rsid w:val="00950395"/>
    <w:rsid w:val="0095326F"/>
    <w:rsid w:val="00957849"/>
    <w:rsid w:val="00963DD7"/>
    <w:rsid w:val="00974BF9"/>
    <w:rsid w:val="00974C53"/>
    <w:rsid w:val="009805D7"/>
    <w:rsid w:val="009820B9"/>
    <w:rsid w:val="0099442E"/>
    <w:rsid w:val="00994B21"/>
    <w:rsid w:val="0099584C"/>
    <w:rsid w:val="009A3BDD"/>
    <w:rsid w:val="009B7A42"/>
    <w:rsid w:val="009C016F"/>
    <w:rsid w:val="009C6B85"/>
    <w:rsid w:val="009C7B3D"/>
    <w:rsid w:val="009D207D"/>
    <w:rsid w:val="009D4A7C"/>
    <w:rsid w:val="009E0050"/>
    <w:rsid w:val="009F1E88"/>
    <w:rsid w:val="009F2827"/>
    <w:rsid w:val="009F391F"/>
    <w:rsid w:val="00A02144"/>
    <w:rsid w:val="00A06F2F"/>
    <w:rsid w:val="00A10A54"/>
    <w:rsid w:val="00A12687"/>
    <w:rsid w:val="00A12D32"/>
    <w:rsid w:val="00A16D7A"/>
    <w:rsid w:val="00A22A8D"/>
    <w:rsid w:val="00A26F07"/>
    <w:rsid w:val="00A34030"/>
    <w:rsid w:val="00A353C3"/>
    <w:rsid w:val="00A36281"/>
    <w:rsid w:val="00A40598"/>
    <w:rsid w:val="00A4415C"/>
    <w:rsid w:val="00A44B8C"/>
    <w:rsid w:val="00A571C6"/>
    <w:rsid w:val="00A71CB9"/>
    <w:rsid w:val="00A74092"/>
    <w:rsid w:val="00A75BBD"/>
    <w:rsid w:val="00A806DF"/>
    <w:rsid w:val="00A830C7"/>
    <w:rsid w:val="00A93961"/>
    <w:rsid w:val="00A973B6"/>
    <w:rsid w:val="00AA5209"/>
    <w:rsid w:val="00AA572F"/>
    <w:rsid w:val="00AA5EA1"/>
    <w:rsid w:val="00AD0818"/>
    <w:rsid w:val="00AD6830"/>
    <w:rsid w:val="00AD7927"/>
    <w:rsid w:val="00AE5AF2"/>
    <w:rsid w:val="00AE5C81"/>
    <w:rsid w:val="00AE72EB"/>
    <w:rsid w:val="00AF0790"/>
    <w:rsid w:val="00AF0EEF"/>
    <w:rsid w:val="00AF20A8"/>
    <w:rsid w:val="00AF595A"/>
    <w:rsid w:val="00B00659"/>
    <w:rsid w:val="00B044C4"/>
    <w:rsid w:val="00B12DEF"/>
    <w:rsid w:val="00B132D8"/>
    <w:rsid w:val="00B14FB5"/>
    <w:rsid w:val="00B2435F"/>
    <w:rsid w:val="00B37E3D"/>
    <w:rsid w:val="00B43C7D"/>
    <w:rsid w:val="00B52C9C"/>
    <w:rsid w:val="00B53454"/>
    <w:rsid w:val="00B57AD4"/>
    <w:rsid w:val="00B63C1F"/>
    <w:rsid w:val="00B65461"/>
    <w:rsid w:val="00B815AD"/>
    <w:rsid w:val="00B913F1"/>
    <w:rsid w:val="00B93AC2"/>
    <w:rsid w:val="00BA6A93"/>
    <w:rsid w:val="00BA7496"/>
    <w:rsid w:val="00BA7C46"/>
    <w:rsid w:val="00BC2226"/>
    <w:rsid w:val="00BC2483"/>
    <w:rsid w:val="00BC2D41"/>
    <w:rsid w:val="00BD1FA0"/>
    <w:rsid w:val="00BE3939"/>
    <w:rsid w:val="00BE3DCD"/>
    <w:rsid w:val="00BE6899"/>
    <w:rsid w:val="00BF1994"/>
    <w:rsid w:val="00BF2066"/>
    <w:rsid w:val="00BF4A30"/>
    <w:rsid w:val="00C12420"/>
    <w:rsid w:val="00C161A3"/>
    <w:rsid w:val="00C179B7"/>
    <w:rsid w:val="00C2167B"/>
    <w:rsid w:val="00C26A0C"/>
    <w:rsid w:val="00C315B9"/>
    <w:rsid w:val="00C35688"/>
    <w:rsid w:val="00C36796"/>
    <w:rsid w:val="00C43ACB"/>
    <w:rsid w:val="00C8417E"/>
    <w:rsid w:val="00C92CA3"/>
    <w:rsid w:val="00C935CD"/>
    <w:rsid w:val="00C93E42"/>
    <w:rsid w:val="00CA1A90"/>
    <w:rsid w:val="00CA1F0F"/>
    <w:rsid w:val="00CE3AE4"/>
    <w:rsid w:val="00CE4197"/>
    <w:rsid w:val="00CE6C69"/>
    <w:rsid w:val="00CF2194"/>
    <w:rsid w:val="00D027F7"/>
    <w:rsid w:val="00D064D4"/>
    <w:rsid w:val="00D15189"/>
    <w:rsid w:val="00D26C63"/>
    <w:rsid w:val="00D33DC3"/>
    <w:rsid w:val="00D4337B"/>
    <w:rsid w:val="00D639C1"/>
    <w:rsid w:val="00D74A38"/>
    <w:rsid w:val="00D8255C"/>
    <w:rsid w:val="00D834A4"/>
    <w:rsid w:val="00D85A9E"/>
    <w:rsid w:val="00D920FA"/>
    <w:rsid w:val="00D97EA2"/>
    <w:rsid w:val="00DA5C1C"/>
    <w:rsid w:val="00DB3311"/>
    <w:rsid w:val="00DB6BFB"/>
    <w:rsid w:val="00DE1797"/>
    <w:rsid w:val="00DE1FB3"/>
    <w:rsid w:val="00DE2086"/>
    <w:rsid w:val="00DE5208"/>
    <w:rsid w:val="00DF1B1B"/>
    <w:rsid w:val="00E00E44"/>
    <w:rsid w:val="00E049E0"/>
    <w:rsid w:val="00E06D1A"/>
    <w:rsid w:val="00E07DCE"/>
    <w:rsid w:val="00E12B57"/>
    <w:rsid w:val="00E13970"/>
    <w:rsid w:val="00E206C4"/>
    <w:rsid w:val="00E20E39"/>
    <w:rsid w:val="00E250E0"/>
    <w:rsid w:val="00E3079C"/>
    <w:rsid w:val="00E450AF"/>
    <w:rsid w:val="00E453B5"/>
    <w:rsid w:val="00E456CF"/>
    <w:rsid w:val="00E511B3"/>
    <w:rsid w:val="00E62EE5"/>
    <w:rsid w:val="00E70882"/>
    <w:rsid w:val="00E72528"/>
    <w:rsid w:val="00E8223E"/>
    <w:rsid w:val="00E853E2"/>
    <w:rsid w:val="00E868F8"/>
    <w:rsid w:val="00E86CB9"/>
    <w:rsid w:val="00E92331"/>
    <w:rsid w:val="00E935F6"/>
    <w:rsid w:val="00EB407D"/>
    <w:rsid w:val="00EB758E"/>
    <w:rsid w:val="00EC22B2"/>
    <w:rsid w:val="00EC6598"/>
    <w:rsid w:val="00EC6EE0"/>
    <w:rsid w:val="00ED3D38"/>
    <w:rsid w:val="00ED6CE3"/>
    <w:rsid w:val="00EE6DEC"/>
    <w:rsid w:val="00EF0804"/>
    <w:rsid w:val="00EF69EF"/>
    <w:rsid w:val="00F0794A"/>
    <w:rsid w:val="00F152D8"/>
    <w:rsid w:val="00F23910"/>
    <w:rsid w:val="00F3775B"/>
    <w:rsid w:val="00F44778"/>
    <w:rsid w:val="00F46E74"/>
    <w:rsid w:val="00F50934"/>
    <w:rsid w:val="00F62EB3"/>
    <w:rsid w:val="00F66902"/>
    <w:rsid w:val="00F7035A"/>
    <w:rsid w:val="00F7265E"/>
    <w:rsid w:val="00F72E5C"/>
    <w:rsid w:val="00F85AA2"/>
    <w:rsid w:val="00F90328"/>
    <w:rsid w:val="00F92DA3"/>
    <w:rsid w:val="00FA24FF"/>
    <w:rsid w:val="00FB3971"/>
    <w:rsid w:val="00FB7E46"/>
    <w:rsid w:val="00FC77F2"/>
    <w:rsid w:val="00FD5AA3"/>
    <w:rsid w:val="00FD6960"/>
    <w:rsid w:val="00FE71CF"/>
    <w:rsid w:val="00FF0DD1"/>
    <w:rsid w:val="00FF4054"/>
    <w:rsid w:val="00FF4E7A"/>
    <w:rsid w:val="00FF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99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2CA"/>
    <w:rPr>
      <w:color w:val="000000"/>
      <w:sz w:val="24"/>
      <w:szCs w:val="24"/>
    </w:rPr>
  </w:style>
  <w:style w:type="paragraph" w:styleId="Heading1">
    <w:name w:val="heading 1"/>
    <w:aliases w:val="Part Title"/>
    <w:basedOn w:val="Normal"/>
    <w:next w:val="Heading4"/>
    <w:qFormat/>
    <w:rsid w:val="007802CA"/>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7802CA"/>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7802C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7802CA"/>
    <w:pPr>
      <w:spacing w:after="240"/>
      <w:outlineLvl w:val="3"/>
    </w:pPr>
    <w:rPr>
      <w:rFonts w:ascii="Arial" w:hAnsi="Arial" w:cs="Arial"/>
      <w:b/>
      <w:sz w:val="32"/>
      <w:szCs w:val="20"/>
    </w:rPr>
  </w:style>
  <w:style w:type="paragraph" w:styleId="Heading5">
    <w:name w:val="heading 5"/>
    <w:aliases w:val="Block Label"/>
    <w:basedOn w:val="Normal"/>
    <w:qFormat/>
    <w:rsid w:val="007802CA"/>
    <w:pPr>
      <w:outlineLvl w:val="4"/>
    </w:pPr>
    <w:rPr>
      <w:b/>
      <w:sz w:val="22"/>
      <w:szCs w:val="20"/>
    </w:rPr>
  </w:style>
  <w:style w:type="paragraph" w:styleId="Heading6">
    <w:name w:val="heading 6"/>
    <w:aliases w:val="Sub Label"/>
    <w:basedOn w:val="Heading5"/>
    <w:next w:val="BlockText"/>
    <w:qFormat/>
    <w:rsid w:val="007802CA"/>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7802CA"/>
    <w:pPr>
      <w:pBdr>
        <w:top w:val="single" w:sz="6" w:space="1" w:color="000000"/>
        <w:between w:val="single" w:sz="6" w:space="1" w:color="auto"/>
      </w:pBdr>
      <w:spacing w:before="240"/>
      <w:ind w:left="1728"/>
    </w:pPr>
    <w:rPr>
      <w:szCs w:val="20"/>
    </w:rPr>
  </w:style>
  <w:style w:type="paragraph" w:customStyle="1" w:styleId="MemoLine">
    <w:name w:val="Memo Line"/>
    <w:basedOn w:val="BlockLine"/>
    <w:next w:val="Normal"/>
    <w:rsid w:val="007802CA"/>
  </w:style>
  <w:style w:type="paragraph" w:customStyle="1" w:styleId="TableHeaderText">
    <w:name w:val="Table Header Text"/>
    <w:basedOn w:val="Normal"/>
    <w:rsid w:val="007802CA"/>
    <w:pPr>
      <w:jc w:val="center"/>
    </w:pPr>
    <w:rPr>
      <w:b/>
      <w:szCs w:val="20"/>
    </w:rPr>
  </w:style>
  <w:style w:type="paragraph" w:customStyle="1" w:styleId="TableText">
    <w:name w:val="Table Text"/>
    <w:basedOn w:val="Normal"/>
    <w:rsid w:val="007802CA"/>
    <w:rPr>
      <w:szCs w:val="20"/>
    </w:rPr>
  </w:style>
  <w:style w:type="paragraph" w:customStyle="1" w:styleId="BulletText1">
    <w:name w:val="Bullet Text 1"/>
    <w:basedOn w:val="Normal"/>
    <w:rsid w:val="007802CA"/>
    <w:pPr>
      <w:numPr>
        <w:numId w:val="1"/>
      </w:numPr>
    </w:pPr>
    <w:rPr>
      <w:szCs w:val="20"/>
    </w:rPr>
  </w:style>
  <w:style w:type="paragraph" w:customStyle="1" w:styleId="ContinuedOnNextPa">
    <w:name w:val="Continued On Next Pa"/>
    <w:basedOn w:val="Normal"/>
    <w:next w:val="Normal"/>
    <w:rsid w:val="007802CA"/>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7802CA"/>
    <w:pPr>
      <w:spacing w:after="240"/>
    </w:pPr>
    <w:rPr>
      <w:rFonts w:ascii="Arial" w:hAnsi="Arial" w:cs="Arial"/>
      <w:b/>
      <w:sz w:val="32"/>
      <w:szCs w:val="20"/>
    </w:rPr>
  </w:style>
  <w:style w:type="paragraph" w:customStyle="1" w:styleId="BulletText2">
    <w:name w:val="Bullet Text 2"/>
    <w:basedOn w:val="Normal"/>
    <w:rsid w:val="007802CA"/>
    <w:pPr>
      <w:numPr>
        <w:numId w:val="3"/>
      </w:numPr>
    </w:pPr>
    <w:rPr>
      <w:szCs w:val="20"/>
    </w:rPr>
  </w:style>
  <w:style w:type="paragraph" w:customStyle="1" w:styleId="ContinuedTableLabe">
    <w:name w:val="Continued Table Labe"/>
    <w:basedOn w:val="Normal"/>
    <w:next w:val="Normal"/>
    <w:rsid w:val="007802CA"/>
    <w:pPr>
      <w:spacing w:after="240"/>
    </w:pPr>
    <w:rPr>
      <w:b/>
      <w:sz w:val="22"/>
      <w:szCs w:val="20"/>
    </w:rPr>
  </w:style>
  <w:style w:type="paragraph" w:customStyle="1" w:styleId="NoteText">
    <w:name w:val="Note Text"/>
    <w:basedOn w:val="Normal"/>
    <w:rsid w:val="007802CA"/>
    <w:rPr>
      <w:szCs w:val="20"/>
    </w:rPr>
  </w:style>
  <w:style w:type="paragraph" w:styleId="BlockText">
    <w:name w:val="Block Text"/>
    <w:basedOn w:val="Normal"/>
    <w:rsid w:val="007802CA"/>
  </w:style>
  <w:style w:type="paragraph" w:customStyle="1" w:styleId="EmbeddedText">
    <w:name w:val="Embedded Text"/>
    <w:basedOn w:val="Normal"/>
    <w:rsid w:val="007802CA"/>
    <w:rPr>
      <w:szCs w:val="20"/>
    </w:rPr>
  </w:style>
  <w:style w:type="paragraph" w:styleId="Header">
    <w:name w:val="header"/>
    <w:basedOn w:val="Normal"/>
    <w:link w:val="HeaderChar"/>
    <w:rsid w:val="007802CA"/>
    <w:pPr>
      <w:tabs>
        <w:tab w:val="center" w:pos="4680"/>
        <w:tab w:val="right" w:pos="9360"/>
      </w:tabs>
    </w:pPr>
    <w:rPr>
      <w:color w:val="auto"/>
      <w:lang w:val="x-none" w:eastAsia="x-none"/>
    </w:rPr>
  </w:style>
  <w:style w:type="character" w:styleId="PageNumber">
    <w:name w:val="page number"/>
    <w:basedOn w:val="DefaultParagraphFont"/>
  </w:style>
  <w:style w:type="paragraph" w:styleId="Footer">
    <w:name w:val="footer"/>
    <w:basedOn w:val="Normal"/>
    <w:link w:val="FooterChar"/>
    <w:rsid w:val="007802CA"/>
    <w:pPr>
      <w:tabs>
        <w:tab w:val="center" w:pos="4680"/>
        <w:tab w:val="right" w:pos="9360"/>
      </w:tabs>
    </w:pPr>
    <w:rPr>
      <w:color w:val="auto"/>
      <w:lang w:val="x-none" w:eastAsia="x-none"/>
    </w:rPr>
  </w:style>
  <w:style w:type="paragraph" w:styleId="BodyText">
    <w:name w:val="Body Text"/>
    <w:basedOn w:val="Normal"/>
    <w:rPr>
      <w:b/>
    </w:rPr>
  </w:style>
  <w:style w:type="paragraph" w:styleId="BodyText2">
    <w:name w:val="Body Text 2"/>
    <w:basedOn w:val="Normal"/>
    <w:pPr>
      <w:numPr>
        <w:ilvl w:val="12"/>
      </w:numPr>
      <w:tabs>
        <w:tab w:val="left" w:pos="480"/>
        <w:tab w:val="left" w:pos="8640"/>
        <w:tab w:val="left" w:pos="9600"/>
      </w:tabs>
      <w:ind w:right="63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OC1">
    <w:name w:val="toc 1"/>
    <w:basedOn w:val="Normal"/>
    <w:next w:val="Normal"/>
    <w:autoRedefine/>
    <w:semiHidden/>
    <w:pPr>
      <w:ind w:left="57"/>
    </w:p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rsid w:val="007802CA"/>
    <w:pPr>
      <w:ind w:left="480"/>
    </w:pPr>
  </w:style>
  <w:style w:type="paragraph" w:styleId="TOC4">
    <w:name w:val="toc 4"/>
    <w:basedOn w:val="Normal"/>
    <w:next w:val="Normal"/>
    <w:autoRedefine/>
    <w:uiPriority w:val="39"/>
    <w:rsid w:val="007802CA"/>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next w:val="Normal"/>
    <w:rsid w:val="007802CA"/>
    <w:pPr>
      <w:spacing w:after="240"/>
    </w:pPr>
    <w:rPr>
      <w:b/>
      <w:sz w:val="22"/>
      <w:szCs w:val="20"/>
    </w:rPr>
  </w:style>
  <w:style w:type="character" w:customStyle="1" w:styleId="Jump">
    <w:name w:val="Jump"/>
    <w:basedOn w:val="DefaultParagraphFont"/>
    <w:rPr>
      <w:color w:val="FF0000"/>
    </w:rPr>
  </w:style>
  <w:style w:type="paragraph" w:customStyle="1" w:styleId="PublicationTitle">
    <w:name w:val="Publication Title"/>
    <w:basedOn w:val="Normal"/>
    <w:next w:val="Heading4"/>
    <w:rsid w:val="007802CA"/>
    <w:pPr>
      <w:spacing w:after="240"/>
      <w:jc w:val="center"/>
    </w:pPr>
    <w:rPr>
      <w:rFonts w:ascii="Arial" w:hAnsi="Arial" w:cs="Arial"/>
      <w:b/>
      <w:sz w:val="32"/>
      <w:szCs w:val="20"/>
    </w:rPr>
  </w:style>
  <w:style w:type="paragraph" w:customStyle="1" w:styleId="TOCTitle">
    <w:name w:val="TOC Title"/>
    <w:basedOn w:val="Normal"/>
    <w:rsid w:val="007802CA"/>
    <w:pPr>
      <w:widowControl w:val="0"/>
    </w:pPr>
    <w:rPr>
      <w:rFonts w:ascii="Arial" w:hAnsi="Arial" w:cs="Arial"/>
      <w:b/>
      <w:sz w:val="32"/>
      <w:szCs w:val="20"/>
    </w:rPr>
  </w:style>
  <w:style w:type="paragraph" w:customStyle="1" w:styleId="TOCItem">
    <w:name w:val="TOCItem"/>
    <w:basedOn w:val="Normal"/>
    <w:rsid w:val="007802CA"/>
    <w:pPr>
      <w:tabs>
        <w:tab w:val="left" w:leader="dot" w:pos="7061"/>
        <w:tab w:val="right" w:pos="7524"/>
      </w:tabs>
      <w:spacing w:before="60" w:after="60"/>
      <w:ind w:right="465"/>
    </w:pPr>
    <w:rPr>
      <w:szCs w:val="20"/>
    </w:rPr>
  </w:style>
  <w:style w:type="paragraph" w:customStyle="1" w:styleId="TOCStem">
    <w:name w:val="TOCStem"/>
    <w:basedOn w:val="Normal"/>
    <w:rsid w:val="007802CA"/>
    <w:rPr>
      <w:szCs w:val="20"/>
    </w:rPr>
  </w:style>
  <w:style w:type="character" w:styleId="Hyperlink">
    <w:name w:val="Hyperlink"/>
    <w:uiPriority w:val="99"/>
    <w:rsid w:val="007802CA"/>
    <w:rPr>
      <w:color w:val="0000FF"/>
      <w:u w:val="single"/>
    </w:rPr>
  </w:style>
  <w:style w:type="character" w:styleId="FollowedHyperlink">
    <w:name w:val="FollowedHyperlink"/>
    <w:rsid w:val="007802CA"/>
    <w:rPr>
      <w:color w:val="800080"/>
      <w:u w:val="single"/>
    </w:rPr>
  </w:style>
  <w:style w:type="paragraph" w:customStyle="1" w:styleId="BulletText3">
    <w:name w:val="Bullet Text 3"/>
    <w:basedOn w:val="Normal"/>
    <w:rsid w:val="007802CA"/>
    <w:pPr>
      <w:numPr>
        <w:numId w:val="2"/>
      </w:numPr>
      <w:tabs>
        <w:tab w:val="clear" w:pos="173"/>
      </w:tabs>
      <w:ind w:left="533" w:hanging="173"/>
    </w:pPr>
    <w:rPr>
      <w:szCs w:val="20"/>
    </w:rPr>
  </w:style>
  <w:style w:type="character" w:styleId="HTMLAcronym">
    <w:name w:val="HTML Acronym"/>
    <w:basedOn w:val="DefaultParagraphFont"/>
    <w:rsid w:val="007802CA"/>
  </w:style>
  <w:style w:type="paragraph" w:customStyle="1" w:styleId="IMTOC">
    <w:name w:val="IMTOC"/>
    <w:rsid w:val="007802CA"/>
    <w:rPr>
      <w:sz w:val="24"/>
    </w:rPr>
  </w:style>
  <w:style w:type="paragraph" w:styleId="BalloonText">
    <w:name w:val="Balloon Text"/>
    <w:basedOn w:val="Normal"/>
    <w:semiHidden/>
    <w:rsid w:val="007802CA"/>
    <w:rPr>
      <w:rFonts w:ascii="Tahoma" w:hAnsi="Tahoma" w:cs="Tahoma"/>
      <w:sz w:val="16"/>
      <w:szCs w:val="16"/>
    </w:rPr>
  </w:style>
  <w:style w:type="character" w:customStyle="1" w:styleId="FooterChar">
    <w:name w:val="Footer Char"/>
    <w:link w:val="Footer"/>
    <w:rsid w:val="007802CA"/>
    <w:rPr>
      <w:sz w:val="24"/>
      <w:szCs w:val="24"/>
      <w:lang w:val="x-none" w:eastAsia="x-none"/>
    </w:rPr>
  </w:style>
  <w:style w:type="table" w:styleId="TableGrid">
    <w:name w:val="Table Grid"/>
    <w:basedOn w:val="TableNormal"/>
    <w:rsid w:val="007802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2">
    <w:name w:val="Char Char2"/>
    <w:rsid w:val="00720FF9"/>
    <w:rPr>
      <w:sz w:val="24"/>
      <w:szCs w:val="24"/>
      <w:lang w:val="x-none" w:eastAsia="x-none"/>
    </w:rPr>
  </w:style>
  <w:style w:type="character" w:customStyle="1" w:styleId="HeaderChar">
    <w:name w:val="Header Char"/>
    <w:link w:val="Header"/>
    <w:rsid w:val="007802CA"/>
    <w:rPr>
      <w:sz w:val="24"/>
      <w:szCs w:val="24"/>
      <w:lang w:val="x-none" w:eastAsia="x-none"/>
    </w:rPr>
  </w:style>
  <w:style w:type="character" w:styleId="CommentReference">
    <w:name w:val="annotation reference"/>
    <w:basedOn w:val="DefaultParagraphFont"/>
    <w:semiHidden/>
    <w:rsid w:val="00EC6598"/>
    <w:rPr>
      <w:sz w:val="16"/>
      <w:szCs w:val="16"/>
    </w:rPr>
  </w:style>
  <w:style w:type="paragraph" w:styleId="CommentText">
    <w:name w:val="annotation text"/>
    <w:basedOn w:val="Normal"/>
    <w:semiHidden/>
    <w:rsid w:val="00EC6598"/>
    <w:rPr>
      <w:sz w:val="20"/>
      <w:szCs w:val="20"/>
    </w:rPr>
  </w:style>
  <w:style w:type="paragraph" w:styleId="CommentSubject">
    <w:name w:val="annotation subject"/>
    <w:basedOn w:val="CommentText"/>
    <w:next w:val="CommentText"/>
    <w:semiHidden/>
    <w:rsid w:val="00EC6598"/>
    <w:rPr>
      <w:b/>
      <w:bCs/>
    </w:rPr>
  </w:style>
  <w:style w:type="paragraph" w:styleId="ListParagraph">
    <w:name w:val="List Paragraph"/>
    <w:basedOn w:val="Normal"/>
    <w:uiPriority w:val="34"/>
    <w:qFormat/>
    <w:rsid w:val="00CE4197"/>
    <w:pPr>
      <w:ind w:left="720"/>
      <w:contextualSpacing/>
    </w:pPr>
  </w:style>
  <w:style w:type="paragraph" w:styleId="Revision">
    <w:name w:val="Revision"/>
    <w:hidden/>
    <w:uiPriority w:val="99"/>
    <w:semiHidden/>
    <w:rsid w:val="00565BF3"/>
    <w:rPr>
      <w:color w:val="000000"/>
      <w:sz w:val="24"/>
      <w:szCs w:val="24"/>
    </w:rPr>
  </w:style>
  <w:style w:type="character" w:customStyle="1" w:styleId="Heading4Char">
    <w:name w:val="Heading 4 Char"/>
    <w:aliases w:val="Map Title Char"/>
    <w:basedOn w:val="DefaultParagraphFont"/>
    <w:link w:val="Heading4"/>
    <w:rsid w:val="00475F36"/>
    <w:rPr>
      <w:rFonts w:ascii="Arial" w:hAnsi="Arial" w:cs="Arial"/>
      <w:b/>
      <w:color w:val="00000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02CA"/>
    <w:rPr>
      <w:color w:val="000000"/>
      <w:sz w:val="24"/>
      <w:szCs w:val="24"/>
    </w:rPr>
  </w:style>
  <w:style w:type="paragraph" w:styleId="Heading1">
    <w:name w:val="heading 1"/>
    <w:aliases w:val="Part Title"/>
    <w:basedOn w:val="Normal"/>
    <w:next w:val="Heading4"/>
    <w:qFormat/>
    <w:rsid w:val="007802CA"/>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7802CA"/>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7802C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7802CA"/>
    <w:pPr>
      <w:spacing w:after="240"/>
      <w:outlineLvl w:val="3"/>
    </w:pPr>
    <w:rPr>
      <w:rFonts w:ascii="Arial" w:hAnsi="Arial" w:cs="Arial"/>
      <w:b/>
      <w:sz w:val="32"/>
      <w:szCs w:val="20"/>
    </w:rPr>
  </w:style>
  <w:style w:type="paragraph" w:styleId="Heading5">
    <w:name w:val="heading 5"/>
    <w:aliases w:val="Block Label"/>
    <w:basedOn w:val="Normal"/>
    <w:qFormat/>
    <w:rsid w:val="007802CA"/>
    <w:pPr>
      <w:outlineLvl w:val="4"/>
    </w:pPr>
    <w:rPr>
      <w:b/>
      <w:sz w:val="22"/>
      <w:szCs w:val="20"/>
    </w:rPr>
  </w:style>
  <w:style w:type="paragraph" w:styleId="Heading6">
    <w:name w:val="heading 6"/>
    <w:aliases w:val="Sub Label"/>
    <w:basedOn w:val="Heading5"/>
    <w:next w:val="BlockText"/>
    <w:qFormat/>
    <w:rsid w:val="007802CA"/>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7802CA"/>
    <w:pPr>
      <w:pBdr>
        <w:top w:val="single" w:sz="6" w:space="1" w:color="000000"/>
        <w:between w:val="single" w:sz="6" w:space="1" w:color="auto"/>
      </w:pBdr>
      <w:spacing w:before="240"/>
      <w:ind w:left="1728"/>
    </w:pPr>
    <w:rPr>
      <w:szCs w:val="20"/>
    </w:rPr>
  </w:style>
  <w:style w:type="paragraph" w:customStyle="1" w:styleId="MemoLine">
    <w:name w:val="Memo Line"/>
    <w:basedOn w:val="BlockLine"/>
    <w:next w:val="Normal"/>
    <w:rsid w:val="007802CA"/>
  </w:style>
  <w:style w:type="paragraph" w:customStyle="1" w:styleId="TableHeaderText">
    <w:name w:val="Table Header Text"/>
    <w:basedOn w:val="Normal"/>
    <w:rsid w:val="007802CA"/>
    <w:pPr>
      <w:jc w:val="center"/>
    </w:pPr>
    <w:rPr>
      <w:b/>
      <w:szCs w:val="20"/>
    </w:rPr>
  </w:style>
  <w:style w:type="paragraph" w:customStyle="1" w:styleId="TableText">
    <w:name w:val="Table Text"/>
    <w:basedOn w:val="Normal"/>
    <w:rsid w:val="007802CA"/>
    <w:rPr>
      <w:szCs w:val="20"/>
    </w:rPr>
  </w:style>
  <w:style w:type="paragraph" w:customStyle="1" w:styleId="BulletText1">
    <w:name w:val="Bullet Text 1"/>
    <w:basedOn w:val="Normal"/>
    <w:rsid w:val="007802CA"/>
    <w:pPr>
      <w:numPr>
        <w:numId w:val="1"/>
      </w:numPr>
    </w:pPr>
    <w:rPr>
      <w:szCs w:val="20"/>
    </w:rPr>
  </w:style>
  <w:style w:type="paragraph" w:customStyle="1" w:styleId="ContinuedOnNextPa">
    <w:name w:val="Continued On Next Pa"/>
    <w:basedOn w:val="Normal"/>
    <w:next w:val="Normal"/>
    <w:rsid w:val="007802CA"/>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7802CA"/>
    <w:pPr>
      <w:spacing w:after="240"/>
    </w:pPr>
    <w:rPr>
      <w:rFonts w:ascii="Arial" w:hAnsi="Arial" w:cs="Arial"/>
      <w:b/>
      <w:sz w:val="32"/>
      <w:szCs w:val="20"/>
    </w:rPr>
  </w:style>
  <w:style w:type="paragraph" w:customStyle="1" w:styleId="BulletText2">
    <w:name w:val="Bullet Text 2"/>
    <w:basedOn w:val="Normal"/>
    <w:rsid w:val="007802CA"/>
    <w:pPr>
      <w:numPr>
        <w:numId w:val="3"/>
      </w:numPr>
    </w:pPr>
    <w:rPr>
      <w:szCs w:val="20"/>
    </w:rPr>
  </w:style>
  <w:style w:type="paragraph" w:customStyle="1" w:styleId="ContinuedTableLabe">
    <w:name w:val="Continued Table Labe"/>
    <w:basedOn w:val="Normal"/>
    <w:next w:val="Normal"/>
    <w:rsid w:val="007802CA"/>
    <w:pPr>
      <w:spacing w:after="240"/>
    </w:pPr>
    <w:rPr>
      <w:b/>
      <w:sz w:val="22"/>
      <w:szCs w:val="20"/>
    </w:rPr>
  </w:style>
  <w:style w:type="paragraph" w:customStyle="1" w:styleId="NoteText">
    <w:name w:val="Note Text"/>
    <w:basedOn w:val="Normal"/>
    <w:rsid w:val="007802CA"/>
    <w:rPr>
      <w:szCs w:val="20"/>
    </w:rPr>
  </w:style>
  <w:style w:type="paragraph" w:styleId="BlockText">
    <w:name w:val="Block Text"/>
    <w:basedOn w:val="Normal"/>
    <w:rsid w:val="007802CA"/>
  </w:style>
  <w:style w:type="paragraph" w:customStyle="1" w:styleId="EmbeddedText">
    <w:name w:val="Embedded Text"/>
    <w:basedOn w:val="Normal"/>
    <w:rsid w:val="007802CA"/>
    <w:rPr>
      <w:szCs w:val="20"/>
    </w:rPr>
  </w:style>
  <w:style w:type="paragraph" w:styleId="Header">
    <w:name w:val="header"/>
    <w:basedOn w:val="Normal"/>
    <w:link w:val="HeaderChar"/>
    <w:rsid w:val="007802CA"/>
    <w:pPr>
      <w:tabs>
        <w:tab w:val="center" w:pos="4680"/>
        <w:tab w:val="right" w:pos="9360"/>
      </w:tabs>
    </w:pPr>
    <w:rPr>
      <w:color w:val="auto"/>
      <w:lang w:val="x-none" w:eastAsia="x-none"/>
    </w:rPr>
  </w:style>
  <w:style w:type="character" w:styleId="PageNumber">
    <w:name w:val="page number"/>
    <w:basedOn w:val="DefaultParagraphFont"/>
  </w:style>
  <w:style w:type="paragraph" w:styleId="Footer">
    <w:name w:val="footer"/>
    <w:basedOn w:val="Normal"/>
    <w:link w:val="FooterChar"/>
    <w:rsid w:val="007802CA"/>
    <w:pPr>
      <w:tabs>
        <w:tab w:val="center" w:pos="4680"/>
        <w:tab w:val="right" w:pos="9360"/>
      </w:tabs>
    </w:pPr>
    <w:rPr>
      <w:color w:val="auto"/>
      <w:lang w:val="x-none" w:eastAsia="x-none"/>
    </w:rPr>
  </w:style>
  <w:style w:type="paragraph" w:styleId="BodyText">
    <w:name w:val="Body Text"/>
    <w:basedOn w:val="Normal"/>
    <w:rPr>
      <w:b/>
    </w:rPr>
  </w:style>
  <w:style w:type="paragraph" w:styleId="BodyText2">
    <w:name w:val="Body Text 2"/>
    <w:basedOn w:val="Normal"/>
    <w:pPr>
      <w:numPr>
        <w:ilvl w:val="12"/>
      </w:numPr>
      <w:tabs>
        <w:tab w:val="left" w:pos="480"/>
        <w:tab w:val="left" w:pos="8640"/>
        <w:tab w:val="left" w:pos="9600"/>
      </w:tabs>
      <w:ind w:right="63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TOC1">
    <w:name w:val="toc 1"/>
    <w:basedOn w:val="Normal"/>
    <w:next w:val="Normal"/>
    <w:autoRedefine/>
    <w:semiHidden/>
    <w:pPr>
      <w:ind w:left="57"/>
    </w:p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rsid w:val="007802CA"/>
    <w:pPr>
      <w:ind w:left="480"/>
    </w:pPr>
  </w:style>
  <w:style w:type="paragraph" w:styleId="TOC4">
    <w:name w:val="toc 4"/>
    <w:basedOn w:val="Normal"/>
    <w:next w:val="Normal"/>
    <w:autoRedefine/>
    <w:uiPriority w:val="39"/>
    <w:rsid w:val="007802CA"/>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basedOn w:val="DefaultParagraphFont"/>
    <w:rPr>
      <w:rFonts w:ascii="Arial" w:hAnsi="Arial"/>
      <w:sz w:val="24"/>
    </w:rPr>
  </w:style>
  <w:style w:type="paragraph" w:customStyle="1" w:styleId="ContinuedBlockLabel">
    <w:name w:val="Continued Block Label"/>
    <w:basedOn w:val="Normal"/>
    <w:next w:val="Normal"/>
    <w:rsid w:val="007802CA"/>
    <w:pPr>
      <w:spacing w:after="240"/>
    </w:pPr>
    <w:rPr>
      <w:b/>
      <w:sz w:val="22"/>
      <w:szCs w:val="20"/>
    </w:rPr>
  </w:style>
  <w:style w:type="character" w:customStyle="1" w:styleId="Jump">
    <w:name w:val="Jump"/>
    <w:basedOn w:val="DefaultParagraphFont"/>
    <w:rPr>
      <w:color w:val="FF0000"/>
    </w:rPr>
  </w:style>
  <w:style w:type="paragraph" w:customStyle="1" w:styleId="PublicationTitle">
    <w:name w:val="Publication Title"/>
    <w:basedOn w:val="Normal"/>
    <w:next w:val="Heading4"/>
    <w:rsid w:val="007802CA"/>
    <w:pPr>
      <w:spacing w:after="240"/>
      <w:jc w:val="center"/>
    </w:pPr>
    <w:rPr>
      <w:rFonts w:ascii="Arial" w:hAnsi="Arial" w:cs="Arial"/>
      <w:b/>
      <w:sz w:val="32"/>
      <w:szCs w:val="20"/>
    </w:rPr>
  </w:style>
  <w:style w:type="paragraph" w:customStyle="1" w:styleId="TOCTitle">
    <w:name w:val="TOC Title"/>
    <w:basedOn w:val="Normal"/>
    <w:rsid w:val="007802CA"/>
    <w:pPr>
      <w:widowControl w:val="0"/>
    </w:pPr>
    <w:rPr>
      <w:rFonts w:ascii="Arial" w:hAnsi="Arial" w:cs="Arial"/>
      <w:b/>
      <w:sz w:val="32"/>
      <w:szCs w:val="20"/>
    </w:rPr>
  </w:style>
  <w:style w:type="paragraph" w:customStyle="1" w:styleId="TOCItem">
    <w:name w:val="TOCItem"/>
    <w:basedOn w:val="Normal"/>
    <w:rsid w:val="007802CA"/>
    <w:pPr>
      <w:tabs>
        <w:tab w:val="left" w:leader="dot" w:pos="7061"/>
        <w:tab w:val="right" w:pos="7524"/>
      </w:tabs>
      <w:spacing w:before="60" w:after="60"/>
      <w:ind w:right="465"/>
    </w:pPr>
    <w:rPr>
      <w:szCs w:val="20"/>
    </w:rPr>
  </w:style>
  <w:style w:type="paragraph" w:customStyle="1" w:styleId="TOCStem">
    <w:name w:val="TOCStem"/>
    <w:basedOn w:val="Normal"/>
    <w:rsid w:val="007802CA"/>
    <w:rPr>
      <w:szCs w:val="20"/>
    </w:rPr>
  </w:style>
  <w:style w:type="character" w:styleId="Hyperlink">
    <w:name w:val="Hyperlink"/>
    <w:uiPriority w:val="99"/>
    <w:rsid w:val="007802CA"/>
    <w:rPr>
      <w:color w:val="0000FF"/>
      <w:u w:val="single"/>
    </w:rPr>
  </w:style>
  <w:style w:type="character" w:styleId="FollowedHyperlink">
    <w:name w:val="FollowedHyperlink"/>
    <w:rsid w:val="007802CA"/>
    <w:rPr>
      <w:color w:val="800080"/>
      <w:u w:val="single"/>
    </w:rPr>
  </w:style>
  <w:style w:type="paragraph" w:customStyle="1" w:styleId="BulletText3">
    <w:name w:val="Bullet Text 3"/>
    <w:basedOn w:val="Normal"/>
    <w:rsid w:val="007802CA"/>
    <w:pPr>
      <w:numPr>
        <w:numId w:val="2"/>
      </w:numPr>
      <w:tabs>
        <w:tab w:val="clear" w:pos="173"/>
      </w:tabs>
      <w:ind w:left="533" w:hanging="173"/>
    </w:pPr>
    <w:rPr>
      <w:szCs w:val="20"/>
    </w:rPr>
  </w:style>
  <w:style w:type="character" w:styleId="HTMLAcronym">
    <w:name w:val="HTML Acronym"/>
    <w:basedOn w:val="DefaultParagraphFont"/>
    <w:rsid w:val="007802CA"/>
  </w:style>
  <w:style w:type="paragraph" w:customStyle="1" w:styleId="IMTOC">
    <w:name w:val="IMTOC"/>
    <w:rsid w:val="007802CA"/>
    <w:rPr>
      <w:sz w:val="24"/>
    </w:rPr>
  </w:style>
  <w:style w:type="paragraph" w:styleId="BalloonText">
    <w:name w:val="Balloon Text"/>
    <w:basedOn w:val="Normal"/>
    <w:semiHidden/>
    <w:rsid w:val="007802CA"/>
    <w:rPr>
      <w:rFonts w:ascii="Tahoma" w:hAnsi="Tahoma" w:cs="Tahoma"/>
      <w:sz w:val="16"/>
      <w:szCs w:val="16"/>
    </w:rPr>
  </w:style>
  <w:style w:type="character" w:customStyle="1" w:styleId="FooterChar">
    <w:name w:val="Footer Char"/>
    <w:link w:val="Footer"/>
    <w:rsid w:val="007802CA"/>
    <w:rPr>
      <w:sz w:val="24"/>
      <w:szCs w:val="24"/>
      <w:lang w:val="x-none" w:eastAsia="x-none"/>
    </w:rPr>
  </w:style>
  <w:style w:type="table" w:styleId="TableGrid">
    <w:name w:val="Table Grid"/>
    <w:basedOn w:val="TableNormal"/>
    <w:rsid w:val="007802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2">
    <w:name w:val="Char Char2"/>
    <w:rsid w:val="00720FF9"/>
    <w:rPr>
      <w:sz w:val="24"/>
      <w:szCs w:val="24"/>
      <w:lang w:val="x-none" w:eastAsia="x-none"/>
    </w:rPr>
  </w:style>
  <w:style w:type="character" w:customStyle="1" w:styleId="HeaderChar">
    <w:name w:val="Header Char"/>
    <w:link w:val="Header"/>
    <w:rsid w:val="007802CA"/>
    <w:rPr>
      <w:sz w:val="24"/>
      <w:szCs w:val="24"/>
      <w:lang w:val="x-none" w:eastAsia="x-none"/>
    </w:rPr>
  </w:style>
  <w:style w:type="character" w:styleId="CommentReference">
    <w:name w:val="annotation reference"/>
    <w:basedOn w:val="DefaultParagraphFont"/>
    <w:semiHidden/>
    <w:rsid w:val="00EC6598"/>
    <w:rPr>
      <w:sz w:val="16"/>
      <w:szCs w:val="16"/>
    </w:rPr>
  </w:style>
  <w:style w:type="paragraph" w:styleId="CommentText">
    <w:name w:val="annotation text"/>
    <w:basedOn w:val="Normal"/>
    <w:semiHidden/>
    <w:rsid w:val="00EC6598"/>
    <w:rPr>
      <w:sz w:val="20"/>
      <w:szCs w:val="20"/>
    </w:rPr>
  </w:style>
  <w:style w:type="paragraph" w:styleId="CommentSubject">
    <w:name w:val="annotation subject"/>
    <w:basedOn w:val="CommentText"/>
    <w:next w:val="CommentText"/>
    <w:semiHidden/>
    <w:rsid w:val="00EC6598"/>
    <w:rPr>
      <w:b/>
      <w:bCs/>
    </w:rPr>
  </w:style>
  <w:style w:type="paragraph" w:styleId="ListParagraph">
    <w:name w:val="List Paragraph"/>
    <w:basedOn w:val="Normal"/>
    <w:uiPriority w:val="34"/>
    <w:qFormat/>
    <w:rsid w:val="00CE4197"/>
    <w:pPr>
      <w:ind w:left="720"/>
      <w:contextualSpacing/>
    </w:pPr>
  </w:style>
  <w:style w:type="paragraph" w:styleId="Revision">
    <w:name w:val="Revision"/>
    <w:hidden/>
    <w:uiPriority w:val="99"/>
    <w:semiHidden/>
    <w:rsid w:val="00565BF3"/>
    <w:rPr>
      <w:color w:val="000000"/>
      <w:sz w:val="24"/>
      <w:szCs w:val="24"/>
    </w:rPr>
  </w:style>
  <w:style w:type="character" w:customStyle="1" w:styleId="Heading4Char">
    <w:name w:val="Heading 4 Char"/>
    <w:aliases w:val="Map Title Char"/>
    <w:basedOn w:val="DefaultParagraphFont"/>
    <w:link w:val="Heading4"/>
    <w:rsid w:val="00475F36"/>
    <w:rPr>
      <w:rFonts w:ascii="Arial" w:hAnsi="Arial" w:cs="Arial"/>
      <w:b/>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873723">
      <w:bodyDiv w:val="1"/>
      <w:marLeft w:val="0"/>
      <w:marRight w:val="0"/>
      <w:marTop w:val="0"/>
      <w:marBottom w:val="0"/>
      <w:divBdr>
        <w:top w:val="none" w:sz="0" w:space="0" w:color="auto"/>
        <w:left w:val="none" w:sz="0" w:space="0" w:color="auto"/>
        <w:bottom w:val="none" w:sz="0" w:space="0" w:color="auto"/>
        <w:right w:val="none" w:sz="0" w:space="0" w:color="auto"/>
      </w:divBdr>
    </w:div>
    <w:div w:id="1831943288">
      <w:bodyDiv w:val="1"/>
      <w:marLeft w:val="0"/>
      <w:marRight w:val="0"/>
      <w:marTop w:val="0"/>
      <w:marBottom w:val="0"/>
      <w:divBdr>
        <w:top w:val="none" w:sz="0" w:space="0" w:color="auto"/>
        <w:left w:val="none" w:sz="0" w:space="0" w:color="auto"/>
        <w:bottom w:val="none" w:sz="0" w:space="0" w:color="auto"/>
        <w:right w:val="none" w:sz="0" w:space="0" w:color="auto"/>
      </w:divBdr>
      <w:divsChild>
        <w:div w:id="1523592148">
          <w:marLeft w:val="0"/>
          <w:marRight w:val="0"/>
          <w:marTop w:val="0"/>
          <w:marBottom w:val="0"/>
          <w:divBdr>
            <w:top w:val="none" w:sz="0" w:space="0" w:color="auto"/>
            <w:left w:val="none" w:sz="0" w:space="0" w:color="auto"/>
            <w:bottom w:val="none" w:sz="0" w:space="0" w:color="auto"/>
            <w:right w:val="none" w:sz="0" w:space="0" w:color="auto"/>
          </w:divBdr>
        </w:div>
      </w:divsChild>
    </w:div>
    <w:div w:id="2078015636">
      <w:bodyDiv w:val="1"/>
      <w:marLeft w:val="0"/>
      <w:marRight w:val="0"/>
      <w:marTop w:val="0"/>
      <w:marBottom w:val="0"/>
      <w:divBdr>
        <w:top w:val="none" w:sz="0" w:space="0" w:color="auto"/>
        <w:left w:val="none" w:sz="0" w:space="0" w:color="auto"/>
        <w:bottom w:val="none" w:sz="0" w:space="0" w:color="auto"/>
        <w:right w:val="none" w:sz="0" w:space="0" w:color="auto"/>
      </w:divBdr>
    </w:div>
    <w:div w:id="2120753765">
      <w:bodyDiv w:val="1"/>
      <w:marLeft w:val="0"/>
      <w:marRight w:val="0"/>
      <w:marTop w:val="0"/>
      <w:marBottom w:val="0"/>
      <w:divBdr>
        <w:top w:val="none" w:sz="0" w:space="0" w:color="auto"/>
        <w:left w:val="none" w:sz="0" w:space="0" w:color="auto"/>
        <w:bottom w:val="none" w:sz="0" w:space="0" w:color="auto"/>
        <w:right w:val="none" w:sz="0" w:space="0" w:color="auto"/>
      </w:divBdr>
      <w:divsChild>
        <w:div w:id="130442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cfr.gov/cgi-bin/text-idx?SID=1d475a06174c2964db5df67a7e6469c0&amp;node=se38.1.3_1110&amp;rgn=div8" TargetMode="External"/><Relationship Id="rId18" Type="http://schemas.openxmlformats.org/officeDocument/2006/relationships/hyperlink" Target="imi-internal:M21-1MRI.2.C.12" TargetMode="External"/><Relationship Id="rId26"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hyperlink" Target="http://www.ecfr.gov/cgi-bin/text-idx?SID=54e4ec99a5387fa53eae468f2c13b8f6&amp;node=se38.1.3_1103&amp;rgn=div8"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imi-internal:M21-1MRI.2.D.13" TargetMode="External"/><Relationship Id="rId25" Type="http://schemas.openxmlformats.org/officeDocument/2006/relationships/hyperlink" Target="imi-internal:M21-1MRI.2.B.6.b" TargetMode="External"/><Relationship Id="rId2" Type="http://schemas.openxmlformats.org/officeDocument/2006/relationships/customXml" Target="../customXml/item1.xml"/><Relationship Id="rId16" Type="http://schemas.openxmlformats.org/officeDocument/2006/relationships/hyperlink" Target="http://www.ecfr.gov/cgi-bin/text-idx?SID=e1fab56f5a9a35c6fe119953e756d1c0&amp;node=se38.2.20_1304&amp;rgn=div8" TargetMode="External"/><Relationship Id="rId20" Type="http://schemas.openxmlformats.org/officeDocument/2006/relationships/hyperlink" Target="http://www.ecfr.gov/cgi-bin/text-idx?SID=2f52c4f3a81ec1192998f1e0d253208b&amp;node=se38.1.3_1353&amp;rgn=div8" TargetMode="External"/><Relationship Id="rId29"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ecfr.gov/cgi-bin/text-idx?SID=dbacdc3596cd36975d74d6fe19614017&amp;mc=true&amp;node=se38.1.3_1105&amp;rgn=div8" TargetMode="External"/><Relationship Id="rId5" Type="http://schemas.openxmlformats.org/officeDocument/2006/relationships/customXml" Target="../customXml/item4.xml"/><Relationship Id="rId15" Type="http://schemas.openxmlformats.org/officeDocument/2006/relationships/hyperlink" Target="http://www.ecfr.gov/cgi-bin/text-idx?SID=ba722fb8bb24998f9eac841269b1d257&amp;mc=true&amp;node=se38.1.3_1159&amp;rgn=div8" TargetMode="External"/><Relationship Id="rId23" Type="http://schemas.openxmlformats.org/officeDocument/2006/relationships/hyperlink" Target="http://www.ecfr.gov/cgi-bin/text-idx?SID=54e4ec99a5387fa53eae468f2c13b8f6&amp;node=se38.1.3_1105&amp;rgn=div8" TargetMode="External"/><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imi-internal:M21-1MRI.2.D.14" TargetMode="External"/><Relationship Id="rId31"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ecfr.gov/cgi-bin/text-idx?SID=a02ae0bb8bc0aa1d7225876b1f53e94e&amp;mc=true&amp;node=sg38.1.3_1461.sg15&amp;rgn=div7" TargetMode="External"/><Relationship Id="rId22" Type="http://schemas.openxmlformats.org/officeDocument/2006/relationships/hyperlink" Target="http://www.ecfr.gov/cgi-bin/text-idx?SID=54e4ec99a5387fa53eae468f2c13b8f6&amp;node=se38.1.3_1105&amp;rgn=div8" TargetMode="External"/><Relationship Id="rId27" Type="http://schemas.openxmlformats.org/officeDocument/2006/relationships/header" Target="header2.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AC53-1CD3-401B-A40B-E8DCB0A4F379}">
  <ds:schemaRefs>
    <ds:schemaRef ds:uri="http://purl.org/dc/elements/1.1/"/>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 ds:uri="b438dcf7-3998-4283-b7fc-0ec6fa8e430f"/>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C6DF6B2D-97C7-408F-BA8F-DF40AEE052C2}">
  <ds:schemaRefs>
    <ds:schemaRef ds:uri="http://schemas.microsoft.com/sharepoint/v3/contenttype/forms"/>
  </ds:schemaRefs>
</ds:datastoreItem>
</file>

<file path=customXml/itemProps3.xml><?xml version="1.0" encoding="utf-8"?>
<ds:datastoreItem xmlns:ds="http://schemas.openxmlformats.org/officeDocument/2006/customXml" ds:itemID="{D843E83A-FAF0-43DF-9E44-E605861A5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3E372B-5066-40CA-A55B-93EBDDFA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773</TotalTime>
  <Pages>12</Pages>
  <Words>2873</Words>
  <Characters>16379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Section C.  Adverse Action Proposal Period  (U.S. Department of Veterans Affairs)</vt:lpstr>
    </vt:vector>
  </TitlesOfParts>
  <Company>Veteran Affairs</Company>
  <LinksUpToDate>false</LinksUpToDate>
  <CharactersWithSpaces>19214</CharactersWithSpaces>
  <SharedDoc>false</SharedDoc>
  <HLinks>
    <vt:vector size="120" baseType="variant">
      <vt:variant>
        <vt:i4>5636169</vt:i4>
      </vt:variant>
      <vt:variant>
        <vt:i4>96</vt:i4>
      </vt:variant>
      <vt:variant>
        <vt:i4>0</vt:i4>
      </vt:variant>
      <vt:variant>
        <vt:i4>5</vt:i4>
      </vt:variant>
      <vt:variant>
        <vt:lpwstr>imi-internal:M21-1MRI.2.B.6.b</vt:lpwstr>
      </vt:variant>
      <vt:variant>
        <vt:lpwstr/>
      </vt:variant>
      <vt:variant>
        <vt:i4>5636173</vt:i4>
      </vt:variant>
      <vt:variant>
        <vt:i4>93</vt:i4>
      </vt:variant>
      <vt:variant>
        <vt:i4>0</vt:i4>
      </vt:variant>
      <vt:variant>
        <vt:i4>5</vt:i4>
      </vt:variant>
      <vt:variant>
        <vt:lpwstr>imi-internal:M21-1MRI.2.A.1.c</vt:lpwstr>
      </vt:variant>
      <vt:variant>
        <vt:lpwstr/>
      </vt:variant>
      <vt:variant>
        <vt:i4>458870</vt:i4>
      </vt:variant>
      <vt:variant>
        <vt:i4>90</vt:i4>
      </vt:variant>
      <vt:variant>
        <vt:i4>0</vt:i4>
      </vt:variant>
      <vt:variant>
        <vt:i4>5</vt:i4>
      </vt:variant>
      <vt:variant>
        <vt:lpwstr>http://www.benefits.va.gov/warms/docs/admin21/m21_1/part5/ch05.doc</vt:lpwstr>
      </vt:variant>
      <vt:variant>
        <vt:lpwstr/>
      </vt:variant>
      <vt:variant>
        <vt:i4>2621537</vt:i4>
      </vt:variant>
      <vt:variant>
        <vt:i4>87</vt:i4>
      </vt:variant>
      <vt:variant>
        <vt:i4>0</vt:i4>
      </vt:variant>
      <vt:variant>
        <vt:i4>5</vt:i4>
      </vt:variant>
      <vt:variant>
        <vt:lpwstr>imi-internal:M21-1MRI.2.C.12.b</vt:lpwstr>
      </vt:variant>
      <vt:variant>
        <vt:lpwstr/>
      </vt:variant>
      <vt:variant>
        <vt:i4>5636169</vt:i4>
      </vt:variant>
      <vt:variant>
        <vt:i4>81</vt:i4>
      </vt:variant>
      <vt:variant>
        <vt:i4>0</vt:i4>
      </vt:variant>
      <vt:variant>
        <vt:i4>5</vt:i4>
      </vt:variant>
      <vt:variant>
        <vt:lpwstr>imi-internal:M21-1MRI.2.B.6.b</vt:lpwstr>
      </vt:variant>
      <vt:variant>
        <vt:lpwstr/>
      </vt:variant>
      <vt:variant>
        <vt:i4>6619207</vt:i4>
      </vt:variant>
      <vt:variant>
        <vt:i4>75</vt:i4>
      </vt:variant>
      <vt:variant>
        <vt:i4>0</vt:i4>
      </vt:variant>
      <vt:variant>
        <vt:i4>5</vt:i4>
      </vt:variant>
      <vt:variant>
        <vt:lpwstr>http://www.warms.vba.va.gov/regs/38CFR/BOOKB/PART3/S3_105.DOC</vt:lpwstr>
      </vt:variant>
      <vt:variant>
        <vt:lpwstr/>
      </vt:variant>
      <vt:variant>
        <vt:i4>7864367</vt:i4>
      </vt:variant>
      <vt:variant>
        <vt:i4>66</vt:i4>
      </vt:variant>
      <vt:variant>
        <vt:i4>0</vt:i4>
      </vt:variant>
      <vt:variant>
        <vt:i4>5</vt:i4>
      </vt:variant>
      <vt:variant>
        <vt:lpwstr>imi-internal:M21-1MRI.4</vt:lpwstr>
      </vt:variant>
      <vt:variant>
        <vt:lpwstr/>
      </vt:variant>
      <vt:variant>
        <vt:i4>6619207</vt:i4>
      </vt:variant>
      <vt:variant>
        <vt:i4>63</vt:i4>
      </vt:variant>
      <vt:variant>
        <vt:i4>0</vt:i4>
      </vt:variant>
      <vt:variant>
        <vt:i4>5</vt:i4>
      </vt:variant>
      <vt:variant>
        <vt:lpwstr>http://www.warms.vba.va.gov/regs/38CFR/BOOKB/PART3/S3_105.DOC</vt:lpwstr>
      </vt:variant>
      <vt:variant>
        <vt:lpwstr/>
      </vt:variant>
      <vt:variant>
        <vt:i4>6619201</vt:i4>
      </vt:variant>
      <vt:variant>
        <vt:i4>60</vt:i4>
      </vt:variant>
      <vt:variant>
        <vt:i4>0</vt:i4>
      </vt:variant>
      <vt:variant>
        <vt:i4>5</vt:i4>
      </vt:variant>
      <vt:variant>
        <vt:lpwstr>http://www.warms.vba.va.gov/regs/38CFR/BOOKB/PART3/S3_103.DOC</vt:lpwstr>
      </vt:variant>
      <vt:variant>
        <vt:lpwstr/>
      </vt:variant>
      <vt:variant>
        <vt:i4>5636123</vt:i4>
      </vt:variant>
      <vt:variant>
        <vt:i4>51</vt:i4>
      </vt:variant>
      <vt:variant>
        <vt:i4>0</vt:i4>
      </vt:variant>
      <vt:variant>
        <vt:i4>5</vt:i4>
      </vt:variant>
      <vt:variant>
        <vt:lpwstr>imi-internal:M21-1MRI.4.3</vt:lpwstr>
      </vt:variant>
      <vt:variant>
        <vt:lpwstr/>
      </vt:variant>
      <vt:variant>
        <vt:i4>4980808</vt:i4>
      </vt:variant>
      <vt:variant>
        <vt:i4>48</vt:i4>
      </vt:variant>
      <vt:variant>
        <vt:i4>0</vt:i4>
      </vt:variant>
      <vt:variant>
        <vt:i4>5</vt:i4>
      </vt:variant>
      <vt:variant>
        <vt:lpwstr>imi-internal:M21-1MRI.2.D.14</vt:lpwstr>
      </vt:variant>
      <vt:variant>
        <vt:lpwstr/>
      </vt:variant>
      <vt:variant>
        <vt:i4>4849743</vt:i4>
      </vt:variant>
      <vt:variant>
        <vt:i4>45</vt:i4>
      </vt:variant>
      <vt:variant>
        <vt:i4>0</vt:i4>
      </vt:variant>
      <vt:variant>
        <vt:i4>5</vt:i4>
      </vt:variant>
      <vt:variant>
        <vt:lpwstr>imi-internal:M21-1MRI.2.C.12</vt:lpwstr>
      </vt:variant>
      <vt:variant>
        <vt:lpwstr/>
      </vt:variant>
      <vt:variant>
        <vt:i4>4915272</vt:i4>
      </vt:variant>
      <vt:variant>
        <vt:i4>42</vt:i4>
      </vt:variant>
      <vt:variant>
        <vt:i4>0</vt:i4>
      </vt:variant>
      <vt:variant>
        <vt:i4>5</vt:i4>
      </vt:variant>
      <vt:variant>
        <vt:lpwstr>imi-internal:M21-1MRI.2.D.13</vt:lpwstr>
      </vt:variant>
      <vt:variant>
        <vt:lpwstr/>
      </vt:variant>
      <vt:variant>
        <vt:i4>2490407</vt:i4>
      </vt:variant>
      <vt:variant>
        <vt:i4>36</vt:i4>
      </vt:variant>
      <vt:variant>
        <vt:i4>0</vt:i4>
      </vt:variant>
      <vt:variant>
        <vt:i4>5</vt:i4>
      </vt:variant>
      <vt:variant>
        <vt:lpwstr>http://www.gpoaccess.gov/cfr/index.html</vt:lpwstr>
      </vt:variant>
      <vt:variant>
        <vt:lpwstr/>
      </vt:variant>
      <vt:variant>
        <vt:i4>5636171</vt:i4>
      </vt:variant>
      <vt:variant>
        <vt:i4>30</vt:i4>
      </vt:variant>
      <vt:variant>
        <vt:i4>0</vt:i4>
      </vt:variant>
      <vt:variant>
        <vt:i4>5</vt:i4>
      </vt:variant>
      <vt:variant>
        <vt:lpwstr>imi-internal:M21-1MRI.1.C.6.b</vt:lpwstr>
      </vt:variant>
      <vt:variant>
        <vt:lpwstr/>
      </vt:variant>
      <vt:variant>
        <vt:i4>6291531</vt:i4>
      </vt:variant>
      <vt:variant>
        <vt:i4>27</vt:i4>
      </vt:variant>
      <vt:variant>
        <vt:i4>0</vt:i4>
      </vt:variant>
      <vt:variant>
        <vt:i4>5</vt:i4>
      </vt:variant>
      <vt:variant>
        <vt:lpwstr>http://www.warms.vba.va.gov/regs/38CFR/BOOKB/PART3/S3_159.DOC</vt:lpwstr>
      </vt:variant>
      <vt:variant>
        <vt:lpwstr/>
      </vt:variant>
      <vt:variant>
        <vt:i4>5636171</vt:i4>
      </vt:variant>
      <vt:variant>
        <vt:i4>21</vt:i4>
      </vt:variant>
      <vt:variant>
        <vt:i4>0</vt:i4>
      </vt:variant>
      <vt:variant>
        <vt:i4>5</vt:i4>
      </vt:variant>
      <vt:variant>
        <vt:lpwstr>imi-internal:M21-1MRI.1.C.6.b</vt:lpwstr>
      </vt:variant>
      <vt:variant>
        <vt:lpwstr/>
      </vt:variant>
      <vt:variant>
        <vt:i4>6291531</vt:i4>
      </vt:variant>
      <vt:variant>
        <vt:i4>18</vt:i4>
      </vt:variant>
      <vt:variant>
        <vt:i4>0</vt:i4>
      </vt:variant>
      <vt:variant>
        <vt:i4>5</vt:i4>
      </vt:variant>
      <vt:variant>
        <vt:lpwstr>http://www.warms.vba.va.gov/regs/38CFR/BOOKB/PART3/S3_159.DOC</vt:lpwstr>
      </vt:variant>
      <vt:variant>
        <vt:lpwstr/>
      </vt:variant>
      <vt:variant>
        <vt:i4>6619206</vt:i4>
      </vt:variant>
      <vt:variant>
        <vt:i4>12</vt:i4>
      </vt:variant>
      <vt:variant>
        <vt:i4>0</vt:i4>
      </vt:variant>
      <vt:variant>
        <vt:i4>5</vt:i4>
      </vt:variant>
      <vt:variant>
        <vt:lpwstr>http://www.warms.vba.va.gov/regs/38CFR/BOOKB/PART3/S3_500.DOC</vt:lpwstr>
      </vt:variant>
      <vt:variant>
        <vt:lpwstr/>
      </vt:variant>
      <vt:variant>
        <vt:i4>6553666</vt:i4>
      </vt:variant>
      <vt:variant>
        <vt:i4>3</vt:i4>
      </vt:variant>
      <vt:variant>
        <vt:i4>0</vt:i4>
      </vt:variant>
      <vt:variant>
        <vt:i4>5</vt:i4>
      </vt:variant>
      <vt:variant>
        <vt:lpwstr>http://www.warms.vba.va.gov/regs/38CFR/BOOKB/PART3/S3_110.DOC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C.  Adverse Action Proposal Period  (U.S. Department of Veterans Affairs)</dc:title>
  <dc:subject>Due Process</dc:subject>
  <dc:creator>adjatoml</dc:creator>
  <cp:keywords>due, process, adverse, action, proposal</cp:keywords>
  <cp:lastModifiedBy>CAPLMAZA</cp:lastModifiedBy>
  <cp:revision>16</cp:revision>
  <cp:lastPrinted>2011-09-21T15:09:00Z</cp:lastPrinted>
  <dcterms:created xsi:type="dcterms:W3CDTF">2016-02-11T18:02:00Z</dcterms:created>
  <dcterms:modified xsi:type="dcterms:W3CDTF">2016-03-01T18:20:00Z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200410</vt:lpwstr>
  </property>
  <property fmtid="{D5CDD505-2E9C-101B-9397-08002B2CF9AE}" pid="3" name="DateReviewed">
    <vt:lpwstr>20110907</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Posted?">
    <vt:lpwstr/>
  </property>
  <property fmtid="{D5CDD505-2E9C-101B-9397-08002B2CF9AE}" pid="8" name="ContentType">
    <vt:lpwstr>Document</vt:lpwstr>
  </property>
  <property fmtid="{D5CDD505-2E9C-101B-9397-08002B2CF9AE}" pid="9" name="ContentTypeId">
    <vt:lpwstr>0x010100A3776AF772BF364D8E899CBB1EA8E540</vt:lpwstr>
  </property>
  <property fmtid="{D5CDD505-2E9C-101B-9397-08002B2CF9AE}" pid="10" name="Order0">
    <vt:r8>1</vt:r8>
  </property>
</Properties>
</file>