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426A" w14:textId="77777777" w:rsidR="00F52053" w:rsidRPr="00DA267B" w:rsidRDefault="00F52053" w:rsidP="00C15A1F">
      <w:pPr>
        <w:pStyle w:val="Heading2"/>
        <w:spacing w:after="0"/>
      </w:pPr>
      <w:bookmarkStart w:id="0" w:name="_Toc29605355"/>
      <w:bookmarkStart w:id="1" w:name="_Toc29612278"/>
      <w:bookmarkStart w:id="2" w:name="_Toc29612661"/>
      <w:bookmarkStart w:id="3" w:name="_Toc29612872"/>
      <w:bookmarkStart w:id="4" w:name="_Toc29613300"/>
      <w:bookmarkStart w:id="5" w:name="_Toc29614145"/>
      <w:r w:rsidRPr="00DA267B">
        <w:t>Section B</w:t>
      </w:r>
      <w:bookmarkStart w:id="6" w:name="_Toc29605356"/>
      <w:bookmarkStart w:id="7" w:name="_Toc29612279"/>
      <w:bookmarkStart w:id="8" w:name="_Toc29612662"/>
      <w:bookmarkStart w:id="9" w:name="_Toc29612873"/>
      <w:bookmarkEnd w:id="0"/>
      <w:bookmarkEnd w:id="1"/>
      <w:bookmarkEnd w:id="2"/>
      <w:bookmarkEnd w:id="3"/>
      <w:r w:rsidRPr="00DA267B">
        <w:t>.  Notice</w:t>
      </w:r>
      <w:bookmarkEnd w:id="4"/>
      <w:bookmarkEnd w:id="5"/>
      <w:bookmarkEnd w:id="6"/>
      <w:bookmarkEnd w:id="7"/>
      <w:bookmarkEnd w:id="8"/>
      <w:bookmarkEnd w:id="9"/>
      <w:r w:rsidRPr="00DA267B">
        <w:t xml:space="preserve"> of Proposed Adverse Action</w:t>
      </w:r>
    </w:p>
    <w:bookmarkStart w:id="10" w:name="_Toc29605357"/>
    <w:bookmarkStart w:id="11" w:name="_Toc29612280"/>
    <w:bookmarkStart w:id="12" w:name="_Toc29612663"/>
    <w:bookmarkStart w:id="13" w:name="_Toc29612874"/>
    <w:bookmarkStart w:id="14" w:name="_Toc29613301"/>
    <w:bookmarkStart w:id="15" w:name="_Toc29614146"/>
    <w:p w14:paraId="2013426B" w14:textId="77777777" w:rsidR="00F52053" w:rsidRPr="00DA267B" w:rsidRDefault="00F52053" w:rsidP="00C15A1F">
      <w:pPr>
        <w:pStyle w:val="Heading4"/>
        <w:spacing w:after="0"/>
        <w:jc w:val="center"/>
      </w:pPr>
      <w:r w:rsidRPr="00DA267B">
        <w:fldChar w:fldCharType="begin"/>
      </w:r>
      <w:r w:rsidRPr="00DA267B">
        <w:instrText xml:space="preserve"> PRIVATE INFOTYPE="OTHER" </w:instrText>
      </w:r>
      <w:r w:rsidRPr="00DA267B">
        <w:fldChar w:fldCharType="end"/>
      </w:r>
      <w:r w:rsidRPr="00DA267B">
        <w:t>Overview</w:t>
      </w:r>
      <w:bookmarkEnd w:id="10"/>
      <w:bookmarkEnd w:id="11"/>
      <w:bookmarkEnd w:id="12"/>
      <w:bookmarkEnd w:id="13"/>
      <w:bookmarkEnd w:id="14"/>
      <w:bookmarkEnd w:id="15"/>
    </w:p>
    <w:p w14:paraId="2013426C" w14:textId="77777777" w:rsidR="00F52053" w:rsidRPr="00DA267B" w:rsidRDefault="00F5205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26F" w14:textId="77777777">
        <w:trPr>
          <w:cantSplit/>
        </w:trPr>
        <w:tc>
          <w:tcPr>
            <w:tcW w:w="1728" w:type="dxa"/>
          </w:tcPr>
          <w:p w14:paraId="2013426D" w14:textId="3C9B31A4" w:rsidR="00F52053" w:rsidRPr="00DA267B" w:rsidRDefault="00F52053">
            <w:pPr>
              <w:pStyle w:val="Heading5"/>
            </w:pPr>
            <w:r w:rsidRPr="00DA267B">
              <w:t xml:space="preserve">In </w:t>
            </w:r>
            <w:r w:rsidR="00D62A34" w:rsidRPr="00DA267B">
              <w:t>T</w:t>
            </w:r>
            <w:r w:rsidRPr="00DA267B">
              <w:t>his Section</w:t>
            </w:r>
          </w:p>
        </w:tc>
        <w:tc>
          <w:tcPr>
            <w:tcW w:w="7740" w:type="dxa"/>
          </w:tcPr>
          <w:p w14:paraId="2013426E" w14:textId="77777777" w:rsidR="00F52053" w:rsidRPr="00DA267B" w:rsidRDefault="00F52053">
            <w:pPr>
              <w:pStyle w:val="BlockText"/>
            </w:pPr>
            <w:r w:rsidRPr="00DA267B">
              <w:t>This section contains the following topics on the notice of proposed adverse action:</w:t>
            </w:r>
          </w:p>
        </w:tc>
      </w:tr>
    </w:tbl>
    <w:p w14:paraId="20134270" w14:textId="77777777" w:rsidR="00F52053" w:rsidRPr="00DA267B" w:rsidRDefault="00F52053"/>
    <w:tbl>
      <w:tblPr>
        <w:tblW w:w="0" w:type="auto"/>
        <w:tblInd w:w="17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0"/>
        <w:gridCol w:w="6480"/>
      </w:tblGrid>
      <w:tr w:rsidR="00EA3039" w:rsidRPr="00DA267B" w14:paraId="20134274" w14:textId="77777777" w:rsidTr="00332E6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1" w14:textId="77777777" w:rsidR="00EA3039" w:rsidRPr="00DA267B" w:rsidRDefault="00EA3039">
            <w:pPr>
              <w:pStyle w:val="TableHeaderText"/>
              <w:numPr>
                <w:ilvl w:val="12"/>
                <w:numId w:val="0"/>
              </w:numPr>
            </w:pPr>
            <w:r w:rsidRPr="00DA267B">
              <w:t>Topic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2" w14:textId="77777777" w:rsidR="00EA3039" w:rsidRPr="00DA267B" w:rsidRDefault="00EA3039">
            <w:pPr>
              <w:pStyle w:val="TableHeaderText"/>
              <w:numPr>
                <w:ilvl w:val="12"/>
                <w:numId w:val="0"/>
              </w:numPr>
            </w:pPr>
            <w:r w:rsidRPr="00DA267B">
              <w:t>Topic Name</w:t>
            </w:r>
          </w:p>
        </w:tc>
      </w:tr>
      <w:tr w:rsidR="00EA3039" w:rsidRPr="00DA267B" w14:paraId="20134278" w14:textId="77777777" w:rsidTr="00332E6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5" w14:textId="28CC2FA1" w:rsidR="00EA3039" w:rsidRPr="00DA267B" w:rsidRDefault="00EA3039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6" w14:textId="77777777" w:rsidR="00EA3039" w:rsidRPr="00DA267B" w:rsidRDefault="00EA3039">
            <w:pPr>
              <w:pStyle w:val="TableText"/>
              <w:numPr>
                <w:ilvl w:val="12"/>
                <w:numId w:val="0"/>
              </w:numPr>
            </w:pPr>
            <w:r w:rsidRPr="00DA267B">
              <w:t>General Information on the Notice of Proposed Adverse Action</w:t>
            </w:r>
          </w:p>
        </w:tc>
      </w:tr>
      <w:tr w:rsidR="00EA3039" w:rsidRPr="00DA267B" w14:paraId="2013427C" w14:textId="77777777" w:rsidTr="00332E6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9" w14:textId="3C4BFF2B" w:rsidR="00EA3039" w:rsidRPr="00DA267B" w:rsidRDefault="00EA3039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A" w14:textId="77777777" w:rsidR="00EA3039" w:rsidRPr="00DA267B" w:rsidRDefault="00EA3039">
            <w:pPr>
              <w:pStyle w:val="TableText"/>
              <w:numPr>
                <w:ilvl w:val="12"/>
                <w:numId w:val="0"/>
              </w:numPr>
            </w:pPr>
            <w:r w:rsidRPr="00DA267B">
              <w:t>Elements of the Notice of Proposed Adverse Action</w:t>
            </w:r>
          </w:p>
        </w:tc>
      </w:tr>
      <w:tr w:rsidR="00EA3039" w:rsidRPr="00DA267B" w14:paraId="20134280" w14:textId="77777777" w:rsidTr="00332E6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D" w14:textId="4A88D9A1" w:rsidR="00EA3039" w:rsidRPr="00DA267B" w:rsidRDefault="00EA3039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7E" w14:textId="77777777" w:rsidR="00EA3039" w:rsidRPr="00DA267B" w:rsidRDefault="00EA3039">
            <w:pPr>
              <w:pStyle w:val="TableText"/>
              <w:numPr>
                <w:ilvl w:val="12"/>
                <w:numId w:val="0"/>
              </w:numPr>
            </w:pPr>
            <w:r w:rsidRPr="00DA267B">
              <w:t>Process for Proposing an Adverse Action</w:t>
            </w:r>
          </w:p>
        </w:tc>
      </w:tr>
      <w:tr w:rsidR="00EA3039" w:rsidRPr="00DA267B" w14:paraId="20134288" w14:textId="77777777" w:rsidTr="00332E6B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85" w14:textId="7F11DA7D" w:rsidR="00EA3039" w:rsidRPr="00DA267B" w:rsidRDefault="009C43B3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4</w:t>
            </w:r>
            <w:r w:rsidR="00EA3039" w:rsidRPr="00DA267B"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286" w14:textId="77777777" w:rsidR="00EA3039" w:rsidRPr="00DA267B" w:rsidRDefault="00EA3039">
            <w:pPr>
              <w:pStyle w:val="TableText"/>
              <w:numPr>
                <w:ilvl w:val="12"/>
                <w:numId w:val="0"/>
              </w:numPr>
            </w:pPr>
            <w:r w:rsidRPr="00DA267B">
              <w:t>Where to Find Other Topics Specific to Due Process</w:t>
            </w:r>
          </w:p>
        </w:tc>
      </w:tr>
    </w:tbl>
    <w:p w14:paraId="20134289" w14:textId="77777777" w:rsidR="00F52053" w:rsidRPr="00DA267B" w:rsidRDefault="00F52053">
      <w:pPr>
        <w:pStyle w:val="BlockLine"/>
      </w:pPr>
    </w:p>
    <w:p w14:paraId="2013428A" w14:textId="4B06BD27" w:rsidR="00F52053" w:rsidRPr="00DA267B" w:rsidRDefault="00F52053">
      <w:pPr>
        <w:pStyle w:val="Heading4"/>
      </w:pPr>
      <w:r w:rsidRPr="00DA267B">
        <w:br w:type="page"/>
      </w:r>
      <w:bookmarkStart w:id="16" w:name="_Toc29605358"/>
      <w:bookmarkStart w:id="17" w:name="_Toc29612281"/>
      <w:bookmarkStart w:id="18" w:name="_Toc29612664"/>
      <w:bookmarkStart w:id="19" w:name="_Toc29612875"/>
      <w:bookmarkStart w:id="20" w:name="_Toc29613302"/>
      <w:bookmarkStart w:id="21" w:name="_Toc29614147"/>
      <w:r w:rsidR="00FC1096" w:rsidRPr="00DA267B">
        <w:lastRenderedPageBreak/>
        <w:t>1</w:t>
      </w:r>
      <w:r w:rsidRPr="00DA267B">
        <w:t>.  General Information on the Notice</w:t>
      </w:r>
      <w:bookmarkEnd w:id="16"/>
      <w:bookmarkEnd w:id="17"/>
      <w:bookmarkEnd w:id="18"/>
      <w:bookmarkEnd w:id="19"/>
      <w:bookmarkEnd w:id="20"/>
      <w:bookmarkEnd w:id="21"/>
      <w:r w:rsidRPr="00DA267B">
        <w:t xml:space="preserve"> of Proposed Adverse Action</w:t>
      </w:r>
    </w:p>
    <w:p w14:paraId="2013428B" w14:textId="77777777" w:rsidR="00F52053" w:rsidRPr="00DA267B" w:rsidRDefault="00F52053">
      <w:pPr>
        <w:pStyle w:val="BlockLine"/>
        <w:numPr>
          <w:ilvl w:val="12"/>
          <w:numId w:val="0"/>
        </w:numPr>
        <w:ind w:left="1700"/>
      </w:pPr>
      <w:r w:rsidRPr="00DA267B">
        <w:fldChar w:fldCharType="begin"/>
      </w:r>
      <w:r w:rsidRPr="00DA267B">
        <w:instrText xml:space="preserve"> PRIVATE INFOTYPE="OTHER"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295" w14:textId="77777777">
        <w:trPr>
          <w:cantSplit/>
        </w:trPr>
        <w:tc>
          <w:tcPr>
            <w:tcW w:w="1728" w:type="dxa"/>
          </w:tcPr>
          <w:p w14:paraId="2013428C" w14:textId="77777777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>Introduction</w:t>
            </w:r>
          </w:p>
        </w:tc>
        <w:tc>
          <w:tcPr>
            <w:tcW w:w="7740" w:type="dxa"/>
          </w:tcPr>
          <w:p w14:paraId="2013428D" w14:textId="7777777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>This topic contains general information on the notice of proposed adverse action, including</w:t>
            </w:r>
          </w:p>
          <w:p w14:paraId="2013428E" w14:textId="7777777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</w:p>
          <w:p w14:paraId="2013428F" w14:textId="77777777" w:rsidR="00F52053" w:rsidRPr="00DA267B" w:rsidRDefault="00F52053">
            <w:pPr>
              <w:pStyle w:val="BulletText1"/>
            </w:pPr>
            <w:r w:rsidRPr="00DA267B">
              <w:t>benefit changes requiring a notice of proposed adverse action</w:t>
            </w:r>
          </w:p>
          <w:p w14:paraId="20134290" w14:textId="38B7B141" w:rsidR="00F52053" w:rsidRPr="00DA267B" w:rsidRDefault="00F52053">
            <w:pPr>
              <w:pStyle w:val="BulletText1"/>
            </w:pPr>
            <w:r w:rsidRPr="00DA267B">
              <w:t>requirement of notice</w:t>
            </w:r>
            <w:r w:rsidR="003C4728" w:rsidRPr="00DA267B">
              <w:t xml:space="preserve"> for a proposed adverse action</w:t>
            </w:r>
          </w:p>
          <w:p w14:paraId="20134292" w14:textId="77777777" w:rsidR="00F52053" w:rsidRPr="00DA267B" w:rsidRDefault="00F52053">
            <w:pPr>
              <w:pStyle w:val="BulletText1"/>
            </w:pPr>
            <w:r w:rsidRPr="00DA267B">
              <w:t>proposed rating or administrative action</w:t>
            </w:r>
          </w:p>
          <w:p w14:paraId="20134293" w14:textId="1A0C04F0" w:rsidR="00F52053" w:rsidRPr="00DA267B" w:rsidRDefault="00F52053">
            <w:pPr>
              <w:pStyle w:val="BulletText1"/>
            </w:pPr>
            <w:r w:rsidRPr="00DA267B">
              <w:t xml:space="preserve">exemptions for temporary and delimited ratings </w:t>
            </w:r>
          </w:p>
          <w:p w14:paraId="73DDC978" w14:textId="4F252D7E" w:rsidR="009A6133" w:rsidRPr="00DA267B" w:rsidRDefault="00F52053" w:rsidP="009A6133">
            <w:pPr>
              <w:pStyle w:val="BulletText1"/>
            </w:pPr>
            <w:r w:rsidRPr="00DA267B">
              <w:t>requests for apportionment</w:t>
            </w:r>
            <w:r w:rsidR="006913CD" w:rsidRPr="00DA267B">
              <w:t xml:space="preserve"> requiring a notice of proposed adverse action</w:t>
            </w:r>
            <w:r w:rsidR="009A6133" w:rsidRPr="00DA267B">
              <w:t>, and</w:t>
            </w:r>
          </w:p>
          <w:p w14:paraId="20134294" w14:textId="240F0332" w:rsidR="00F52053" w:rsidRPr="00DA267B" w:rsidRDefault="009A6133" w:rsidP="009F667B">
            <w:pPr>
              <w:pStyle w:val="BulletText1"/>
            </w:pPr>
            <w:r w:rsidRPr="00DA267B">
              <w:t xml:space="preserve">proposed incompetency </w:t>
            </w:r>
            <w:r w:rsidR="009F667B" w:rsidRPr="00DA267B">
              <w:t>determinations</w:t>
            </w:r>
            <w:r w:rsidRPr="00DA267B">
              <w:t>.</w:t>
            </w:r>
          </w:p>
        </w:tc>
      </w:tr>
    </w:tbl>
    <w:p w14:paraId="20134296" w14:textId="77777777" w:rsidR="00F52053" w:rsidRPr="00DA267B" w:rsidRDefault="00F52053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299" w14:textId="77777777">
        <w:trPr>
          <w:cantSplit/>
        </w:trPr>
        <w:tc>
          <w:tcPr>
            <w:tcW w:w="1728" w:type="dxa"/>
          </w:tcPr>
          <w:p w14:paraId="20134297" w14:textId="77777777" w:rsidR="00F52053" w:rsidRPr="00DA267B" w:rsidRDefault="00F52053">
            <w:pPr>
              <w:pStyle w:val="Heading5"/>
            </w:pPr>
            <w:r w:rsidRPr="00DA267B">
              <w:t>Change Date</w:t>
            </w:r>
          </w:p>
        </w:tc>
        <w:tc>
          <w:tcPr>
            <w:tcW w:w="7740" w:type="dxa"/>
          </w:tcPr>
          <w:p w14:paraId="20134298" w14:textId="39DF7545" w:rsidR="00F52053" w:rsidRPr="00DA267B" w:rsidRDefault="00B1793A">
            <w:pPr>
              <w:pStyle w:val="BlockText"/>
            </w:pPr>
            <w:r w:rsidRPr="00DA267B">
              <w:t>April 21, 2015</w:t>
            </w:r>
          </w:p>
        </w:tc>
      </w:tr>
    </w:tbl>
    <w:p w14:paraId="2013429A" w14:textId="77777777" w:rsidR="00F52053" w:rsidRPr="00DA267B" w:rsidRDefault="00D37058">
      <w:pPr>
        <w:pStyle w:val="BlockLine"/>
      </w:pPr>
      <w:r w:rsidRPr="00DA267B">
        <w:fldChar w:fldCharType="begin"/>
      </w:r>
      <w:r w:rsidRPr="00DA267B">
        <w:instrText xml:space="preserve"> PRIVATE INFOTYPE="PRINCIPLE"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2A1" w14:textId="77777777">
        <w:trPr>
          <w:cantSplit/>
        </w:trPr>
        <w:tc>
          <w:tcPr>
            <w:tcW w:w="1728" w:type="dxa"/>
          </w:tcPr>
          <w:p w14:paraId="2013429B" w14:textId="1489D622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>a.  Benefit Changes  Requiring a Notice of Proposed Adverse Action</w:t>
            </w:r>
          </w:p>
        </w:tc>
        <w:tc>
          <w:tcPr>
            <w:tcW w:w="7740" w:type="dxa"/>
          </w:tcPr>
          <w:p w14:paraId="0162757A" w14:textId="022F22ED" w:rsidR="00077C6B" w:rsidRPr="00DA267B" w:rsidRDefault="00077C6B">
            <w:pPr>
              <w:pStyle w:val="BlockText"/>
              <w:numPr>
                <w:ilvl w:val="12"/>
                <w:numId w:val="0"/>
              </w:numPr>
            </w:pPr>
            <w:r w:rsidRPr="00DA267B">
              <w:t xml:space="preserve">Except as otherwise provided in </w:t>
            </w:r>
            <w:hyperlink r:id="rId12" w:history="1">
              <w:r w:rsidRPr="00DA267B">
                <w:rPr>
                  <w:rStyle w:val="Hyperlink"/>
                </w:rPr>
                <w:t>38 CFR 3.103(b)(3)</w:t>
              </w:r>
            </w:hyperlink>
            <w:r w:rsidRPr="00DA267B">
              <w:t>, no award of compensation, pension or dependency and indemnity compensation</w:t>
            </w:r>
            <w:r w:rsidR="00DA3ECA" w:rsidRPr="00DA267B">
              <w:t xml:space="preserve"> (DIC)</w:t>
            </w:r>
            <w:r w:rsidRPr="00DA267B">
              <w:t xml:space="preserve"> shall be terminated, reduced or otherwise adversely affected unless the beneficiary has been notified of </w:t>
            </w:r>
            <w:r w:rsidR="009F0922" w:rsidRPr="00DA267B">
              <w:t>the proposed</w:t>
            </w:r>
            <w:r w:rsidRPr="00DA267B">
              <w:t xml:space="preserve"> adverse action and has been provided a period of 60 days in which to submit evidence for the purpose of showing the adverse action should not be taken.</w:t>
            </w:r>
          </w:p>
          <w:p w14:paraId="3840F697" w14:textId="77777777" w:rsidR="00077C6B" w:rsidRPr="00DA267B" w:rsidRDefault="00077C6B">
            <w:pPr>
              <w:pStyle w:val="BlockText"/>
              <w:numPr>
                <w:ilvl w:val="12"/>
                <w:numId w:val="0"/>
              </w:numPr>
            </w:pPr>
          </w:p>
          <w:p w14:paraId="2013429C" w14:textId="0A997FD5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>Generally, VA must send the beneficiary</w:t>
            </w:r>
            <w:r w:rsidR="00CF398D" w:rsidRPr="00DA267B">
              <w:t>, fiduciary (if applicable),</w:t>
            </w:r>
            <w:r w:rsidRPr="00DA267B">
              <w:t xml:space="preserve"> and his/her representative (if any) a notice of proposed adverse action prior to taking any unfavorable action affecting his/her benefits, including</w:t>
            </w:r>
            <w:r w:rsidR="00077C6B" w:rsidRPr="00DA267B">
              <w:t>, but not limited to</w:t>
            </w:r>
          </w:p>
          <w:p w14:paraId="2013429D" w14:textId="023D368D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</w:p>
          <w:p w14:paraId="2013429E" w14:textId="77777777" w:rsidR="00F52053" w:rsidRPr="00DA267B" w:rsidRDefault="00F52053">
            <w:pPr>
              <w:pStyle w:val="BulletText1"/>
            </w:pPr>
            <w:r w:rsidRPr="00DA267B">
              <w:t xml:space="preserve">reductions </w:t>
            </w:r>
          </w:p>
          <w:p w14:paraId="2013429F" w14:textId="1597E106" w:rsidR="00F52053" w:rsidRPr="00DA267B" w:rsidRDefault="00F52053">
            <w:pPr>
              <w:pStyle w:val="BulletText1"/>
            </w:pPr>
            <w:r w:rsidRPr="00DA267B">
              <w:t>suspensions</w:t>
            </w:r>
          </w:p>
          <w:p w14:paraId="0FCF342A" w14:textId="77777777" w:rsidR="00077C6B" w:rsidRPr="00DA267B" w:rsidRDefault="00F52053">
            <w:pPr>
              <w:pStyle w:val="BulletText1"/>
            </w:pPr>
            <w:r w:rsidRPr="00DA267B">
              <w:t>terminations</w:t>
            </w:r>
          </w:p>
          <w:p w14:paraId="7529B5E8" w14:textId="6EFA5D2B" w:rsidR="00077C6B" w:rsidRPr="00DA267B" w:rsidRDefault="00077C6B" w:rsidP="00077C6B">
            <w:pPr>
              <w:pStyle w:val="BulletText1"/>
            </w:pPr>
            <w:r w:rsidRPr="00DA267B">
              <w:t>severance</w:t>
            </w:r>
            <w:r w:rsidR="00467F81" w:rsidRPr="00DA267B">
              <w:t xml:space="preserve"> of benefits</w:t>
            </w:r>
          </w:p>
          <w:p w14:paraId="5C347C0B" w14:textId="4BD11BC9" w:rsidR="00077C6B" w:rsidRPr="00DA267B" w:rsidRDefault="00077C6B" w:rsidP="00077C6B">
            <w:pPr>
              <w:pStyle w:val="BulletText1"/>
            </w:pPr>
            <w:r w:rsidRPr="00DA267B">
              <w:t>apportionment</w:t>
            </w:r>
            <w:r w:rsidR="003337C7" w:rsidRPr="00DA267B">
              <w:t>s</w:t>
            </w:r>
            <w:r w:rsidRPr="00DA267B">
              <w:t>, and</w:t>
            </w:r>
          </w:p>
          <w:p w14:paraId="64878816" w14:textId="0DB7EBA0" w:rsidR="00077C6B" w:rsidRPr="00DA267B" w:rsidRDefault="00467F81" w:rsidP="00077C6B">
            <w:pPr>
              <w:pStyle w:val="BulletText1"/>
            </w:pPr>
            <w:r w:rsidRPr="00DA267B">
              <w:t>competency determinations</w:t>
            </w:r>
            <w:r w:rsidR="00922E50" w:rsidRPr="00DA267B">
              <w:t>.</w:t>
            </w:r>
          </w:p>
          <w:p w14:paraId="3E7CA8E1" w14:textId="77777777" w:rsidR="00077C6B" w:rsidRPr="00DA267B" w:rsidRDefault="00077C6B" w:rsidP="00EE008E">
            <w:pPr>
              <w:pStyle w:val="BulletText1"/>
              <w:numPr>
                <w:ilvl w:val="0"/>
                <w:numId w:val="0"/>
              </w:numPr>
              <w:ind w:left="187"/>
            </w:pPr>
          </w:p>
          <w:p w14:paraId="201342A0" w14:textId="20E8AA86" w:rsidR="00F52053" w:rsidRPr="00DA267B" w:rsidRDefault="00EA3039" w:rsidP="007A337B">
            <w:pPr>
              <w:pStyle w:val="BlockText"/>
            </w:pPr>
            <w:bookmarkStart w:id="22" w:name="SelHere"/>
            <w:r w:rsidRPr="00DA267B">
              <w:rPr>
                <w:b/>
                <w:i/>
              </w:rPr>
              <w:t>Reference</w:t>
            </w:r>
            <w:r w:rsidR="00077C6B" w:rsidRPr="00DA267B">
              <w:t xml:space="preserve">:  For </w:t>
            </w:r>
            <w:r w:rsidR="00513039" w:rsidRPr="00DA267B">
              <w:t xml:space="preserve">a </w:t>
            </w:r>
            <w:r w:rsidR="004F3272" w:rsidRPr="00DA267B">
              <w:t>list of references specific to due process</w:t>
            </w:r>
            <w:r w:rsidR="001229D8" w:rsidRPr="00DA267B">
              <w:t xml:space="preserve">, see M21-1, Part I, </w:t>
            </w:r>
            <w:r w:rsidR="00FF2DD2" w:rsidRPr="00DA267B">
              <w:t>2.B.</w:t>
            </w:r>
            <w:r w:rsidR="009C43B3" w:rsidRPr="00DA267B">
              <w:t>4</w:t>
            </w:r>
            <w:bookmarkEnd w:id="22"/>
            <w:r w:rsidR="008F456E" w:rsidRPr="00DA267B">
              <w:t>.</w:t>
            </w:r>
          </w:p>
        </w:tc>
      </w:tr>
    </w:tbl>
    <w:p w14:paraId="150CBAEC" w14:textId="4E27A59E" w:rsidR="002E6D81" w:rsidRPr="00DA267B" w:rsidRDefault="002E6D8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E6D81" w:rsidRPr="00DA267B" w14:paraId="7B5E5609" w14:textId="395BDD86" w:rsidTr="002E6D81">
        <w:trPr>
          <w:cantSplit/>
        </w:trPr>
        <w:tc>
          <w:tcPr>
            <w:tcW w:w="1728" w:type="dxa"/>
          </w:tcPr>
          <w:p w14:paraId="1A5DF92E" w14:textId="152C9AE0" w:rsidR="002E6D81" w:rsidRPr="00DA267B" w:rsidRDefault="002E6D81" w:rsidP="002E6D81">
            <w:pPr>
              <w:pStyle w:val="Heading5"/>
              <w:numPr>
                <w:ilvl w:val="12"/>
                <w:numId w:val="0"/>
              </w:numPr>
            </w:pPr>
            <w:r w:rsidRPr="00DA267B">
              <w:lastRenderedPageBreak/>
              <w:t>b.  Requirement of Notice</w:t>
            </w:r>
            <w:r w:rsidR="00CD2B69" w:rsidRPr="00DA267B">
              <w:t xml:space="preserve"> for a Proposed Adverse Action</w:t>
            </w:r>
          </w:p>
        </w:tc>
        <w:tc>
          <w:tcPr>
            <w:tcW w:w="7740" w:type="dxa"/>
          </w:tcPr>
          <w:p w14:paraId="222D0E50" w14:textId="1A20FFB1" w:rsidR="002E6D81" w:rsidRPr="00DA267B" w:rsidRDefault="002E6D81" w:rsidP="002E6D81">
            <w:pPr>
              <w:pStyle w:val="BlockText"/>
              <w:numPr>
                <w:ilvl w:val="12"/>
                <w:numId w:val="0"/>
              </w:numPr>
            </w:pPr>
            <w:r w:rsidRPr="00DA267B">
              <w:t xml:space="preserve">A notice of proposed adverse action is required when VA proposes an action based upon third party information that could adversely affect the payment of benefits.   </w:t>
            </w:r>
          </w:p>
          <w:p w14:paraId="358ADA2C" w14:textId="421054C0" w:rsidR="002E6D81" w:rsidRPr="00DA267B" w:rsidRDefault="002E6D81" w:rsidP="002E6D81">
            <w:pPr>
              <w:pStyle w:val="BlockText"/>
              <w:numPr>
                <w:ilvl w:val="12"/>
                <w:numId w:val="0"/>
              </w:numPr>
            </w:pPr>
          </w:p>
          <w:p w14:paraId="435EE8D3" w14:textId="37DAFBE5" w:rsidR="002961A1" w:rsidRPr="00DA267B" w:rsidRDefault="002E6D81" w:rsidP="002E6D81">
            <w:pPr>
              <w:pStyle w:val="BlockText"/>
              <w:numPr>
                <w:ilvl w:val="12"/>
                <w:numId w:val="0"/>
              </w:numPr>
            </w:pPr>
            <w:r w:rsidRPr="00DA267B">
              <w:rPr>
                <w:b/>
                <w:i/>
              </w:rPr>
              <w:t>References</w:t>
            </w:r>
            <w:r w:rsidRPr="00DA267B">
              <w:t>:</w:t>
            </w:r>
            <w:r w:rsidR="003D2D66" w:rsidRPr="00DA267B">
              <w:t xml:space="preserve">  For more information on</w:t>
            </w:r>
          </w:p>
          <w:p w14:paraId="2AE08BEC" w14:textId="068C8DBD" w:rsidR="002E6D81" w:rsidRPr="00DA267B" w:rsidRDefault="002E6D81" w:rsidP="00A07CAC">
            <w:pPr>
              <w:pStyle w:val="ListParagraph"/>
              <w:numPr>
                <w:ilvl w:val="0"/>
                <w:numId w:val="7"/>
              </w:numPr>
              <w:ind w:left="158" w:hanging="187"/>
            </w:pPr>
            <w:r w:rsidRPr="00DA267B">
              <w:t xml:space="preserve">sending a notice of proposed adverse action, see </w:t>
            </w:r>
          </w:p>
          <w:p w14:paraId="0364B095" w14:textId="48DCC8DC" w:rsidR="002E6D81" w:rsidRPr="00DA267B" w:rsidRDefault="007A337B" w:rsidP="00A07CAC">
            <w:pPr>
              <w:pStyle w:val="ListParagraph"/>
              <w:numPr>
                <w:ilvl w:val="0"/>
                <w:numId w:val="6"/>
              </w:numPr>
              <w:ind w:left="346" w:hanging="187"/>
            </w:pPr>
            <w:r w:rsidRPr="00DA267B">
              <w:t>M21-1, Part I, 2.B.3</w:t>
            </w:r>
          </w:p>
          <w:p w14:paraId="1AE888B4" w14:textId="59127F3B" w:rsidR="002961A1" w:rsidRPr="00DA267B" w:rsidRDefault="007A337B" w:rsidP="00A07CAC">
            <w:pPr>
              <w:pStyle w:val="ListParagraph"/>
              <w:numPr>
                <w:ilvl w:val="0"/>
                <w:numId w:val="6"/>
              </w:numPr>
              <w:ind w:left="346" w:hanging="187"/>
            </w:pPr>
            <w:r w:rsidRPr="00DA267B">
              <w:t>M21-1, Part I, 2.B.4</w:t>
            </w:r>
            <w:r w:rsidR="002961A1" w:rsidRPr="00DA267B">
              <w:t>, and</w:t>
            </w:r>
          </w:p>
          <w:p w14:paraId="48D7016C" w14:textId="7DB9E3E0" w:rsidR="002E6D81" w:rsidRPr="00DA267B" w:rsidRDefault="002961A1" w:rsidP="00A07CAC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DA267B">
              <w:t>the definition of third party information, see M21-1, Part I, 2.A.1.d</w:t>
            </w:r>
            <w:r w:rsidR="00160D5C" w:rsidRPr="00DA267B">
              <w:t>.</w:t>
            </w:r>
          </w:p>
        </w:tc>
      </w:tr>
    </w:tbl>
    <w:p w14:paraId="201342DD" w14:textId="60F75290" w:rsidR="00F52053" w:rsidRPr="00DA267B" w:rsidRDefault="00F5205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2E2" w14:textId="77777777">
        <w:trPr>
          <w:cantSplit/>
        </w:trPr>
        <w:tc>
          <w:tcPr>
            <w:tcW w:w="1728" w:type="dxa"/>
          </w:tcPr>
          <w:p w14:paraId="201342DE" w14:textId="0B27517B" w:rsidR="00F52053" w:rsidRPr="00DA267B" w:rsidRDefault="002961A1">
            <w:pPr>
              <w:pStyle w:val="Heading5"/>
              <w:numPr>
                <w:ilvl w:val="12"/>
                <w:numId w:val="0"/>
              </w:numPr>
            </w:pPr>
            <w:r w:rsidRPr="00DA267B">
              <w:t>c</w:t>
            </w:r>
            <w:r w:rsidR="00F52053" w:rsidRPr="00DA267B">
              <w:t xml:space="preserve">.  Proposed Rating or Administrative Action </w:t>
            </w:r>
          </w:p>
        </w:tc>
        <w:tc>
          <w:tcPr>
            <w:tcW w:w="7740" w:type="dxa"/>
          </w:tcPr>
          <w:p w14:paraId="201342DF" w14:textId="7E6D9620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 xml:space="preserve">A notice of proposed adverse action is required when benefits are being reduced or terminated based on a rating or administrative action.    </w:t>
            </w:r>
          </w:p>
          <w:p w14:paraId="201342E0" w14:textId="7777777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</w:p>
          <w:p w14:paraId="28C4886A" w14:textId="79297665" w:rsidR="00351685" w:rsidRPr="00DA267B" w:rsidRDefault="007A337B" w:rsidP="00351685">
            <w:pPr>
              <w:pStyle w:val="BlockText"/>
              <w:numPr>
                <w:ilvl w:val="12"/>
                <w:numId w:val="0"/>
              </w:numPr>
            </w:pPr>
            <w:r w:rsidRPr="00DA267B">
              <w:t>E</w:t>
            </w:r>
            <w:r w:rsidR="00F52053" w:rsidRPr="00DA267B">
              <w:t xml:space="preserve">xamples of cases </w:t>
            </w:r>
            <w:r w:rsidR="00C25785" w:rsidRPr="00DA267B">
              <w:t xml:space="preserve">for which </w:t>
            </w:r>
            <w:r w:rsidR="00F52053" w:rsidRPr="00DA267B">
              <w:t xml:space="preserve">benefits may possibly be reduced based on a rating </w:t>
            </w:r>
            <w:r w:rsidR="00E61A1B" w:rsidRPr="00DA267B">
              <w:t xml:space="preserve">action </w:t>
            </w:r>
            <w:r w:rsidR="00F52053" w:rsidRPr="00DA267B">
              <w:t>or an administrative decision</w:t>
            </w:r>
            <w:r w:rsidRPr="00DA267B">
              <w:t xml:space="preserve"> include</w:t>
            </w:r>
          </w:p>
          <w:p w14:paraId="34DC270B" w14:textId="72D1A08F" w:rsidR="00F52053" w:rsidRPr="00DA267B" w:rsidRDefault="00F52053" w:rsidP="00351685">
            <w:pPr>
              <w:pStyle w:val="BlockText"/>
              <w:numPr>
                <w:ilvl w:val="12"/>
                <w:numId w:val="0"/>
              </w:numPr>
            </w:pPr>
          </w:p>
          <w:p w14:paraId="6B36E7AC" w14:textId="34E1B699" w:rsidR="00351685" w:rsidRPr="00DA267B" w:rsidRDefault="00514D8A" w:rsidP="00A07CAC">
            <w:pPr>
              <w:pStyle w:val="ListParagraph"/>
              <w:numPr>
                <w:ilvl w:val="0"/>
                <w:numId w:val="3"/>
              </w:numPr>
              <w:ind w:left="158" w:hanging="187"/>
            </w:pPr>
            <w:r w:rsidRPr="00DA267B">
              <w:t xml:space="preserve">reduction in evaluation of a service-connected </w:t>
            </w:r>
            <w:r w:rsidR="00DC4E93" w:rsidRPr="00DA267B">
              <w:t xml:space="preserve">(SC) </w:t>
            </w:r>
            <w:r w:rsidRPr="00DA267B">
              <w:t>disability</w:t>
            </w:r>
          </w:p>
          <w:p w14:paraId="1E307745" w14:textId="4A7DDFBB" w:rsidR="00351685" w:rsidRPr="00DA267B" w:rsidRDefault="00514D8A" w:rsidP="00A07CAC">
            <w:pPr>
              <w:pStyle w:val="ListParagraph"/>
              <w:numPr>
                <w:ilvl w:val="0"/>
                <w:numId w:val="3"/>
              </w:numPr>
              <w:ind w:left="158" w:hanging="187"/>
            </w:pPr>
            <w:r w:rsidRPr="00DA267B">
              <w:t>discontinuance of unemployability</w:t>
            </w:r>
          </w:p>
          <w:p w14:paraId="5ACA6EAA" w14:textId="55A01715" w:rsidR="00351685" w:rsidRPr="00DA267B" w:rsidRDefault="00514D8A" w:rsidP="00A07CAC">
            <w:pPr>
              <w:pStyle w:val="ListParagraph"/>
              <w:numPr>
                <w:ilvl w:val="0"/>
                <w:numId w:val="3"/>
              </w:numPr>
              <w:ind w:left="158" w:hanging="187"/>
            </w:pPr>
            <w:r w:rsidRPr="00DA267B">
              <w:t>severance of service connection</w:t>
            </w:r>
          </w:p>
          <w:p w14:paraId="129DDFC1" w14:textId="67AB9A47" w:rsidR="00351685" w:rsidRPr="00DA267B" w:rsidRDefault="00514D8A" w:rsidP="00A07CAC">
            <w:pPr>
              <w:pStyle w:val="ListParagraph"/>
              <w:numPr>
                <w:ilvl w:val="0"/>
                <w:numId w:val="3"/>
              </w:numPr>
              <w:ind w:left="158" w:hanging="187"/>
            </w:pPr>
            <w:r w:rsidRPr="00DA267B">
              <w:t>benefits erroneously awarded because of</w:t>
            </w:r>
          </w:p>
          <w:p w14:paraId="3339CF1D" w14:textId="77777777" w:rsidR="00351685" w:rsidRPr="00DA267B" w:rsidRDefault="00351685" w:rsidP="00A07CAC">
            <w:pPr>
              <w:pStyle w:val="ListParagraph"/>
              <w:numPr>
                <w:ilvl w:val="0"/>
                <w:numId w:val="4"/>
              </w:numPr>
              <w:ind w:left="346" w:hanging="187"/>
            </w:pPr>
            <w:r w:rsidRPr="00DA267B">
              <w:t>an administrative error, or</w:t>
            </w:r>
          </w:p>
          <w:p w14:paraId="7D0DD9D4" w14:textId="6C7C2A99" w:rsidR="00351685" w:rsidRPr="00DA267B" w:rsidRDefault="00351685" w:rsidP="00A07CAC">
            <w:pPr>
              <w:pStyle w:val="ListParagraph"/>
              <w:numPr>
                <w:ilvl w:val="0"/>
                <w:numId w:val="4"/>
              </w:numPr>
              <w:ind w:left="346" w:hanging="187"/>
            </w:pPr>
            <w:r w:rsidRPr="00DA267B">
              <w:t>error in judgment</w:t>
            </w:r>
            <w:r w:rsidR="00922E50" w:rsidRPr="00DA267B">
              <w:t>.</w:t>
            </w:r>
          </w:p>
          <w:p w14:paraId="62B8B484" w14:textId="77777777" w:rsidR="00351685" w:rsidRPr="00DA267B" w:rsidRDefault="00351685" w:rsidP="00C25785"/>
          <w:p w14:paraId="201342E1" w14:textId="30919B1F" w:rsidR="00351685" w:rsidRPr="00DA267B" w:rsidRDefault="00467F81" w:rsidP="002025B0">
            <w:r w:rsidRPr="00DA267B">
              <w:rPr>
                <w:b/>
                <w:i/>
              </w:rPr>
              <w:t>Reference</w:t>
            </w:r>
            <w:r w:rsidRPr="00DA267B">
              <w:t>:</w:t>
            </w:r>
            <w:r w:rsidRPr="00DA267B">
              <w:rPr>
                <w:b/>
              </w:rPr>
              <w:t xml:space="preserve">  </w:t>
            </w:r>
            <w:r w:rsidRPr="00DA267B">
              <w:t xml:space="preserve">For </w:t>
            </w:r>
            <w:r w:rsidR="00513039" w:rsidRPr="00DA267B">
              <w:t xml:space="preserve">a </w:t>
            </w:r>
            <w:r w:rsidRPr="00DA267B">
              <w:t>list of references specific to due process, see M21-1, Part I, 2.B.</w:t>
            </w:r>
            <w:r w:rsidR="009C43B3" w:rsidRPr="00DA267B">
              <w:t>4</w:t>
            </w:r>
            <w:r w:rsidRPr="00DA267B">
              <w:t>.</w:t>
            </w:r>
          </w:p>
        </w:tc>
      </w:tr>
    </w:tbl>
    <w:p w14:paraId="6B37D1E6" w14:textId="77777777" w:rsidR="00393B83" w:rsidRPr="00DA267B" w:rsidRDefault="00393B83" w:rsidP="00393B83">
      <w:pPr>
        <w:numPr>
          <w:ilvl w:val="12"/>
          <w:numId w:val="0"/>
        </w:numPr>
      </w:pPr>
    </w:p>
    <w:p w14:paraId="099748D9" w14:textId="062E3DE4" w:rsidR="00B50BD7" w:rsidRPr="00DA267B" w:rsidRDefault="00B50BD7" w:rsidP="00B50BD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50BD7" w:rsidRPr="00DA267B" w14:paraId="154EC6E2" w14:textId="77777777" w:rsidTr="00B50BD7">
        <w:tc>
          <w:tcPr>
            <w:tcW w:w="1728" w:type="dxa"/>
            <w:shd w:val="clear" w:color="auto" w:fill="auto"/>
          </w:tcPr>
          <w:p w14:paraId="301EE888" w14:textId="5BD32905" w:rsidR="00B50BD7" w:rsidRPr="00DA267B" w:rsidRDefault="00B50BD7" w:rsidP="005E2B2A">
            <w:pPr>
              <w:pStyle w:val="Heading5"/>
            </w:pPr>
            <w:r w:rsidRPr="00DA267B">
              <w:rPr>
                <w:szCs w:val="22"/>
              </w:rPr>
              <w:t>d.</w:t>
            </w:r>
            <w:r w:rsidRPr="00DA267B">
              <w:rPr>
                <w:sz w:val="24"/>
                <w:szCs w:val="24"/>
              </w:rPr>
              <w:t xml:space="preserve">  </w:t>
            </w:r>
            <w:r w:rsidR="005E2B2A" w:rsidRPr="00DA267B">
              <w:rPr>
                <w:szCs w:val="24"/>
              </w:rPr>
              <w:t>Exemptions</w:t>
            </w:r>
            <w:r w:rsidRPr="00DA267B">
              <w:rPr>
                <w:szCs w:val="24"/>
              </w:rPr>
              <w:t xml:space="preserve"> for Temporary</w:t>
            </w:r>
            <w:r w:rsidR="005E2B2A" w:rsidRPr="00DA267B">
              <w:rPr>
                <w:szCs w:val="24"/>
              </w:rPr>
              <w:t xml:space="preserve"> and Delimited</w:t>
            </w:r>
            <w:r w:rsidRPr="00DA267B">
              <w:rPr>
                <w:szCs w:val="24"/>
              </w:rPr>
              <w:t xml:space="preserve"> Ratings</w:t>
            </w:r>
          </w:p>
        </w:tc>
        <w:tc>
          <w:tcPr>
            <w:tcW w:w="7740" w:type="dxa"/>
            <w:shd w:val="clear" w:color="auto" w:fill="auto"/>
          </w:tcPr>
          <w:p w14:paraId="31E458E3" w14:textId="4ED99655" w:rsidR="00B50BD7" w:rsidRPr="00DA267B" w:rsidRDefault="00B50BD7" w:rsidP="00DC41D9">
            <w:pPr>
              <w:pStyle w:val="BlockText"/>
              <w:numPr>
                <w:ilvl w:val="12"/>
                <w:numId w:val="0"/>
              </w:numPr>
              <w:rPr>
                <w:szCs w:val="24"/>
              </w:rPr>
            </w:pPr>
            <w:r w:rsidRPr="00DA267B">
              <w:rPr>
                <w:szCs w:val="24"/>
              </w:rPr>
              <w:t>Sometimes a Veteran is temporarily granted an increased payment for a disability following an event, such as a joint replacement or heart attack, for which the rating schedule provides a temporary evaluation for a specified period of time.  In such a circumstance, ensure the award letter specifies the date or conditions under which the increased payment will be reduced.</w:t>
            </w:r>
          </w:p>
          <w:p w14:paraId="631AC9A5" w14:textId="77777777" w:rsidR="00E60B70" w:rsidRPr="00DA267B" w:rsidRDefault="00E60B70" w:rsidP="00DC41D9">
            <w:pPr>
              <w:pStyle w:val="BlockText"/>
              <w:numPr>
                <w:ilvl w:val="12"/>
                <w:numId w:val="0"/>
              </w:numPr>
              <w:rPr>
                <w:szCs w:val="24"/>
              </w:rPr>
            </w:pPr>
          </w:p>
          <w:p w14:paraId="2CCB7B87" w14:textId="3023DBB7" w:rsidR="00B50BD7" w:rsidRPr="00DA267B" w:rsidRDefault="00B50BD7" w:rsidP="00B50BD7">
            <w:pPr>
              <w:pStyle w:val="BlockText"/>
            </w:pPr>
            <w:r w:rsidRPr="00DA267B">
              <w:rPr>
                <w:b/>
                <w:i/>
                <w:szCs w:val="24"/>
              </w:rPr>
              <w:t>Important</w:t>
            </w:r>
            <w:r w:rsidRPr="00DA267B">
              <w:rPr>
                <w:szCs w:val="24"/>
              </w:rPr>
              <w:t xml:space="preserve">: </w:t>
            </w:r>
            <w:r w:rsidR="003337C7" w:rsidRPr="00DA267B">
              <w:rPr>
                <w:szCs w:val="24"/>
              </w:rPr>
              <w:t xml:space="preserve"> </w:t>
            </w:r>
            <w:r w:rsidRPr="00DA267B">
              <w:rPr>
                <w:szCs w:val="24"/>
              </w:rPr>
              <w:t xml:space="preserve">A notice of proposed adverse action is </w:t>
            </w:r>
            <w:r w:rsidRPr="00DA267B">
              <w:rPr>
                <w:b/>
                <w:i/>
                <w:szCs w:val="24"/>
              </w:rPr>
              <w:t>not</w:t>
            </w:r>
            <w:r w:rsidRPr="00DA267B">
              <w:rPr>
                <w:szCs w:val="24"/>
              </w:rPr>
              <w:t xml:space="preserve"> needed in this situation because the Veteran has already been fully informed of the date and reasons for the prospective adjustment.</w:t>
            </w:r>
          </w:p>
        </w:tc>
      </w:tr>
    </w:tbl>
    <w:p w14:paraId="2163A143" w14:textId="29FA00E9" w:rsidR="00B50BD7" w:rsidRPr="00DA267B" w:rsidRDefault="00B50BD7" w:rsidP="00B50BD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03" w14:textId="77777777">
        <w:trPr>
          <w:cantSplit/>
        </w:trPr>
        <w:tc>
          <w:tcPr>
            <w:tcW w:w="1728" w:type="dxa"/>
          </w:tcPr>
          <w:p w14:paraId="201342FF" w14:textId="220AF4F5" w:rsidR="00F52053" w:rsidRPr="00DA267B" w:rsidRDefault="002961A1">
            <w:pPr>
              <w:pStyle w:val="Heading5"/>
              <w:numPr>
                <w:ilvl w:val="12"/>
                <w:numId w:val="0"/>
              </w:numPr>
            </w:pPr>
            <w:r w:rsidRPr="00DA267B">
              <w:t>e</w:t>
            </w:r>
            <w:r w:rsidR="00F52053" w:rsidRPr="00DA267B">
              <w:t>.  Requests for Apportionment</w:t>
            </w:r>
            <w:r w:rsidR="006913CD" w:rsidRPr="00DA267B">
              <w:t xml:space="preserve"> Requiring a Notice of Proposed Adverse Action</w:t>
            </w:r>
          </w:p>
        </w:tc>
        <w:tc>
          <w:tcPr>
            <w:tcW w:w="7740" w:type="dxa"/>
          </w:tcPr>
          <w:p w14:paraId="20134300" w14:textId="19642676" w:rsidR="00F52053" w:rsidRPr="00DA267B" w:rsidRDefault="00F52053">
            <w:pPr>
              <w:pStyle w:val="BlockText"/>
              <w:numPr>
                <w:ilvl w:val="12"/>
                <w:numId w:val="0"/>
              </w:numPr>
              <w:tabs>
                <w:tab w:val="left" w:pos="3582"/>
              </w:tabs>
            </w:pPr>
            <w:r w:rsidRPr="00DA267B">
              <w:t xml:space="preserve">A notice of proposed adverse action is required when an apportionment of benefits is requested by or on behalf of a beneficiary’s dependent.      </w:t>
            </w:r>
          </w:p>
          <w:p w14:paraId="6EF8E00A" w14:textId="6C0D52EF" w:rsidR="00E60B70" w:rsidRPr="00DA267B" w:rsidRDefault="00E60B70" w:rsidP="00B5039E">
            <w:pPr>
              <w:pStyle w:val="BlockText"/>
              <w:numPr>
                <w:ilvl w:val="12"/>
                <w:numId w:val="0"/>
              </w:numPr>
            </w:pPr>
          </w:p>
          <w:p w14:paraId="4451E109" w14:textId="41D46ED9" w:rsidR="00B5039E" w:rsidRPr="00DA267B" w:rsidRDefault="00B5039E" w:rsidP="00B5039E">
            <w:pPr>
              <w:pStyle w:val="BlockText"/>
              <w:numPr>
                <w:ilvl w:val="12"/>
                <w:numId w:val="0"/>
              </w:numPr>
            </w:pPr>
            <w:r w:rsidRPr="00DA267B">
              <w:rPr>
                <w:b/>
                <w:i/>
              </w:rPr>
              <w:t>References</w:t>
            </w:r>
            <w:r w:rsidRPr="00DA267B">
              <w:t xml:space="preserve">: </w:t>
            </w:r>
            <w:r w:rsidR="00AA1BD2" w:rsidRPr="00DA267B">
              <w:t>For more information on</w:t>
            </w:r>
          </w:p>
          <w:p w14:paraId="34AB0D5E" w14:textId="75F670C3" w:rsidR="00B5039E" w:rsidRPr="00DA267B" w:rsidRDefault="00B5039E" w:rsidP="00A07CA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DA267B">
              <w:t>adjusting apportioned awards, see M21-1, Part III, Subpart v, 3.B</w:t>
            </w:r>
            <w:r w:rsidR="00AA1BD2" w:rsidRPr="00DA267B">
              <w:t>, and</w:t>
            </w:r>
          </w:p>
          <w:p w14:paraId="20134302" w14:textId="46B00204" w:rsidR="00B5039E" w:rsidRPr="00DA267B" w:rsidRDefault="00DC4E93" w:rsidP="00A07CA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DA267B">
              <w:t xml:space="preserve">the </w:t>
            </w:r>
            <w:r w:rsidR="00B5039E" w:rsidRPr="00DA267B">
              <w:t>list of references specific to due process, see M21-1, Part I, 2.B.4</w:t>
            </w:r>
          </w:p>
        </w:tc>
      </w:tr>
    </w:tbl>
    <w:p w14:paraId="20134304" w14:textId="77777777" w:rsidR="00F52053" w:rsidRPr="00DA267B" w:rsidRDefault="00F52053">
      <w:pPr>
        <w:pStyle w:val="BlockLine"/>
        <w:numPr>
          <w:ilvl w:val="12"/>
          <w:numId w:val="0"/>
        </w:numPr>
        <w:ind w:left="170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9A6133" w:rsidRPr="00DA267B" w14:paraId="53B58A9C" w14:textId="77777777" w:rsidTr="00B152DC">
        <w:tc>
          <w:tcPr>
            <w:tcW w:w="1728" w:type="dxa"/>
            <w:shd w:val="clear" w:color="auto" w:fill="auto"/>
          </w:tcPr>
          <w:p w14:paraId="6558F96D" w14:textId="074A7F63" w:rsidR="009A6133" w:rsidRPr="00DA267B" w:rsidRDefault="002961A1" w:rsidP="009F667B">
            <w:pPr>
              <w:rPr>
                <w:b/>
                <w:sz w:val="22"/>
              </w:rPr>
            </w:pPr>
            <w:r w:rsidRPr="00DA267B">
              <w:rPr>
                <w:b/>
                <w:sz w:val="22"/>
              </w:rPr>
              <w:t>f</w:t>
            </w:r>
            <w:r w:rsidR="009A6133" w:rsidRPr="00DA267B">
              <w:rPr>
                <w:b/>
                <w:sz w:val="22"/>
              </w:rPr>
              <w:t xml:space="preserve">.  Proposed Incompetency </w:t>
            </w:r>
            <w:r w:rsidR="009F667B" w:rsidRPr="00DA267B">
              <w:rPr>
                <w:b/>
                <w:sz w:val="22"/>
              </w:rPr>
              <w:t>Determinations</w:t>
            </w:r>
          </w:p>
        </w:tc>
        <w:tc>
          <w:tcPr>
            <w:tcW w:w="7848" w:type="dxa"/>
            <w:shd w:val="clear" w:color="auto" w:fill="auto"/>
          </w:tcPr>
          <w:p w14:paraId="687321C3" w14:textId="2318F1A2" w:rsidR="00B225CA" w:rsidRPr="00DA267B" w:rsidRDefault="00B225CA">
            <w:r w:rsidRPr="00DA267B">
              <w:t>When an incompetency determination</w:t>
            </w:r>
            <w:r w:rsidR="009202DC" w:rsidRPr="00DA267B">
              <w:t xml:space="preserve"> is proposed</w:t>
            </w:r>
            <w:r w:rsidRPr="00DA267B">
              <w:t xml:space="preserve">, the beneficiary will be notified of the proposed action and of the right to a hearing as provided in </w:t>
            </w:r>
            <w:hyperlink r:id="rId13" w:history="1">
              <w:r w:rsidR="00970FFD" w:rsidRPr="00DA267B">
                <w:rPr>
                  <w:rStyle w:val="Hyperlink"/>
                </w:rPr>
                <w:t xml:space="preserve">38 CFR </w:t>
              </w:r>
              <w:r w:rsidRPr="00DA267B">
                <w:rPr>
                  <w:rStyle w:val="Hyperlink"/>
                </w:rPr>
                <w:t>3.103</w:t>
              </w:r>
            </w:hyperlink>
            <w:r w:rsidRPr="00DA267B">
              <w:t xml:space="preserve">. </w:t>
            </w:r>
          </w:p>
          <w:p w14:paraId="1AAB6F83" w14:textId="77777777" w:rsidR="00B225CA" w:rsidRPr="00DA267B" w:rsidRDefault="00B225CA" w:rsidP="00B5039E">
            <w:pPr>
              <w:pStyle w:val="BulletText1"/>
              <w:numPr>
                <w:ilvl w:val="0"/>
                <w:numId w:val="0"/>
              </w:numPr>
            </w:pPr>
          </w:p>
          <w:p w14:paraId="3BD5F22C" w14:textId="469405C9" w:rsidR="00091064" w:rsidRPr="00DA267B" w:rsidRDefault="009A6133" w:rsidP="002025B0">
            <w:r w:rsidRPr="00DA267B">
              <w:rPr>
                <w:b/>
                <w:i/>
              </w:rPr>
              <w:t>Reference</w:t>
            </w:r>
            <w:r w:rsidR="00B152DC" w:rsidRPr="00DA267B">
              <w:rPr>
                <w:b/>
                <w:i/>
              </w:rPr>
              <w:t>s</w:t>
            </w:r>
            <w:r w:rsidRPr="00DA267B">
              <w:t>:</w:t>
            </w:r>
            <w:r w:rsidR="002025B0" w:rsidRPr="00DA267B">
              <w:t xml:space="preserve">  </w:t>
            </w:r>
            <w:r w:rsidR="00AA1BD2" w:rsidRPr="00DA267B">
              <w:t>For more information on</w:t>
            </w:r>
          </w:p>
          <w:p w14:paraId="6668CF6F" w14:textId="694A40EC" w:rsidR="009A6133" w:rsidRPr="00DA267B" w:rsidRDefault="00DC4E93" w:rsidP="00A07CAC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DA267B">
              <w:t xml:space="preserve">the </w:t>
            </w:r>
            <w:r w:rsidR="0064773A" w:rsidRPr="00DA267B">
              <w:t xml:space="preserve">list of references specific to due process, see </w:t>
            </w:r>
            <w:r w:rsidR="009A6133" w:rsidRPr="00DA267B">
              <w:t>M21-1, Part I, 2.B.</w:t>
            </w:r>
            <w:r w:rsidR="009C43B3" w:rsidRPr="00DA267B">
              <w:t>4</w:t>
            </w:r>
            <w:r w:rsidR="00AA1BD2" w:rsidRPr="00DA267B">
              <w:t>, and</w:t>
            </w:r>
          </w:p>
          <w:p w14:paraId="2165A69D" w14:textId="38B0606F" w:rsidR="008127DD" w:rsidRPr="00DA267B" w:rsidRDefault="00091064" w:rsidP="00A07CAC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DA267B">
              <w:t xml:space="preserve"> hearings during the adverse action proposal period, see M21-1, Part  </w:t>
            </w:r>
            <w:r w:rsidR="008127DD" w:rsidRPr="00DA267B">
              <w:t>I</w:t>
            </w:r>
            <w:r w:rsidRPr="00DA267B">
              <w:t xml:space="preserve">, </w:t>
            </w:r>
            <w:r w:rsidR="008127DD" w:rsidRPr="00DA267B">
              <w:t>2.C</w:t>
            </w:r>
            <w:r w:rsidR="00381D0C" w:rsidRPr="00DA267B">
              <w:t>.3</w:t>
            </w:r>
            <w:r w:rsidR="00B152DC" w:rsidRPr="00DA267B">
              <w:t>.</w:t>
            </w:r>
          </w:p>
        </w:tc>
      </w:tr>
    </w:tbl>
    <w:p w14:paraId="68A8E944" w14:textId="77777777" w:rsidR="004C1A39" w:rsidRPr="00DA267B" w:rsidRDefault="004C1A39" w:rsidP="004C1A39">
      <w:pPr>
        <w:tabs>
          <w:tab w:val="left" w:pos="9360"/>
        </w:tabs>
        <w:ind w:left="1714"/>
      </w:pPr>
      <w:r w:rsidRPr="00DA267B">
        <w:rPr>
          <w:u w:val="single"/>
        </w:rPr>
        <w:tab/>
      </w:r>
    </w:p>
    <w:p w14:paraId="1666903F" w14:textId="77777777" w:rsidR="004C1A39" w:rsidRPr="00DA267B" w:rsidRDefault="004C1A39" w:rsidP="004C1A39">
      <w:pPr>
        <w:ind w:left="1714"/>
      </w:pPr>
    </w:p>
    <w:p w14:paraId="78EFD573" w14:textId="3309B4B7" w:rsidR="00922E50" w:rsidRPr="00DA267B" w:rsidRDefault="00922E50" w:rsidP="004C1A39">
      <w:r w:rsidRPr="00DA267B">
        <w:br w:type="page"/>
      </w:r>
    </w:p>
    <w:p w14:paraId="20134305" w14:textId="563393AF" w:rsidR="00F52053" w:rsidRPr="00DA267B" w:rsidRDefault="00FC1096">
      <w:pPr>
        <w:pStyle w:val="Heading4"/>
      </w:pPr>
      <w:bookmarkStart w:id="23" w:name="_Toc29605359"/>
      <w:bookmarkStart w:id="24" w:name="_Toc29612282"/>
      <w:bookmarkStart w:id="25" w:name="_Toc29612665"/>
      <w:bookmarkStart w:id="26" w:name="_Toc29612876"/>
      <w:bookmarkStart w:id="27" w:name="_Toc29613303"/>
      <w:bookmarkStart w:id="28" w:name="_Toc29614148"/>
      <w:r w:rsidRPr="00DA267B">
        <w:lastRenderedPageBreak/>
        <w:t>2</w:t>
      </w:r>
      <w:r w:rsidR="00F52053" w:rsidRPr="00DA267B">
        <w:t>.  Elements of the Notice</w:t>
      </w:r>
      <w:bookmarkEnd w:id="23"/>
      <w:bookmarkEnd w:id="24"/>
      <w:bookmarkEnd w:id="25"/>
      <w:bookmarkEnd w:id="26"/>
      <w:bookmarkEnd w:id="27"/>
      <w:bookmarkEnd w:id="28"/>
      <w:r w:rsidR="00F52053" w:rsidRPr="00DA267B">
        <w:t xml:space="preserve"> of Proposed Adverse Action</w:t>
      </w:r>
    </w:p>
    <w:p w14:paraId="20134306" w14:textId="77777777" w:rsidR="00F52053" w:rsidRPr="00DA267B" w:rsidRDefault="00F52053">
      <w:pPr>
        <w:pStyle w:val="BlockLine"/>
        <w:numPr>
          <w:ilvl w:val="12"/>
          <w:numId w:val="0"/>
        </w:numPr>
        <w:ind w:left="1700"/>
      </w:pPr>
      <w:r w:rsidRPr="00DA267B">
        <w:fldChar w:fldCharType="begin"/>
      </w:r>
      <w:r w:rsidRPr="00DA267B">
        <w:instrText xml:space="preserve"> PRIVATE INFOTYPE="OTHER"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0C" w14:textId="4F343274">
        <w:trPr>
          <w:cantSplit/>
        </w:trPr>
        <w:tc>
          <w:tcPr>
            <w:tcW w:w="1728" w:type="dxa"/>
          </w:tcPr>
          <w:p w14:paraId="20134307" w14:textId="5E824E0F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>Introduction</w:t>
            </w:r>
          </w:p>
        </w:tc>
        <w:tc>
          <w:tcPr>
            <w:tcW w:w="7740" w:type="dxa"/>
          </w:tcPr>
          <w:p w14:paraId="20134308" w14:textId="60A98608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>This topic contains information on the elements of a notice, including</w:t>
            </w:r>
          </w:p>
          <w:p w14:paraId="20134309" w14:textId="14ED0D85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 xml:space="preserve"> </w:t>
            </w:r>
          </w:p>
          <w:p w14:paraId="2013430A" w14:textId="28CDB33A" w:rsidR="00F52053" w:rsidRPr="00DA267B" w:rsidRDefault="00C85FE8" w:rsidP="00C85FE8">
            <w:pPr>
              <w:pStyle w:val="BulletText1"/>
            </w:pPr>
            <w:r w:rsidRPr="00DA267B">
              <w:t>required elements for notice of proposed adverse action</w:t>
            </w:r>
            <w:r w:rsidR="00F52053" w:rsidRPr="00DA267B">
              <w:t xml:space="preserve">, and </w:t>
            </w:r>
          </w:p>
          <w:p w14:paraId="2013430B" w14:textId="17B9465F" w:rsidR="00F52053" w:rsidRPr="00DA267B" w:rsidRDefault="00C85FE8" w:rsidP="00C85FE8">
            <w:pPr>
              <w:pStyle w:val="BulletText1"/>
            </w:pPr>
            <w:r w:rsidRPr="00DA267B">
              <w:t>description of elements in notice of proposed adverse action</w:t>
            </w:r>
            <w:r w:rsidR="00F52053" w:rsidRPr="00DA267B">
              <w:t>.</w:t>
            </w:r>
          </w:p>
        </w:tc>
      </w:tr>
    </w:tbl>
    <w:p w14:paraId="2013430D" w14:textId="20805E0A" w:rsidR="00F52053" w:rsidRPr="00DA267B" w:rsidRDefault="00F52053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10" w14:textId="77777777">
        <w:trPr>
          <w:cantSplit/>
        </w:trPr>
        <w:tc>
          <w:tcPr>
            <w:tcW w:w="1728" w:type="dxa"/>
          </w:tcPr>
          <w:p w14:paraId="2013430E" w14:textId="77777777" w:rsidR="00F52053" w:rsidRPr="00DA267B" w:rsidRDefault="00F52053">
            <w:pPr>
              <w:pStyle w:val="Heading5"/>
            </w:pPr>
            <w:r w:rsidRPr="00DA267B">
              <w:t>Change Date</w:t>
            </w:r>
          </w:p>
        </w:tc>
        <w:tc>
          <w:tcPr>
            <w:tcW w:w="7740" w:type="dxa"/>
          </w:tcPr>
          <w:p w14:paraId="2013430F" w14:textId="1E196C9C" w:rsidR="00F52053" w:rsidRPr="00DA267B" w:rsidRDefault="00F52053">
            <w:pPr>
              <w:pStyle w:val="BlockText"/>
            </w:pPr>
            <w:r w:rsidRPr="00DA267B">
              <w:t>October 13, 2004</w:t>
            </w:r>
          </w:p>
        </w:tc>
      </w:tr>
    </w:tbl>
    <w:p w14:paraId="20134311" w14:textId="384A4B84" w:rsidR="00F52053" w:rsidRPr="00DA267B" w:rsidRDefault="00D37058">
      <w:pPr>
        <w:pStyle w:val="BlockLine"/>
        <w:numPr>
          <w:ilvl w:val="12"/>
          <w:numId w:val="0"/>
        </w:numPr>
        <w:ind w:left="1700"/>
      </w:pPr>
      <w:r w:rsidRPr="00DA267B">
        <w:fldChar w:fldCharType="begin"/>
      </w:r>
      <w:r w:rsidRPr="00DA267B">
        <w:instrText xml:space="preserve"> PRIVATE INFOTYPE="PRINCIPLE"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1D" w14:textId="68418AFF">
        <w:trPr>
          <w:cantSplit/>
        </w:trPr>
        <w:tc>
          <w:tcPr>
            <w:tcW w:w="1728" w:type="dxa"/>
          </w:tcPr>
          <w:p w14:paraId="20134312" w14:textId="5F4FC357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>a.  Required Elements for Notice of Proposed Adverse Action</w:t>
            </w:r>
          </w:p>
        </w:tc>
        <w:tc>
          <w:tcPr>
            <w:tcW w:w="7740" w:type="dxa"/>
          </w:tcPr>
          <w:p w14:paraId="20134313" w14:textId="1408B1E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>Every notice of proposed adverse action must</w:t>
            </w:r>
            <w:r w:rsidRPr="00DA267B">
              <w:rPr>
                <w:i/>
              </w:rPr>
              <w:t xml:space="preserve"> </w:t>
            </w:r>
            <w:r w:rsidRPr="00DA267B">
              <w:t>include the following elements:</w:t>
            </w:r>
          </w:p>
          <w:p w14:paraId="20134314" w14:textId="2C9DB0D4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</w:p>
          <w:p w14:paraId="20134315" w14:textId="3F1FFEA0" w:rsidR="00F52053" w:rsidRPr="00DA267B" w:rsidRDefault="00F52053">
            <w:pPr>
              <w:pStyle w:val="BulletText1"/>
            </w:pPr>
            <w:r w:rsidRPr="00DA267B">
              <w:t>a statement of the proposed decision, including new rates of payment</w:t>
            </w:r>
          </w:p>
          <w:p w14:paraId="20134316" w14:textId="598B3C47" w:rsidR="00F52053" w:rsidRPr="00DA267B" w:rsidRDefault="00F52053">
            <w:pPr>
              <w:pStyle w:val="BulletText1"/>
            </w:pPr>
            <w:r w:rsidRPr="00DA267B">
              <w:t>the proposed effective date of the decision</w:t>
            </w:r>
          </w:p>
          <w:p w14:paraId="20134317" w14:textId="57FF90A8" w:rsidR="00F52053" w:rsidRPr="00DA267B" w:rsidRDefault="00F52053">
            <w:pPr>
              <w:pStyle w:val="BulletText1"/>
            </w:pPr>
            <w:r w:rsidRPr="00DA267B">
              <w:t xml:space="preserve">information on the possible creation of an overpayment </w:t>
            </w:r>
          </w:p>
          <w:p w14:paraId="20134318" w14:textId="4B840F7E" w:rsidR="00F52053" w:rsidRPr="00DA267B" w:rsidRDefault="00F52053">
            <w:pPr>
              <w:pStyle w:val="BulletText1"/>
            </w:pPr>
            <w:r w:rsidRPr="00DA267B">
              <w:t>detailed reasons for the proposed decision, and</w:t>
            </w:r>
          </w:p>
          <w:p w14:paraId="20134319" w14:textId="2453361B" w:rsidR="00F52053" w:rsidRPr="00DA267B" w:rsidRDefault="00F52053">
            <w:pPr>
              <w:pStyle w:val="BulletText1"/>
            </w:pPr>
            <w:r w:rsidRPr="00DA267B">
              <w:t xml:space="preserve">the right to </w:t>
            </w:r>
          </w:p>
          <w:p w14:paraId="2013431A" w14:textId="274F81C7" w:rsidR="00F52053" w:rsidRPr="00DA267B" w:rsidRDefault="00F52053">
            <w:pPr>
              <w:pStyle w:val="BulletText2"/>
            </w:pPr>
            <w:r w:rsidRPr="00DA267B">
              <w:t>present evidence</w:t>
            </w:r>
          </w:p>
          <w:p w14:paraId="2013431B" w14:textId="30326C36" w:rsidR="00F52053" w:rsidRPr="00DA267B" w:rsidRDefault="00F52053">
            <w:pPr>
              <w:pStyle w:val="BulletText2"/>
            </w:pPr>
            <w:r w:rsidRPr="00DA267B">
              <w:t xml:space="preserve">request a personal hearing, and </w:t>
            </w:r>
          </w:p>
          <w:p w14:paraId="2013431C" w14:textId="30F2A8C6" w:rsidR="00F52053" w:rsidRPr="00DA267B" w:rsidRDefault="00F52053">
            <w:pPr>
              <w:pStyle w:val="BulletText2"/>
              <w:rPr>
                <w:b/>
              </w:rPr>
            </w:pPr>
            <w:r w:rsidRPr="00DA267B">
              <w:t>have representation.</w:t>
            </w:r>
          </w:p>
        </w:tc>
      </w:tr>
    </w:tbl>
    <w:p w14:paraId="2013431E" w14:textId="39743166" w:rsidR="00F52053" w:rsidRPr="00DA267B" w:rsidRDefault="00D37058">
      <w:pPr>
        <w:pStyle w:val="BlockLine"/>
      </w:pPr>
      <w:r w:rsidRPr="00DA267B">
        <w:fldChar w:fldCharType="begin"/>
      </w:r>
      <w:r w:rsidRPr="00DA267B">
        <w:instrText xml:space="preserve"> PRIVATE INFOTYPE="CONCEPT"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85FE8" w:rsidRPr="00DA267B" w14:paraId="1700F388" w14:textId="77777777" w:rsidTr="00E9722F">
        <w:trPr>
          <w:cantSplit/>
        </w:trPr>
        <w:tc>
          <w:tcPr>
            <w:tcW w:w="1728" w:type="dxa"/>
          </w:tcPr>
          <w:p w14:paraId="73A1FB89" w14:textId="77777777" w:rsidR="00C85FE8" w:rsidRPr="00DA267B" w:rsidRDefault="00C85FE8" w:rsidP="00E9722F">
            <w:pPr>
              <w:pStyle w:val="Heading5"/>
              <w:numPr>
                <w:ilvl w:val="12"/>
                <w:numId w:val="0"/>
              </w:numPr>
            </w:pPr>
            <w:r w:rsidRPr="00DA267B">
              <w:t>b.  Description of Elements in Notice of Proposed Adverse Action</w:t>
            </w:r>
          </w:p>
        </w:tc>
        <w:tc>
          <w:tcPr>
            <w:tcW w:w="7740" w:type="dxa"/>
          </w:tcPr>
          <w:p w14:paraId="283BBE51" w14:textId="77777777" w:rsidR="00C85FE8" w:rsidRPr="00DA267B" w:rsidRDefault="00C85FE8" w:rsidP="00E9722F">
            <w:pPr>
              <w:pStyle w:val="BlockText"/>
              <w:numPr>
                <w:ilvl w:val="12"/>
                <w:numId w:val="0"/>
              </w:numPr>
            </w:pPr>
            <w:r w:rsidRPr="00DA267B">
              <w:t>The table below describes each of the elements in a notice of proposed adverse action.</w:t>
            </w:r>
          </w:p>
        </w:tc>
      </w:tr>
    </w:tbl>
    <w:p w14:paraId="3997F3B7" w14:textId="77777777" w:rsidR="002F4A02" w:rsidRPr="00DA267B" w:rsidRDefault="002F4A02" w:rsidP="00EE008E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80"/>
        <w:gridCol w:w="5670"/>
      </w:tblGrid>
      <w:tr w:rsidR="00C85FE8" w:rsidRPr="00DA267B" w14:paraId="6517D45C" w14:textId="77777777" w:rsidTr="008F456E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068F" w14:textId="77777777" w:rsidR="00C85FE8" w:rsidRPr="00DA267B" w:rsidRDefault="00C85FE8" w:rsidP="00E9722F">
            <w:pPr>
              <w:pStyle w:val="TableHeaderText"/>
              <w:numPr>
                <w:ilvl w:val="12"/>
                <w:numId w:val="0"/>
              </w:numPr>
            </w:pPr>
            <w:r w:rsidRPr="00DA267B">
              <w:t>Element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9D0E" w14:textId="77777777" w:rsidR="00C85FE8" w:rsidRPr="00DA267B" w:rsidRDefault="00C85FE8" w:rsidP="00E9722F">
            <w:pPr>
              <w:pStyle w:val="TableHeaderText"/>
              <w:numPr>
                <w:ilvl w:val="12"/>
                <w:numId w:val="0"/>
              </w:numPr>
            </w:pPr>
            <w:r w:rsidRPr="00DA267B">
              <w:t>Description</w:t>
            </w:r>
          </w:p>
        </w:tc>
      </w:tr>
      <w:tr w:rsidR="00C85FE8" w:rsidRPr="00DA267B" w14:paraId="63A60B9F" w14:textId="77777777" w:rsidTr="008F456E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C90D" w14:textId="77777777" w:rsidR="00C85FE8" w:rsidRPr="00DA267B" w:rsidRDefault="00C85FE8" w:rsidP="00E9722F">
            <w:pPr>
              <w:pStyle w:val="TableText"/>
              <w:numPr>
                <w:ilvl w:val="12"/>
                <w:numId w:val="0"/>
              </w:numPr>
            </w:pPr>
            <w:r w:rsidRPr="00DA267B">
              <w:t>Statement of proposed decision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ECB0" w14:textId="6287DB1D" w:rsidR="00C85FE8" w:rsidRPr="00DA267B" w:rsidRDefault="00DC4E93" w:rsidP="00DA267B">
            <w:pPr>
              <w:pStyle w:val="BulletText1"/>
            </w:pPr>
            <w:r w:rsidRPr="00DA267B">
              <w:t>f</w:t>
            </w:r>
            <w:r w:rsidR="00C85FE8" w:rsidRPr="00DA267B">
              <w:t xml:space="preserve">ully and clearly states the proposed decision to </w:t>
            </w:r>
          </w:p>
          <w:p w14:paraId="4FA9235B" w14:textId="77777777" w:rsidR="00C85FE8" w:rsidRPr="00DA267B" w:rsidRDefault="00C85FE8" w:rsidP="00DA267B">
            <w:pPr>
              <w:pStyle w:val="BulletText2"/>
            </w:pPr>
            <w:r w:rsidRPr="00DA267B">
              <w:t>reduce</w:t>
            </w:r>
          </w:p>
          <w:p w14:paraId="26BE3CE4" w14:textId="77777777" w:rsidR="00C85FE8" w:rsidRPr="00DA267B" w:rsidRDefault="00C85FE8" w:rsidP="00DA267B">
            <w:pPr>
              <w:pStyle w:val="BulletText2"/>
            </w:pPr>
            <w:r w:rsidRPr="00DA267B">
              <w:t xml:space="preserve">suspend, or </w:t>
            </w:r>
          </w:p>
          <w:p w14:paraId="6B32C0B5" w14:textId="10EDCB31" w:rsidR="00C85FE8" w:rsidRPr="00DA267B" w:rsidRDefault="00C85FE8" w:rsidP="00DA267B">
            <w:pPr>
              <w:pStyle w:val="BulletText2"/>
            </w:pPr>
            <w:r w:rsidRPr="00DA267B">
              <w:t>terminate benefits</w:t>
            </w:r>
            <w:r w:rsidR="00714135" w:rsidRPr="00DA267B">
              <w:t>, and</w:t>
            </w:r>
          </w:p>
          <w:p w14:paraId="4AC78780" w14:textId="0D98E09C" w:rsidR="00C85FE8" w:rsidRPr="00DA267B" w:rsidRDefault="00DC4E93" w:rsidP="00DA267B">
            <w:pPr>
              <w:pStyle w:val="BulletText1"/>
            </w:pPr>
            <w:proofErr w:type="gramStart"/>
            <w:r w:rsidRPr="00DA267B">
              <w:t>p</w:t>
            </w:r>
            <w:r w:rsidR="00C85FE8" w:rsidRPr="00DA267B">
              <w:t>rovides</w:t>
            </w:r>
            <w:proofErr w:type="gramEnd"/>
            <w:r w:rsidR="00C85FE8" w:rsidRPr="00DA267B">
              <w:t xml:space="preserve"> new rate information for each rate change.</w:t>
            </w:r>
          </w:p>
        </w:tc>
      </w:tr>
      <w:tr w:rsidR="00C85FE8" w:rsidRPr="00DA267B" w14:paraId="4230BF0B" w14:textId="77777777" w:rsidTr="008F456E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AF98" w14:textId="77777777" w:rsidR="00C85FE8" w:rsidRPr="00DA267B" w:rsidRDefault="00C85FE8" w:rsidP="00E9722F">
            <w:pPr>
              <w:pStyle w:val="TableText"/>
              <w:numPr>
                <w:ilvl w:val="12"/>
                <w:numId w:val="0"/>
              </w:numPr>
            </w:pPr>
            <w:r w:rsidRPr="00DA267B">
              <w:t>Statement of proposed effective date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5C71" w14:textId="77777777" w:rsidR="00C85FE8" w:rsidRPr="00DA267B" w:rsidRDefault="00C85FE8" w:rsidP="00E9722F">
            <w:pPr>
              <w:pStyle w:val="BulletText1"/>
            </w:pPr>
            <w:r w:rsidRPr="00DA267B">
              <w:t xml:space="preserve">states the proposed effective date, and  </w:t>
            </w:r>
          </w:p>
          <w:p w14:paraId="38884F6A" w14:textId="77777777" w:rsidR="00C85FE8" w:rsidRPr="00DA267B" w:rsidRDefault="00C85FE8" w:rsidP="00E9722F">
            <w:pPr>
              <w:pStyle w:val="BulletText1"/>
            </w:pPr>
            <w:r w:rsidRPr="00DA267B">
              <w:t>informs the beneficiary that</w:t>
            </w:r>
          </w:p>
          <w:p w14:paraId="605B72CB" w14:textId="77777777" w:rsidR="00C85FE8" w:rsidRPr="00DA267B" w:rsidRDefault="00C85FE8" w:rsidP="00E9722F">
            <w:pPr>
              <w:pStyle w:val="BulletText2"/>
            </w:pPr>
            <w:r w:rsidRPr="00DA267B">
              <w:t xml:space="preserve">he/she has 60 days to respond to the proposed decision, and </w:t>
            </w:r>
          </w:p>
          <w:p w14:paraId="2F4FB50E" w14:textId="3CED70ED" w:rsidR="00C85FE8" w:rsidRPr="00DA267B" w:rsidRDefault="00C85FE8" w:rsidP="00E9722F">
            <w:pPr>
              <w:pStyle w:val="BulletText2"/>
            </w:pPr>
            <w:proofErr w:type="gramStart"/>
            <w:r w:rsidRPr="00DA267B">
              <w:t>the</w:t>
            </w:r>
            <w:proofErr w:type="gramEnd"/>
            <w:r w:rsidRPr="00DA267B">
              <w:t xml:space="preserve"> payment of benefits will continue through the 60-day period.  </w:t>
            </w:r>
          </w:p>
          <w:p w14:paraId="1FE1B5BA" w14:textId="77777777" w:rsidR="00C85FE8" w:rsidRPr="00DA267B" w:rsidRDefault="00C85FE8" w:rsidP="00E9722F">
            <w:pPr>
              <w:pStyle w:val="BlockText"/>
              <w:numPr>
                <w:ilvl w:val="12"/>
                <w:numId w:val="0"/>
              </w:numPr>
            </w:pPr>
          </w:p>
          <w:p w14:paraId="310559AB" w14:textId="77777777" w:rsidR="00C85FE8" w:rsidRPr="00DA267B" w:rsidRDefault="00C85FE8" w:rsidP="00E9722F">
            <w:pPr>
              <w:pStyle w:val="BlockText"/>
              <w:numPr>
                <w:ilvl w:val="12"/>
                <w:numId w:val="0"/>
              </w:numPr>
            </w:pPr>
            <w:r w:rsidRPr="00DA267B">
              <w:rPr>
                <w:b/>
                <w:i/>
              </w:rPr>
              <w:t>Note</w:t>
            </w:r>
            <w:r w:rsidRPr="00DA267B">
              <w:t xml:space="preserve">:  The requirement that payments be continued through the 60-day period does not alter the effective </w:t>
            </w:r>
            <w:r w:rsidRPr="00DA267B">
              <w:lastRenderedPageBreak/>
              <w:t>date of the proposed reduction or termination.</w:t>
            </w:r>
          </w:p>
          <w:p w14:paraId="354DB855" w14:textId="77777777" w:rsidR="00C85FE8" w:rsidRPr="00DA267B" w:rsidRDefault="00C85FE8" w:rsidP="00E9722F">
            <w:pPr>
              <w:pStyle w:val="BlockText"/>
              <w:numPr>
                <w:ilvl w:val="12"/>
                <w:numId w:val="0"/>
              </w:numPr>
            </w:pPr>
          </w:p>
          <w:p w14:paraId="01A56C19" w14:textId="283122E5" w:rsidR="00C85FE8" w:rsidRPr="00DA267B" w:rsidRDefault="00C85FE8" w:rsidP="00E9722F">
            <w:pPr>
              <w:pStyle w:val="TableText"/>
              <w:numPr>
                <w:ilvl w:val="12"/>
                <w:numId w:val="0"/>
              </w:numPr>
            </w:pPr>
            <w:r w:rsidRPr="00DA267B">
              <w:rPr>
                <w:b/>
                <w:i/>
              </w:rPr>
              <w:t>Reference</w:t>
            </w:r>
            <w:r w:rsidRPr="00DA267B">
              <w:t xml:space="preserve">:  For more information on effective dates for reduced benefits, see </w:t>
            </w:r>
            <w:hyperlink r:id="rId14" w:history="1">
              <w:r w:rsidRPr="00DA267B">
                <w:rPr>
                  <w:rStyle w:val="Hyperlink"/>
                </w:rPr>
                <w:t>38 CFR 3.500 to 3.505</w:t>
              </w:r>
            </w:hyperlink>
            <w:r w:rsidRPr="00DA267B">
              <w:t>.</w:t>
            </w:r>
          </w:p>
        </w:tc>
      </w:tr>
      <w:tr w:rsidR="00C85FE8" w:rsidRPr="00DA267B" w14:paraId="5BFCB8E5" w14:textId="77777777" w:rsidTr="008F456E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D92B" w14:textId="77777777" w:rsidR="00C85FE8" w:rsidRPr="00DA267B" w:rsidRDefault="00C85FE8" w:rsidP="00E9722F">
            <w:pPr>
              <w:pStyle w:val="TableText"/>
              <w:numPr>
                <w:ilvl w:val="12"/>
                <w:numId w:val="0"/>
              </w:numPr>
            </w:pPr>
            <w:r w:rsidRPr="00DA267B">
              <w:lastRenderedPageBreak/>
              <w:t>Statement advising beneficiary of potential overpayment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991" w14:textId="77777777" w:rsidR="00C85FE8" w:rsidRPr="00DA267B" w:rsidRDefault="00C85FE8" w:rsidP="00E9722F">
            <w:pPr>
              <w:pStyle w:val="BulletText1"/>
            </w:pPr>
            <w:r w:rsidRPr="00DA267B">
              <w:t>advises the beneficiary that if the proposed adverse action is implemented, he/she must repay any overpayment resulting from the continuation of payments during the proposed adverse action period, and</w:t>
            </w:r>
          </w:p>
          <w:p w14:paraId="14AA1538" w14:textId="77777777" w:rsidR="00C85FE8" w:rsidRPr="00DA267B" w:rsidRDefault="00C85FE8" w:rsidP="00E9722F">
            <w:pPr>
              <w:pStyle w:val="BulletText1"/>
            </w:pPr>
            <w:r w:rsidRPr="00DA267B">
              <w:t>informs the beneficiary that he/she may minimize any potential overpayment by requesting that the award be adjusted immediately.</w:t>
            </w:r>
          </w:p>
        </w:tc>
      </w:tr>
      <w:tr w:rsidR="00C85FE8" w:rsidRPr="00DA267B" w14:paraId="38C3D18E" w14:textId="77777777" w:rsidTr="008F456E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01D6" w14:textId="77777777" w:rsidR="00C85FE8" w:rsidRPr="00DA267B" w:rsidRDefault="00C85FE8" w:rsidP="00E9722F">
            <w:pPr>
              <w:pStyle w:val="TableText"/>
              <w:numPr>
                <w:ilvl w:val="12"/>
                <w:numId w:val="0"/>
              </w:numPr>
            </w:pPr>
            <w:r w:rsidRPr="00DA267B">
              <w:t>Basis for proposed decision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DA7" w14:textId="6259DEE7" w:rsidR="00C85FE8" w:rsidRPr="00DA267B" w:rsidRDefault="00C85FE8" w:rsidP="00E9722F">
            <w:pPr>
              <w:pStyle w:val="TableText"/>
              <w:numPr>
                <w:ilvl w:val="12"/>
                <w:numId w:val="0"/>
              </w:numPr>
            </w:pPr>
            <w:r w:rsidRPr="00DA267B">
              <w:t>States</w:t>
            </w:r>
          </w:p>
          <w:p w14:paraId="42E337E8" w14:textId="1B33A7BC" w:rsidR="00C85FE8" w:rsidRPr="00DA267B" w:rsidRDefault="00C85FE8" w:rsidP="00E9722F">
            <w:pPr>
              <w:pStyle w:val="BlockText"/>
            </w:pPr>
          </w:p>
          <w:p w14:paraId="21E48784" w14:textId="27B6A4A0" w:rsidR="00C85FE8" w:rsidRPr="00DA267B" w:rsidRDefault="00C85FE8" w:rsidP="00E9722F">
            <w:pPr>
              <w:pStyle w:val="BulletText1"/>
            </w:pPr>
            <w:r w:rsidRPr="00DA267B">
              <w:t>the facts and reasons for the proposed action (</w:t>
            </w:r>
            <w:hyperlink r:id="rId15" w:history="1">
              <w:r w:rsidR="00655015" w:rsidRPr="00DA267B">
                <w:rPr>
                  <w:rStyle w:val="Hyperlink"/>
                </w:rPr>
                <w:t>38 CFR 3.103</w:t>
              </w:r>
            </w:hyperlink>
            <w:r w:rsidRPr="00DA267B">
              <w:t>)</w:t>
            </w:r>
          </w:p>
          <w:p w14:paraId="572F8A53" w14:textId="77777777" w:rsidR="00C85FE8" w:rsidRPr="00DA267B" w:rsidRDefault="00C85FE8" w:rsidP="00E9722F">
            <w:pPr>
              <w:pStyle w:val="BulletText1"/>
            </w:pPr>
            <w:r w:rsidRPr="00DA267B">
              <w:t>the evidence under consideration, and</w:t>
            </w:r>
          </w:p>
          <w:p w14:paraId="55DA74E8" w14:textId="77777777" w:rsidR="00C85FE8" w:rsidRPr="00DA267B" w:rsidRDefault="00C85FE8" w:rsidP="00E9722F">
            <w:pPr>
              <w:pStyle w:val="BulletText1"/>
            </w:pPr>
            <w:r w:rsidRPr="00DA267B">
              <w:t>the proposed rates and any calculations used to arrive at the proposed rates.</w:t>
            </w:r>
          </w:p>
        </w:tc>
      </w:tr>
      <w:tr w:rsidR="00C85FE8" w:rsidRPr="00DA267B" w14:paraId="464A3B00" w14:textId="77777777" w:rsidTr="008F456E"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64B" w14:textId="77777777" w:rsidR="00C85FE8" w:rsidRPr="00DA267B" w:rsidRDefault="00C85FE8" w:rsidP="00E9722F">
            <w:pPr>
              <w:pStyle w:val="TableText"/>
              <w:numPr>
                <w:ilvl w:val="12"/>
                <w:numId w:val="0"/>
              </w:numPr>
            </w:pPr>
            <w:r w:rsidRPr="00DA267B">
              <w:t xml:space="preserve">Rights of beneficiary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0FB1" w14:textId="3C507896" w:rsidR="00C85FE8" w:rsidRPr="00DA267B" w:rsidRDefault="00C85FE8" w:rsidP="00E9722F">
            <w:pPr>
              <w:pStyle w:val="BlockText"/>
              <w:numPr>
                <w:ilvl w:val="12"/>
                <w:numId w:val="0"/>
              </w:numPr>
            </w:pPr>
            <w:r w:rsidRPr="00DA267B">
              <w:t>Informs the beneficiary of the right to</w:t>
            </w:r>
          </w:p>
          <w:p w14:paraId="7C9DC7F9" w14:textId="77777777" w:rsidR="00C85FE8" w:rsidRPr="00DA267B" w:rsidRDefault="00C85FE8" w:rsidP="00E9722F">
            <w:pPr>
              <w:pStyle w:val="BlockText"/>
              <w:numPr>
                <w:ilvl w:val="12"/>
                <w:numId w:val="0"/>
              </w:numPr>
            </w:pPr>
          </w:p>
          <w:p w14:paraId="4C0D9105" w14:textId="77777777" w:rsidR="00C85FE8" w:rsidRPr="00DA267B" w:rsidRDefault="00C85FE8" w:rsidP="00E9722F">
            <w:pPr>
              <w:pStyle w:val="BulletText1"/>
            </w:pPr>
            <w:r w:rsidRPr="00DA267B">
              <w:t>present evidence</w:t>
            </w:r>
          </w:p>
          <w:p w14:paraId="3F814682" w14:textId="77777777" w:rsidR="00C85FE8" w:rsidRPr="00DA267B" w:rsidRDefault="00C85FE8" w:rsidP="00E9722F">
            <w:pPr>
              <w:pStyle w:val="BulletText1"/>
            </w:pPr>
            <w:r w:rsidRPr="00DA267B">
              <w:t>request a personal hearing, and</w:t>
            </w:r>
          </w:p>
          <w:p w14:paraId="5D7AACF6" w14:textId="77777777" w:rsidR="00C85FE8" w:rsidRPr="00DA267B" w:rsidRDefault="00C85FE8" w:rsidP="00E9722F">
            <w:pPr>
              <w:pStyle w:val="BulletText1"/>
            </w:pPr>
            <w:r w:rsidRPr="00DA267B">
              <w:t>have representation.</w:t>
            </w:r>
          </w:p>
        </w:tc>
      </w:tr>
    </w:tbl>
    <w:p w14:paraId="4F14719A" w14:textId="29677553" w:rsidR="00515A91" w:rsidRPr="00DA267B" w:rsidRDefault="00515A91" w:rsidP="00EE008E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515A91" w:rsidRPr="00DA267B" w14:paraId="25088903" w14:textId="77777777" w:rsidTr="00EE008E">
        <w:tc>
          <w:tcPr>
            <w:tcW w:w="5000" w:type="pct"/>
            <w:shd w:val="clear" w:color="auto" w:fill="auto"/>
          </w:tcPr>
          <w:p w14:paraId="1BDDBF81" w14:textId="79A1980E" w:rsidR="00515A91" w:rsidRPr="00DA267B" w:rsidRDefault="00515A91" w:rsidP="00EE008E">
            <w:pPr>
              <w:pStyle w:val="NoteText"/>
            </w:pPr>
            <w:r w:rsidRPr="00DA267B">
              <w:rPr>
                <w:b/>
                <w:i/>
              </w:rPr>
              <w:t>Reference</w:t>
            </w:r>
            <w:r w:rsidRPr="00DA267B">
              <w:t>: For a list of M21-1 references specific to due process, see M21-1, Part I, 2.B.</w:t>
            </w:r>
            <w:r w:rsidR="009C43B3" w:rsidRPr="00DA267B">
              <w:t>4</w:t>
            </w:r>
            <w:r w:rsidRPr="00DA267B">
              <w:t>.</w:t>
            </w:r>
          </w:p>
        </w:tc>
      </w:tr>
    </w:tbl>
    <w:p w14:paraId="1C0875E1" w14:textId="7993A3B4" w:rsidR="000D0E4F" w:rsidRPr="00DA267B" w:rsidRDefault="000D0E4F">
      <w:pPr>
        <w:rPr>
          <w:rFonts w:ascii="Arial" w:hAnsi="Arial"/>
          <w:b/>
          <w:sz w:val="32"/>
        </w:rPr>
      </w:pPr>
    </w:p>
    <w:p w14:paraId="2E132FC0" w14:textId="13B579F7" w:rsidR="008E3C48" w:rsidRPr="00DA267B" w:rsidRDefault="008E3C48">
      <w:pPr>
        <w:rPr>
          <w:rFonts w:ascii="Arial" w:hAnsi="Arial"/>
          <w:b/>
          <w:sz w:val="32"/>
        </w:rPr>
      </w:pPr>
      <w:bookmarkStart w:id="29" w:name="_Toc29605360"/>
      <w:bookmarkStart w:id="30" w:name="_Toc29612283"/>
      <w:bookmarkStart w:id="31" w:name="_Toc29612666"/>
      <w:bookmarkStart w:id="32" w:name="_Toc29612877"/>
      <w:bookmarkStart w:id="33" w:name="_Toc29613304"/>
      <w:bookmarkStart w:id="34" w:name="_Toc29614149"/>
    </w:p>
    <w:p w14:paraId="3D231606" w14:textId="77777777" w:rsidR="00F71DBE" w:rsidRPr="00DA267B" w:rsidRDefault="00F71DBE">
      <w:pPr>
        <w:rPr>
          <w:rFonts w:ascii="Arial" w:hAnsi="Arial"/>
          <w:b/>
          <w:sz w:val="32"/>
        </w:rPr>
      </w:pPr>
      <w:r w:rsidRPr="00DA267B">
        <w:br w:type="page"/>
      </w:r>
    </w:p>
    <w:p w14:paraId="20134355" w14:textId="0B50FDBE" w:rsidR="00F52053" w:rsidRPr="00DA267B" w:rsidRDefault="00FC1096">
      <w:pPr>
        <w:pStyle w:val="Heading4"/>
        <w:numPr>
          <w:ilvl w:val="12"/>
          <w:numId w:val="0"/>
        </w:numPr>
      </w:pPr>
      <w:r w:rsidRPr="00DA267B">
        <w:lastRenderedPageBreak/>
        <w:t>3</w:t>
      </w:r>
      <w:r w:rsidR="00F52053" w:rsidRPr="00DA267B">
        <w:t xml:space="preserve">.  Process for </w:t>
      </w:r>
      <w:bookmarkEnd w:id="29"/>
      <w:bookmarkEnd w:id="30"/>
      <w:bookmarkEnd w:id="31"/>
      <w:bookmarkEnd w:id="32"/>
      <w:bookmarkEnd w:id="33"/>
      <w:bookmarkEnd w:id="34"/>
      <w:r w:rsidR="00F52053" w:rsidRPr="00DA267B">
        <w:t xml:space="preserve">Proposing an Adverse Action </w:t>
      </w:r>
    </w:p>
    <w:p w14:paraId="20134356" w14:textId="77777777" w:rsidR="00F52053" w:rsidRPr="00DA267B" w:rsidRDefault="00F52053">
      <w:pPr>
        <w:pStyle w:val="BlockLine"/>
        <w:numPr>
          <w:ilvl w:val="12"/>
          <w:numId w:val="0"/>
        </w:numPr>
        <w:ind w:left="1700"/>
      </w:pPr>
      <w:r w:rsidRPr="00DA267B">
        <w:fldChar w:fldCharType="begin"/>
      </w:r>
      <w:r w:rsidRPr="00DA267B">
        <w:instrText xml:space="preserve"> PRIVATE INFOTYPE="OTHER"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5D" w14:textId="77777777">
        <w:trPr>
          <w:cantSplit/>
        </w:trPr>
        <w:tc>
          <w:tcPr>
            <w:tcW w:w="1728" w:type="dxa"/>
          </w:tcPr>
          <w:p w14:paraId="20134357" w14:textId="77777777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>Introduction</w:t>
            </w:r>
          </w:p>
        </w:tc>
        <w:tc>
          <w:tcPr>
            <w:tcW w:w="7740" w:type="dxa"/>
          </w:tcPr>
          <w:p w14:paraId="20134358" w14:textId="7C120D09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>This topic contains information on the process of the proposed adverse action, including</w:t>
            </w:r>
          </w:p>
          <w:p w14:paraId="20134359" w14:textId="7777777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 xml:space="preserve"> </w:t>
            </w:r>
          </w:p>
          <w:p w14:paraId="2013435A" w14:textId="0638D907" w:rsidR="00F52053" w:rsidRPr="00DA267B" w:rsidRDefault="00F52053">
            <w:pPr>
              <w:pStyle w:val="BulletText1"/>
            </w:pPr>
            <w:r w:rsidRPr="00DA267B">
              <w:t xml:space="preserve">process for </w:t>
            </w:r>
            <w:r w:rsidR="00484E9A" w:rsidRPr="00DA267B">
              <w:t xml:space="preserve">notices of </w:t>
            </w:r>
            <w:r w:rsidRPr="00DA267B">
              <w:t>proposed adverse action,</w:t>
            </w:r>
          </w:p>
          <w:p w14:paraId="2013435B" w14:textId="77777777" w:rsidR="00F52053" w:rsidRPr="00DA267B" w:rsidRDefault="00F52053">
            <w:pPr>
              <w:pStyle w:val="BulletText1"/>
            </w:pPr>
            <w:r w:rsidRPr="00DA267B">
              <w:t>determining where to send the notice of proposed adverse action, and</w:t>
            </w:r>
          </w:p>
          <w:p w14:paraId="2013435C" w14:textId="3125574B" w:rsidR="00F52053" w:rsidRPr="00DA267B" w:rsidRDefault="00F52053">
            <w:pPr>
              <w:pStyle w:val="BulletText1"/>
            </w:pPr>
            <w:r w:rsidRPr="00DA267B">
              <w:t xml:space="preserve">special procedures for hospitalized </w:t>
            </w:r>
            <w:r w:rsidR="006562E5" w:rsidRPr="00DA267B">
              <w:t>V</w:t>
            </w:r>
            <w:r w:rsidRPr="00DA267B">
              <w:t>eterans.</w:t>
            </w:r>
          </w:p>
        </w:tc>
      </w:tr>
    </w:tbl>
    <w:p w14:paraId="2013435E" w14:textId="77777777" w:rsidR="00F52053" w:rsidRPr="00DA267B" w:rsidRDefault="00F52053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61" w14:textId="77777777">
        <w:trPr>
          <w:cantSplit/>
        </w:trPr>
        <w:tc>
          <w:tcPr>
            <w:tcW w:w="1728" w:type="dxa"/>
          </w:tcPr>
          <w:p w14:paraId="2013435F" w14:textId="77777777" w:rsidR="00F52053" w:rsidRPr="00DA267B" w:rsidRDefault="00F52053">
            <w:pPr>
              <w:pStyle w:val="Heading5"/>
            </w:pPr>
            <w:r w:rsidRPr="00DA267B">
              <w:t>Change Date</w:t>
            </w:r>
          </w:p>
        </w:tc>
        <w:tc>
          <w:tcPr>
            <w:tcW w:w="7740" w:type="dxa"/>
          </w:tcPr>
          <w:p w14:paraId="20134360" w14:textId="5B8B0369" w:rsidR="00F52053" w:rsidRPr="00DA267B" w:rsidRDefault="008453CB">
            <w:pPr>
              <w:pStyle w:val="BlockText"/>
            </w:pPr>
            <w:r w:rsidRPr="00DA267B">
              <w:t>January 20</w:t>
            </w:r>
            <w:r w:rsidR="00714135" w:rsidRPr="00DA267B">
              <w:t>, 2016</w:t>
            </w:r>
          </w:p>
        </w:tc>
      </w:tr>
    </w:tbl>
    <w:p w14:paraId="20134362" w14:textId="77777777" w:rsidR="00F52053" w:rsidRPr="00DA267B" w:rsidRDefault="00D37058">
      <w:pPr>
        <w:pStyle w:val="BlockLine"/>
      </w:pPr>
      <w:r w:rsidRPr="00DA267B">
        <w:fldChar w:fldCharType="begin"/>
      </w:r>
      <w:r w:rsidRPr="00DA267B">
        <w:instrText xml:space="preserve"> PRIVATE INFOTYPE="PROCESS"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65" w14:textId="77777777">
        <w:trPr>
          <w:cantSplit/>
        </w:trPr>
        <w:tc>
          <w:tcPr>
            <w:tcW w:w="1728" w:type="dxa"/>
          </w:tcPr>
          <w:p w14:paraId="20134363" w14:textId="77777777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 xml:space="preserve">a.  Process for Notices of Proposed Adverse Action </w:t>
            </w:r>
          </w:p>
        </w:tc>
        <w:tc>
          <w:tcPr>
            <w:tcW w:w="7740" w:type="dxa"/>
          </w:tcPr>
          <w:p w14:paraId="20134364" w14:textId="7777777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>The table below describes the process for notices of proposed adverse action.</w:t>
            </w:r>
          </w:p>
        </w:tc>
      </w:tr>
    </w:tbl>
    <w:p w14:paraId="20134366" w14:textId="77777777" w:rsidR="00F52053" w:rsidRPr="00DA267B" w:rsidRDefault="00F52053">
      <w:pPr>
        <w:numPr>
          <w:ilvl w:val="12"/>
          <w:numId w:val="0"/>
        </w:num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0"/>
        <w:gridCol w:w="3420"/>
        <w:gridCol w:w="3330"/>
      </w:tblGrid>
      <w:tr w:rsidR="00F52053" w:rsidRPr="00DA267B" w14:paraId="2013436A" w14:textId="77777777" w:rsidTr="008F456E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67" w14:textId="77777777" w:rsidR="00F52053" w:rsidRPr="00DA267B" w:rsidRDefault="00F52053">
            <w:pPr>
              <w:pStyle w:val="TableHeaderText"/>
              <w:numPr>
                <w:ilvl w:val="12"/>
                <w:numId w:val="0"/>
              </w:numPr>
            </w:pPr>
            <w:r w:rsidRPr="00DA267B">
              <w:t>Stage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68" w14:textId="77777777" w:rsidR="00F52053" w:rsidRPr="00DA267B" w:rsidRDefault="00F52053">
            <w:pPr>
              <w:pStyle w:val="TableHeaderText"/>
              <w:numPr>
                <w:ilvl w:val="12"/>
                <w:numId w:val="0"/>
              </w:numPr>
            </w:pPr>
            <w:r w:rsidRPr="00DA267B">
              <w:t>Description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69" w14:textId="77777777" w:rsidR="00F52053" w:rsidRPr="00DA267B" w:rsidRDefault="00F52053">
            <w:pPr>
              <w:pStyle w:val="TableHeaderText"/>
              <w:numPr>
                <w:ilvl w:val="12"/>
                <w:numId w:val="0"/>
              </w:numPr>
            </w:pPr>
            <w:r w:rsidRPr="00DA267B">
              <w:t>Reference</w:t>
            </w:r>
          </w:p>
        </w:tc>
      </w:tr>
      <w:tr w:rsidR="00F52053" w:rsidRPr="00DA267B" w14:paraId="2013436E" w14:textId="77777777" w:rsidTr="008F456E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6B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6C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>VA sends beneficiary a notice of proposed adverse action.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6D" w14:textId="4DEA8FB3" w:rsidR="00F52053" w:rsidRPr="00DA267B" w:rsidRDefault="00DA267B" w:rsidP="00E60B70">
            <w:pPr>
              <w:pStyle w:val="TableText"/>
              <w:numPr>
                <w:ilvl w:val="12"/>
                <w:numId w:val="0"/>
              </w:numPr>
            </w:pPr>
            <w:hyperlink r:id="rId16" w:history="1">
              <w:r w:rsidR="00F52053" w:rsidRPr="00DA267B">
                <w:t>M21-1, Part I, 2.B.</w:t>
              </w:r>
              <w:r w:rsidR="00E60B70" w:rsidRPr="00DA267B">
                <w:t>2</w:t>
              </w:r>
            </w:hyperlink>
          </w:p>
        </w:tc>
      </w:tr>
      <w:tr w:rsidR="00F52053" w:rsidRPr="00DA267B" w14:paraId="20134372" w14:textId="77777777" w:rsidTr="008F456E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6F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0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 xml:space="preserve">VA establishes the proposed adverse action period specifying the amount of time the beneficiary has to respond before any proposed adverse action is executed.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1" w14:textId="3D63D67D" w:rsidR="00F52053" w:rsidRPr="00DA267B" w:rsidRDefault="00DA267B" w:rsidP="00E60B70">
            <w:pPr>
              <w:pStyle w:val="TableText"/>
              <w:numPr>
                <w:ilvl w:val="12"/>
                <w:numId w:val="0"/>
              </w:numPr>
            </w:pPr>
            <w:hyperlink r:id="rId17" w:history="1">
              <w:r w:rsidR="00F52053" w:rsidRPr="00DA267B">
                <w:t>M21-1, Part I, 2.C</w:t>
              </w:r>
            </w:hyperlink>
            <w:r w:rsidR="00151881" w:rsidRPr="00DA267B">
              <w:t>.1</w:t>
            </w:r>
          </w:p>
        </w:tc>
      </w:tr>
      <w:tr w:rsidR="00F52053" w:rsidRPr="00DA267B" w14:paraId="20134376" w14:textId="77777777" w:rsidTr="008F456E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3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4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>VA responds to the evidence and arguments submitted by the beneficiary, if any, during the proposed adverse action period.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5" w14:textId="6656472D" w:rsidR="00F52053" w:rsidRPr="00DA267B" w:rsidRDefault="00DA267B" w:rsidP="002E14FA">
            <w:pPr>
              <w:pStyle w:val="TableText"/>
              <w:numPr>
                <w:ilvl w:val="12"/>
                <w:numId w:val="0"/>
              </w:numPr>
            </w:pPr>
            <w:hyperlink r:id="rId18" w:history="1">
              <w:r w:rsidR="00F52053" w:rsidRPr="00DA267B">
                <w:t>M21-1, Part I, 2.C</w:t>
              </w:r>
            </w:hyperlink>
            <w:r w:rsidR="00151881" w:rsidRPr="00DA267B">
              <w:t>.2</w:t>
            </w:r>
            <w:r w:rsidR="00F52053" w:rsidRPr="00DA267B">
              <w:t xml:space="preserve"> </w:t>
            </w:r>
          </w:p>
        </w:tc>
      </w:tr>
      <w:tr w:rsidR="003B15A4" w:rsidRPr="00DA267B" w14:paraId="3487A478" w14:textId="77777777" w:rsidTr="008F456E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5C04" w14:textId="52BD52CE" w:rsidR="003B15A4" w:rsidRPr="00DA267B" w:rsidRDefault="003B15A4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0BF2" w14:textId="04B6F4A8" w:rsidR="003B15A4" w:rsidRPr="00DA267B" w:rsidRDefault="003B15A4">
            <w:pPr>
              <w:pStyle w:val="TableText"/>
              <w:numPr>
                <w:ilvl w:val="12"/>
                <w:numId w:val="0"/>
              </w:numPr>
            </w:pPr>
            <w:r w:rsidRPr="00DA267B">
              <w:t>VA responds to hearing requests</w:t>
            </w:r>
            <w:r w:rsidR="00975444" w:rsidRPr="00DA267B">
              <w:t>,</w:t>
            </w:r>
            <w:r w:rsidRPr="00DA267B">
              <w:t xml:space="preserve"> if applicable.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FFFA" w14:textId="66B5ED23" w:rsidR="00151881" w:rsidRPr="00DA267B" w:rsidRDefault="00151881" w:rsidP="00151881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DA267B">
              <w:t>M21-1, Part I, 2.C.3, and</w:t>
            </w:r>
          </w:p>
          <w:p w14:paraId="2B5344EB" w14:textId="6C575751" w:rsidR="003B15A4" w:rsidRPr="00DA267B" w:rsidDel="005A0EEE" w:rsidRDefault="003C0E1B" w:rsidP="00151881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DA267B">
              <w:t>M21-1, Part I, 4</w:t>
            </w:r>
            <w:r w:rsidR="00151881" w:rsidRPr="00DA267B">
              <w:t>.</w:t>
            </w:r>
          </w:p>
        </w:tc>
      </w:tr>
      <w:tr w:rsidR="00F52053" w:rsidRPr="00DA267B" w14:paraId="20134380" w14:textId="77777777" w:rsidTr="008F456E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7" w14:textId="2051FC47" w:rsidR="00F52053" w:rsidRPr="00DA267B" w:rsidRDefault="003B15A4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8" w14:textId="0447F8ED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 xml:space="preserve">VA sends final </w:t>
            </w:r>
            <w:r w:rsidR="003C0E1B" w:rsidRPr="00DA267B">
              <w:t xml:space="preserve">decision </w:t>
            </w:r>
            <w:r w:rsidRPr="00DA267B">
              <w:t>noti</w:t>
            </w:r>
            <w:r w:rsidR="003C0E1B" w:rsidRPr="00DA267B">
              <w:t>ce</w:t>
            </w:r>
            <w:r w:rsidRPr="00DA267B">
              <w:t>, advising the beneficiary of</w:t>
            </w:r>
          </w:p>
          <w:p w14:paraId="20134379" w14:textId="7777777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</w:p>
          <w:p w14:paraId="2013437A" w14:textId="77777777" w:rsidR="00F52053" w:rsidRPr="00DA267B" w:rsidRDefault="00F52053">
            <w:pPr>
              <w:pStyle w:val="BulletText1"/>
            </w:pPr>
            <w:r w:rsidRPr="00DA267B">
              <w:t>the decision (including new rates)</w:t>
            </w:r>
          </w:p>
          <w:p w14:paraId="2013437B" w14:textId="77777777" w:rsidR="00F52053" w:rsidRPr="00DA267B" w:rsidRDefault="00F52053">
            <w:pPr>
              <w:pStyle w:val="BulletText1"/>
            </w:pPr>
            <w:r w:rsidRPr="00DA267B">
              <w:t>the effective date(s)</w:t>
            </w:r>
          </w:p>
          <w:p w14:paraId="2013437C" w14:textId="77777777" w:rsidR="00F52053" w:rsidRPr="00DA267B" w:rsidRDefault="00F52053">
            <w:pPr>
              <w:pStyle w:val="BulletText1"/>
            </w:pPr>
            <w:r w:rsidRPr="00DA267B">
              <w:t>the detailed reasons for the decision</w:t>
            </w:r>
          </w:p>
          <w:p w14:paraId="2013437D" w14:textId="77777777" w:rsidR="00F52053" w:rsidRPr="00DA267B" w:rsidRDefault="00F52053">
            <w:pPr>
              <w:pStyle w:val="BulletText1"/>
            </w:pPr>
            <w:r w:rsidRPr="00DA267B">
              <w:t>overpayment information, and</w:t>
            </w:r>
          </w:p>
          <w:p w14:paraId="2013437E" w14:textId="02A46BD4" w:rsidR="00F52053" w:rsidRPr="00DA267B" w:rsidRDefault="00F52053">
            <w:pPr>
              <w:pStyle w:val="BulletText1"/>
            </w:pPr>
            <w:proofErr w:type="gramStart"/>
            <w:r w:rsidRPr="00DA267B">
              <w:t>appeal</w:t>
            </w:r>
            <w:proofErr w:type="gramEnd"/>
            <w:r w:rsidRPr="00DA267B">
              <w:t xml:space="preserve"> rights</w:t>
            </w:r>
            <w:r w:rsidR="00714135" w:rsidRPr="00DA267B">
              <w:t>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7F" w14:textId="10E009A5" w:rsidR="00F52053" w:rsidRPr="00DA267B" w:rsidRDefault="00DA267B" w:rsidP="002E14FA">
            <w:pPr>
              <w:pStyle w:val="TableText"/>
              <w:numPr>
                <w:ilvl w:val="12"/>
                <w:numId w:val="0"/>
              </w:numPr>
            </w:pPr>
            <w:hyperlink r:id="rId19" w:history="1">
              <w:r w:rsidR="00F52053" w:rsidRPr="00DA267B">
                <w:t>M21-1, Part I, 2.C</w:t>
              </w:r>
            </w:hyperlink>
            <w:r w:rsidR="00151881" w:rsidRPr="00DA267B">
              <w:t>.4</w:t>
            </w:r>
          </w:p>
        </w:tc>
      </w:tr>
    </w:tbl>
    <w:p w14:paraId="20134383" w14:textId="77777777" w:rsidR="00F52053" w:rsidRPr="00DA267B" w:rsidRDefault="00D37058">
      <w:pPr>
        <w:pStyle w:val="BlockLine"/>
      </w:pPr>
      <w:r w:rsidRPr="00DA267B">
        <w:lastRenderedPageBreak/>
        <w:fldChar w:fldCharType="begin"/>
      </w:r>
      <w:r w:rsidRPr="00DA267B">
        <w:instrText xml:space="preserve"> PRIVATE INFOTYPE="PROCEDURE"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88" w14:textId="77777777">
        <w:trPr>
          <w:cantSplit/>
        </w:trPr>
        <w:tc>
          <w:tcPr>
            <w:tcW w:w="1728" w:type="dxa"/>
          </w:tcPr>
          <w:p w14:paraId="20134384" w14:textId="308DAB5F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 xml:space="preserve">b.  Determining Where to Send </w:t>
            </w:r>
            <w:r w:rsidR="00484E9A" w:rsidRPr="00DA267B">
              <w:t xml:space="preserve">the </w:t>
            </w:r>
            <w:r w:rsidRPr="00DA267B">
              <w:t>Notice</w:t>
            </w:r>
            <w:r w:rsidR="00484E9A" w:rsidRPr="00DA267B">
              <w:t xml:space="preserve"> of Proposed Adverse Action</w:t>
            </w:r>
          </w:p>
        </w:tc>
        <w:tc>
          <w:tcPr>
            <w:tcW w:w="7740" w:type="dxa"/>
          </w:tcPr>
          <w:p w14:paraId="20134385" w14:textId="2074B1CC" w:rsidR="00F52053" w:rsidRPr="00DA267B" w:rsidRDefault="00F52053">
            <w:pPr>
              <w:pStyle w:val="BlockText"/>
              <w:numPr>
                <w:ilvl w:val="12"/>
                <w:numId w:val="0"/>
              </w:numPr>
              <w:rPr>
                <w:b/>
                <w:i/>
              </w:rPr>
            </w:pPr>
            <w:r w:rsidRPr="00DA267B">
              <w:t>Use the table below to determine where to send the notice</w:t>
            </w:r>
            <w:r w:rsidR="004E38A2" w:rsidRPr="00DA267B">
              <w:t xml:space="preserve"> of proposed adverse action</w:t>
            </w:r>
            <w:r w:rsidRPr="00DA267B">
              <w:t>.</w:t>
            </w:r>
          </w:p>
          <w:p w14:paraId="20134387" w14:textId="2DA342B4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</w:p>
        </w:tc>
      </w:tr>
    </w:tbl>
    <w:p w14:paraId="20134389" w14:textId="77777777" w:rsidR="00F52053" w:rsidRPr="00DA267B" w:rsidRDefault="00F52053">
      <w:pPr>
        <w:numPr>
          <w:ilvl w:val="12"/>
          <w:numId w:val="0"/>
        </w:numPr>
      </w:pPr>
      <w:r w:rsidRPr="00DA267B"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0"/>
        <w:gridCol w:w="4150"/>
      </w:tblGrid>
      <w:tr w:rsidR="00F52053" w:rsidRPr="00DA267B" w14:paraId="2013438C" w14:textId="77777777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8A" w14:textId="77777777" w:rsidR="00F52053" w:rsidRPr="00DA267B" w:rsidRDefault="00F52053">
            <w:pPr>
              <w:pStyle w:val="TableHeaderText"/>
              <w:numPr>
                <w:ilvl w:val="12"/>
                <w:numId w:val="0"/>
              </w:numPr>
              <w:jc w:val="left"/>
            </w:pPr>
            <w:r w:rsidRPr="00DA267B">
              <w:t>If …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8B" w14:textId="77777777" w:rsidR="00F52053" w:rsidRPr="00DA267B" w:rsidRDefault="00F52053">
            <w:pPr>
              <w:pStyle w:val="TableHeaderText"/>
              <w:numPr>
                <w:ilvl w:val="12"/>
                <w:numId w:val="0"/>
              </w:numPr>
              <w:jc w:val="left"/>
            </w:pPr>
            <w:r w:rsidRPr="00DA267B">
              <w:t>Then …</w:t>
            </w:r>
          </w:p>
        </w:tc>
      </w:tr>
      <w:tr w:rsidR="00F52053" w:rsidRPr="00DA267B" w14:paraId="2013438F" w14:textId="77777777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8D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 xml:space="preserve">a valid current address exists  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8E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>send the notice to the current address of record.</w:t>
            </w:r>
          </w:p>
        </w:tc>
      </w:tr>
      <w:tr w:rsidR="00F52053" w:rsidRPr="00DA267B" w14:paraId="201343A8" w14:textId="77777777" w:rsidTr="00A25878">
        <w:trPr>
          <w:cantSplit/>
          <w:trHeight w:val="867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94" w14:textId="0A28BEAC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>mail is returned as undeliverable</w:t>
            </w:r>
          </w:p>
          <w:p w14:paraId="20134395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</w:p>
          <w:p w14:paraId="20134396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A7" w14:textId="4AFDD755" w:rsidR="009B7B98" w:rsidRPr="00DA267B" w:rsidRDefault="00CA53F8" w:rsidP="00CA53F8">
            <w:pPr>
              <w:pStyle w:val="BulletText2"/>
              <w:numPr>
                <w:ilvl w:val="0"/>
                <w:numId w:val="0"/>
              </w:numPr>
            </w:pPr>
            <w:proofErr w:type="gramStart"/>
            <w:r w:rsidRPr="00DA267B">
              <w:t>follow</w:t>
            </w:r>
            <w:proofErr w:type="gramEnd"/>
            <w:r w:rsidRPr="00DA267B">
              <w:t xml:space="preserve"> </w:t>
            </w:r>
            <w:r w:rsidR="00A25878" w:rsidRPr="00DA267B">
              <w:t xml:space="preserve">guidance provided in M21-1, Part III, Subpart </w:t>
            </w:r>
            <w:r w:rsidR="00D62A34" w:rsidRPr="00DA267B">
              <w:t>i</w:t>
            </w:r>
            <w:r w:rsidR="00A25878" w:rsidRPr="00DA267B">
              <w:t>ii, 1.B.</w:t>
            </w:r>
            <w:r w:rsidR="002D7C8F" w:rsidRPr="00DA267B">
              <w:t>9</w:t>
            </w:r>
            <w:r w:rsidR="00B152DC" w:rsidRPr="00DA267B">
              <w:t>,</w:t>
            </w:r>
            <w:r w:rsidR="00A25878" w:rsidRPr="00DA267B">
              <w:t xml:space="preserve"> </w:t>
            </w:r>
            <w:r w:rsidR="00B04ED1" w:rsidRPr="00DA267B">
              <w:t>Issues Regarding a Claimant’s Address</w:t>
            </w:r>
            <w:r w:rsidR="00152B4A" w:rsidRPr="00DA267B">
              <w:t>.</w:t>
            </w:r>
          </w:p>
        </w:tc>
      </w:tr>
    </w:tbl>
    <w:p w14:paraId="61985E23" w14:textId="77777777" w:rsidR="00714135" w:rsidRPr="00DA267B" w:rsidRDefault="00714135" w:rsidP="00714135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714135" w:rsidRPr="00DA267B" w14:paraId="4335984D" w14:textId="77777777" w:rsidTr="00714135">
        <w:tc>
          <w:tcPr>
            <w:tcW w:w="5000" w:type="pct"/>
            <w:shd w:val="clear" w:color="auto" w:fill="auto"/>
          </w:tcPr>
          <w:p w14:paraId="161BCA89" w14:textId="48D6458E" w:rsidR="00714135" w:rsidRPr="00DA267B" w:rsidRDefault="00714135" w:rsidP="00714135">
            <w:pPr>
              <w:pStyle w:val="NoteText"/>
            </w:pPr>
            <w:r w:rsidRPr="00DA267B">
              <w:rPr>
                <w:b/>
                <w:i/>
              </w:rPr>
              <w:t>Reference</w:t>
            </w:r>
            <w:r w:rsidRPr="00DA267B">
              <w:t xml:space="preserve">:  For more information on sending the notice to the Agent Cashier for a homeless beneficiary, see </w:t>
            </w:r>
            <w:hyperlink r:id="rId20" w:history="1">
              <w:r w:rsidRPr="00DA267B">
                <w:rPr>
                  <w:rStyle w:val="Hyperlink"/>
                </w:rPr>
                <w:t>38 CFR 1.710(d)</w:t>
              </w:r>
            </w:hyperlink>
            <w:r w:rsidRPr="00DA267B">
              <w:t>.</w:t>
            </w:r>
          </w:p>
        </w:tc>
      </w:tr>
    </w:tbl>
    <w:p w14:paraId="201343AB" w14:textId="2D60587B" w:rsidR="00F52053" w:rsidRPr="00DA267B" w:rsidRDefault="00D37058">
      <w:pPr>
        <w:pStyle w:val="BlockLine"/>
      </w:pPr>
      <w:r w:rsidRPr="00DA267B">
        <w:fldChar w:fldCharType="begin"/>
      </w:r>
      <w:r w:rsidRPr="00DA267B">
        <w:instrText xml:space="preserve"> PRIVATE INFOTYPE="PROCEDURE"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3B0" w14:textId="77777777">
        <w:trPr>
          <w:cantSplit/>
        </w:trPr>
        <w:tc>
          <w:tcPr>
            <w:tcW w:w="1728" w:type="dxa"/>
          </w:tcPr>
          <w:p w14:paraId="201343AC" w14:textId="29737594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>c.  Special Procedure</w:t>
            </w:r>
            <w:r w:rsidR="009E7882" w:rsidRPr="00DA267B">
              <w:t>s</w:t>
            </w:r>
            <w:r w:rsidRPr="00DA267B">
              <w:t xml:space="preserve"> for Hospitalized Veterans</w:t>
            </w:r>
          </w:p>
        </w:tc>
        <w:tc>
          <w:tcPr>
            <w:tcW w:w="7740" w:type="dxa"/>
          </w:tcPr>
          <w:p w14:paraId="1802F9DF" w14:textId="073AC354" w:rsidR="00D43EE3" w:rsidRPr="00DA267B" w:rsidRDefault="00D43EE3" w:rsidP="00D43EE3">
            <w:pPr>
              <w:numPr>
                <w:ilvl w:val="12"/>
                <w:numId w:val="0"/>
              </w:numPr>
            </w:pPr>
            <w:r w:rsidRPr="00DA267B">
              <w:t xml:space="preserve">Hospital adjustments are completed when a Veteran is in receipt of aid and attendance </w:t>
            </w:r>
            <w:r w:rsidR="002E774D" w:rsidRPr="00DA267B">
              <w:t xml:space="preserve">(A&amp;A) </w:t>
            </w:r>
            <w:r w:rsidRPr="00DA267B">
              <w:t xml:space="preserve">allowance and is hospitalized. </w:t>
            </w:r>
            <w:r w:rsidR="00E7311E" w:rsidRPr="00DA267B">
              <w:t xml:space="preserve"> </w:t>
            </w:r>
            <w:r w:rsidRPr="00DA267B">
              <w:t xml:space="preserve">The additional compensation or increased pension for </w:t>
            </w:r>
            <w:r w:rsidR="002E774D" w:rsidRPr="00DA267B">
              <w:t>A&amp;A</w:t>
            </w:r>
            <w:r w:rsidRPr="00DA267B">
              <w:t xml:space="preserve"> shall be discontinued.</w:t>
            </w:r>
          </w:p>
          <w:p w14:paraId="3D58106C" w14:textId="77777777" w:rsidR="00D43EE3" w:rsidRPr="00DA267B" w:rsidRDefault="00D43EE3">
            <w:pPr>
              <w:pStyle w:val="BlockText"/>
              <w:numPr>
                <w:ilvl w:val="12"/>
                <w:numId w:val="0"/>
              </w:numPr>
            </w:pPr>
          </w:p>
          <w:p w14:paraId="201343AD" w14:textId="1D4017FC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 xml:space="preserve">Follow the steps in the table below to send a notice of proposed adverse action to a hospitalized </w:t>
            </w:r>
            <w:r w:rsidR="006562E5" w:rsidRPr="00DA267B">
              <w:t>Veteran</w:t>
            </w:r>
            <w:r w:rsidRPr="00DA267B">
              <w:t xml:space="preserve"> to ensure that he/she receives proper notification before the reduction or termination of benefits.</w:t>
            </w:r>
          </w:p>
          <w:p w14:paraId="5B944E0D" w14:textId="5109FEEA" w:rsidR="00A65272" w:rsidRPr="00DA267B" w:rsidRDefault="00A65272" w:rsidP="00A65272">
            <w:pPr>
              <w:ind w:left="-29"/>
            </w:pPr>
          </w:p>
          <w:p w14:paraId="201343AF" w14:textId="48BF68A1" w:rsidR="00FC258A" w:rsidRPr="00DA267B" w:rsidRDefault="00F52053" w:rsidP="00186FB8">
            <w:pPr>
              <w:pStyle w:val="BlockText"/>
              <w:numPr>
                <w:ilvl w:val="12"/>
                <w:numId w:val="0"/>
              </w:numPr>
            </w:pPr>
            <w:r w:rsidRPr="00DA267B">
              <w:rPr>
                <w:b/>
                <w:i/>
              </w:rPr>
              <w:t>Note</w:t>
            </w:r>
            <w:r w:rsidRPr="00DA267B">
              <w:t xml:space="preserve">:  If the </w:t>
            </w:r>
            <w:r w:rsidR="006562E5" w:rsidRPr="00DA267B">
              <w:t>Veteran</w:t>
            </w:r>
            <w:r w:rsidRPr="00DA267B">
              <w:t xml:space="preserve"> has a fiduciary, send the notice of proposed adverse action to the fiduciary only.  A separate notice to the hospitalized </w:t>
            </w:r>
            <w:r w:rsidR="006562E5" w:rsidRPr="00DA267B">
              <w:t>Veteran</w:t>
            </w:r>
            <w:r w:rsidRPr="00DA267B">
              <w:t xml:space="preserve"> is </w:t>
            </w:r>
            <w:r w:rsidRPr="00DA267B">
              <w:rPr>
                <w:b/>
                <w:i/>
              </w:rPr>
              <w:t>not</w:t>
            </w:r>
            <w:r w:rsidR="00186FB8" w:rsidRPr="00DA267B">
              <w:t xml:space="preserve"> required.</w:t>
            </w:r>
          </w:p>
        </w:tc>
      </w:tr>
    </w:tbl>
    <w:p w14:paraId="201343B1" w14:textId="4EC5C9C7" w:rsidR="00F52053" w:rsidRPr="00DA267B" w:rsidRDefault="00F52053">
      <w:pPr>
        <w:numPr>
          <w:ilvl w:val="12"/>
          <w:numId w:val="0"/>
        </w:numPr>
      </w:pPr>
      <w:r w:rsidRPr="00DA267B"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F52053" w:rsidRPr="00DA267B" w14:paraId="201343B4" w14:textId="77777777" w:rsidTr="008F456E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B2" w14:textId="77777777" w:rsidR="00F52053" w:rsidRPr="00DA267B" w:rsidRDefault="00F52053">
            <w:pPr>
              <w:pStyle w:val="TableHeaderText"/>
              <w:numPr>
                <w:ilvl w:val="12"/>
                <w:numId w:val="0"/>
              </w:numPr>
            </w:pPr>
            <w:r w:rsidRPr="00DA267B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B3" w14:textId="77777777" w:rsidR="00F52053" w:rsidRPr="00DA267B" w:rsidRDefault="00F52053">
            <w:pPr>
              <w:pStyle w:val="TableHeaderText"/>
              <w:numPr>
                <w:ilvl w:val="12"/>
                <w:numId w:val="0"/>
              </w:numPr>
            </w:pPr>
            <w:r w:rsidRPr="00DA267B">
              <w:t>Action</w:t>
            </w:r>
          </w:p>
        </w:tc>
      </w:tr>
      <w:tr w:rsidR="00F52053" w:rsidRPr="00DA267B" w14:paraId="201343BA" w14:textId="77777777" w:rsidTr="008F456E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B5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B6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 xml:space="preserve">Prepare two notices of proposed adverse action and address </w:t>
            </w:r>
          </w:p>
          <w:p w14:paraId="201343B7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</w:p>
          <w:p w14:paraId="201343B8" w14:textId="4AF550AB" w:rsidR="00F52053" w:rsidRPr="00DA267B" w:rsidRDefault="00F52053">
            <w:pPr>
              <w:pStyle w:val="BulletText1"/>
            </w:pPr>
            <w:r w:rsidRPr="00DA267B">
              <w:t xml:space="preserve">one to the </w:t>
            </w:r>
            <w:r w:rsidR="006562E5" w:rsidRPr="00DA267B">
              <w:t>Veteran</w:t>
            </w:r>
            <w:r w:rsidRPr="00DA267B">
              <w:t>’s address of record, and</w:t>
            </w:r>
          </w:p>
          <w:p w14:paraId="201343B9" w14:textId="6C0CA0AB" w:rsidR="00F52053" w:rsidRPr="00DA267B" w:rsidRDefault="00F52053">
            <w:pPr>
              <w:pStyle w:val="BulletText1"/>
            </w:pPr>
            <w:r w:rsidRPr="00DA267B">
              <w:t xml:space="preserve">another to the </w:t>
            </w:r>
            <w:r w:rsidR="006562E5" w:rsidRPr="00DA267B">
              <w:t>Veteran</w:t>
            </w:r>
            <w:r w:rsidRPr="00DA267B">
              <w:t xml:space="preserve"> at the hospital or nursing home.</w:t>
            </w:r>
          </w:p>
        </w:tc>
      </w:tr>
      <w:tr w:rsidR="00F52053" w:rsidRPr="00DA267B" w14:paraId="201343C2" w14:textId="77777777" w:rsidTr="008F456E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BB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A53A" w14:textId="77777777" w:rsidR="00714135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 xml:space="preserve">The following statement should be included: </w:t>
            </w:r>
          </w:p>
          <w:p w14:paraId="16111F80" w14:textId="77777777" w:rsidR="00291332" w:rsidRPr="00DA267B" w:rsidRDefault="00291332">
            <w:pPr>
              <w:pStyle w:val="TableText"/>
              <w:numPr>
                <w:ilvl w:val="12"/>
                <w:numId w:val="0"/>
              </w:numPr>
              <w:rPr>
                <w:i/>
              </w:rPr>
            </w:pPr>
          </w:p>
          <w:p w14:paraId="201343BC" w14:textId="430A22A6" w:rsidR="00F52053" w:rsidRPr="00DA267B" w:rsidRDefault="00F52053" w:rsidP="00DA267B">
            <w:pPr>
              <w:pStyle w:val="TableText"/>
              <w:numPr>
                <w:ilvl w:val="12"/>
                <w:numId w:val="0"/>
              </w:numPr>
              <w:ind w:left="720"/>
              <w:rPr>
                <w:i/>
              </w:rPr>
            </w:pPr>
            <w:r w:rsidRPr="00DA267B">
              <w:rPr>
                <w:i/>
              </w:rPr>
              <w:t>I was admitted to the</w:t>
            </w:r>
            <w:r w:rsidRPr="00DA267B">
              <w:rPr>
                <w:iCs/>
              </w:rPr>
              <w:t xml:space="preserve"> </w:t>
            </w:r>
            <w:r w:rsidRPr="00DA267B">
              <w:rPr>
                <w:b/>
              </w:rPr>
              <w:t>[type hospital’s name]</w:t>
            </w:r>
            <w:r w:rsidRPr="00DA267B">
              <w:t xml:space="preserve"> </w:t>
            </w:r>
            <w:r w:rsidRPr="00DA267B">
              <w:rPr>
                <w:i/>
              </w:rPr>
              <w:t>on</w:t>
            </w:r>
            <w:r w:rsidRPr="00DA267B">
              <w:rPr>
                <w:iCs/>
              </w:rPr>
              <w:t xml:space="preserve"> </w:t>
            </w:r>
            <w:r w:rsidRPr="00DA267B">
              <w:rPr>
                <w:b/>
              </w:rPr>
              <w:t>[type</w:t>
            </w:r>
            <w:r w:rsidRPr="00DA267B">
              <w:t xml:space="preserve"> </w:t>
            </w:r>
            <w:r w:rsidRPr="00DA267B">
              <w:rPr>
                <w:b/>
              </w:rPr>
              <w:t>admission date]</w:t>
            </w:r>
            <w:r w:rsidRPr="00DA267B">
              <w:t xml:space="preserve">.  </w:t>
            </w:r>
            <w:r w:rsidRPr="00DA267B">
              <w:rPr>
                <w:i/>
              </w:rPr>
              <w:t>Please take immediate action to reduce my payments to the proper rate authorized by law.</w:t>
            </w:r>
          </w:p>
          <w:p w14:paraId="201343BD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rPr>
                <w:i/>
              </w:rPr>
            </w:pPr>
          </w:p>
          <w:p w14:paraId="201343BE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>Place it either</w:t>
            </w:r>
          </w:p>
          <w:p w14:paraId="201343BF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</w:p>
          <w:p w14:paraId="201343C0" w14:textId="77777777" w:rsidR="00F52053" w:rsidRPr="00DA267B" w:rsidRDefault="00F52053">
            <w:pPr>
              <w:pStyle w:val="BulletText1"/>
            </w:pPr>
            <w:r w:rsidRPr="00DA267B">
              <w:t xml:space="preserve">at the bottom of the notice of proposed adverse action, or </w:t>
            </w:r>
          </w:p>
          <w:p w14:paraId="201343C1" w14:textId="6B64E342" w:rsidR="00F52053" w:rsidRPr="00DA267B" w:rsidRDefault="00F52053" w:rsidP="009E7882">
            <w:pPr>
              <w:pStyle w:val="BulletText1"/>
            </w:pPr>
            <w:r w:rsidRPr="00DA267B">
              <w:t xml:space="preserve">on an attached </w:t>
            </w:r>
            <w:r w:rsidRPr="00DA267B">
              <w:rPr>
                <w:i/>
                <w:iCs/>
              </w:rPr>
              <w:t>VA Form 21-4138</w:t>
            </w:r>
            <w:r w:rsidRPr="00DA267B">
              <w:t xml:space="preserve">, </w:t>
            </w:r>
            <w:r w:rsidRPr="00DA267B">
              <w:rPr>
                <w:i/>
              </w:rPr>
              <w:t>Statement in Support of Claim</w:t>
            </w:r>
            <w:r w:rsidR="00950062" w:rsidRPr="00DA267B">
              <w:t>.</w:t>
            </w:r>
          </w:p>
        </w:tc>
      </w:tr>
      <w:tr w:rsidR="00F52053" w:rsidRPr="00DA267B" w14:paraId="201343C7" w14:textId="77777777" w:rsidTr="008F456E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C3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jc w:val="center"/>
            </w:pPr>
            <w:r w:rsidRPr="00DA267B">
              <w:lastRenderedPageBreak/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3C4" w14:textId="25F49725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t xml:space="preserve">Request the </w:t>
            </w:r>
            <w:r w:rsidR="006562E5" w:rsidRPr="00DA267B">
              <w:t>Veteran</w:t>
            </w:r>
            <w:r w:rsidRPr="00DA267B">
              <w:t xml:space="preserve"> to sign and return the notice or form. </w:t>
            </w:r>
          </w:p>
          <w:p w14:paraId="201343C5" w14:textId="77777777" w:rsidR="00F52053" w:rsidRPr="00DA267B" w:rsidRDefault="00F52053">
            <w:pPr>
              <w:pStyle w:val="TableText"/>
              <w:numPr>
                <w:ilvl w:val="12"/>
                <w:numId w:val="0"/>
              </w:numPr>
              <w:rPr>
                <w:b/>
              </w:rPr>
            </w:pPr>
          </w:p>
          <w:p w14:paraId="201343C6" w14:textId="09681C91" w:rsidR="00F52053" w:rsidRPr="00DA267B" w:rsidRDefault="00F52053">
            <w:pPr>
              <w:pStyle w:val="TableText"/>
              <w:numPr>
                <w:ilvl w:val="12"/>
                <w:numId w:val="0"/>
              </w:numPr>
            </w:pPr>
            <w:r w:rsidRPr="00DA267B">
              <w:rPr>
                <w:b/>
                <w:bCs/>
                <w:i/>
                <w:iCs/>
              </w:rPr>
              <w:t>Exception</w:t>
            </w:r>
            <w:r w:rsidRPr="00DA267B">
              <w:t>:</w:t>
            </w:r>
            <w:r w:rsidRPr="00DA267B">
              <w:rPr>
                <w:b/>
              </w:rPr>
              <w:t xml:space="preserve">  </w:t>
            </w:r>
            <w:r w:rsidRPr="00DA267B">
              <w:t xml:space="preserve">When a </w:t>
            </w:r>
            <w:r w:rsidR="006562E5" w:rsidRPr="00DA267B">
              <w:t>Veteran</w:t>
            </w:r>
            <w:r w:rsidRPr="00DA267B">
              <w:t xml:space="preserve"> fails to return the form, no reduction in benefits can be made until the proposed adverse action period expires.</w:t>
            </w:r>
          </w:p>
        </w:tc>
      </w:tr>
    </w:tbl>
    <w:p w14:paraId="1EDBEF35" w14:textId="77777777" w:rsidR="00291332" w:rsidRPr="00DA267B" w:rsidRDefault="00291332" w:rsidP="00ED4191">
      <w:pPr>
        <w:tabs>
          <w:tab w:val="left" w:pos="9360"/>
        </w:tabs>
        <w:ind w:left="1714"/>
        <w:rPr>
          <w:u w:val="single"/>
        </w:rPr>
      </w:pPr>
    </w:p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291332" w:rsidRPr="00DA267B" w14:paraId="48C142DD" w14:textId="77777777" w:rsidTr="00291332">
        <w:tc>
          <w:tcPr>
            <w:tcW w:w="5000" w:type="pct"/>
            <w:shd w:val="clear" w:color="auto" w:fill="auto"/>
          </w:tcPr>
          <w:p w14:paraId="0DDB1152" w14:textId="77777777" w:rsidR="00291332" w:rsidRPr="00DA267B" w:rsidRDefault="00291332" w:rsidP="00291332">
            <w:pPr>
              <w:pStyle w:val="BlockText"/>
              <w:numPr>
                <w:ilvl w:val="12"/>
                <w:numId w:val="0"/>
              </w:numPr>
            </w:pPr>
            <w:r w:rsidRPr="00DA267B">
              <w:rPr>
                <w:b/>
                <w:i/>
              </w:rPr>
              <w:t>Reference</w:t>
            </w:r>
            <w:r w:rsidRPr="00DA267B">
              <w:t>:  For more information on hospital adjustments, see</w:t>
            </w:r>
          </w:p>
          <w:p w14:paraId="283434E8" w14:textId="77777777" w:rsidR="00291332" w:rsidRPr="00DA267B" w:rsidRDefault="00DA267B" w:rsidP="00291332">
            <w:pPr>
              <w:pStyle w:val="BulletText1"/>
            </w:pPr>
            <w:hyperlink r:id="rId21" w:history="1">
              <w:r w:rsidR="00291332" w:rsidRPr="00DA267B">
                <w:rPr>
                  <w:rStyle w:val="Hyperlink"/>
                </w:rPr>
                <w:t>38 CFR 3.551</w:t>
              </w:r>
            </w:hyperlink>
          </w:p>
          <w:p w14:paraId="75DE7202" w14:textId="77777777" w:rsidR="00291332" w:rsidRPr="00DA267B" w:rsidRDefault="00DA267B" w:rsidP="00291332">
            <w:pPr>
              <w:pStyle w:val="BulletText1"/>
            </w:pPr>
            <w:hyperlink r:id="rId22" w:history="1">
              <w:r w:rsidR="00291332" w:rsidRPr="00DA267B">
                <w:rPr>
                  <w:rStyle w:val="Hyperlink"/>
                </w:rPr>
                <w:t>38 CFR 3.552</w:t>
              </w:r>
            </w:hyperlink>
            <w:r w:rsidR="00291332" w:rsidRPr="00DA267B">
              <w:t>, and</w:t>
            </w:r>
          </w:p>
          <w:p w14:paraId="704CAE22" w14:textId="71C8ACBC" w:rsidR="00291332" w:rsidRPr="00DA267B" w:rsidRDefault="00DA267B" w:rsidP="00291332">
            <w:pPr>
              <w:pStyle w:val="BulletText1"/>
            </w:pPr>
            <w:hyperlink r:id="rId23" w:history="1">
              <w:r w:rsidR="00291332" w:rsidRPr="00DA267B">
                <w:rPr>
                  <w:rStyle w:val="Hyperlink"/>
                </w:rPr>
                <w:t>38 CFR 3.556</w:t>
              </w:r>
            </w:hyperlink>
            <w:r w:rsidR="00291332" w:rsidRPr="00DA267B">
              <w:t>.</w:t>
            </w:r>
          </w:p>
        </w:tc>
      </w:tr>
    </w:tbl>
    <w:p w14:paraId="7C276C55" w14:textId="0D6CB802" w:rsidR="00ED4191" w:rsidRPr="00DA267B" w:rsidRDefault="00ED4191" w:rsidP="00291332">
      <w:pPr>
        <w:pStyle w:val="BlockLine"/>
      </w:pPr>
      <w:r w:rsidRPr="00DA267B">
        <w:tab/>
      </w:r>
    </w:p>
    <w:p w14:paraId="42946665" w14:textId="77777777" w:rsidR="00ED4191" w:rsidRPr="00DA267B" w:rsidRDefault="00ED4191" w:rsidP="00ED4191"/>
    <w:p w14:paraId="2013441D" w14:textId="66EF7E8A" w:rsidR="00F52053" w:rsidRPr="00DA267B" w:rsidRDefault="00F52053" w:rsidP="00A65272">
      <w:pPr>
        <w:pStyle w:val="Heading4"/>
      </w:pPr>
      <w:r w:rsidRPr="00DA267B">
        <w:rPr>
          <w:b w:val="0"/>
        </w:rPr>
        <w:br w:type="page"/>
      </w:r>
      <w:bookmarkStart w:id="35" w:name="_Toc29605362"/>
      <w:bookmarkStart w:id="36" w:name="_Toc29612285"/>
      <w:bookmarkStart w:id="37" w:name="_Toc29612668"/>
      <w:bookmarkStart w:id="38" w:name="_Toc29612879"/>
      <w:bookmarkStart w:id="39" w:name="_Toc29613306"/>
      <w:bookmarkStart w:id="40" w:name="_Toc29614151"/>
      <w:r w:rsidR="009C43B3" w:rsidRPr="00DA267B">
        <w:lastRenderedPageBreak/>
        <w:t>4</w:t>
      </w:r>
      <w:r w:rsidRPr="00DA267B">
        <w:t xml:space="preserve">.  Where </w:t>
      </w:r>
      <w:r w:rsidR="00012606" w:rsidRPr="00DA267B">
        <w:t>t</w:t>
      </w:r>
      <w:r w:rsidRPr="00DA267B">
        <w:t>o Find Other Topics Specific to Due Process</w:t>
      </w:r>
      <w:bookmarkEnd w:id="35"/>
      <w:bookmarkEnd w:id="36"/>
      <w:bookmarkEnd w:id="37"/>
      <w:bookmarkEnd w:id="38"/>
      <w:bookmarkEnd w:id="39"/>
      <w:bookmarkEnd w:id="40"/>
    </w:p>
    <w:p w14:paraId="2013441E" w14:textId="77777777" w:rsidR="00F52053" w:rsidRPr="00DA267B" w:rsidRDefault="00F52053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421" w14:textId="77777777">
        <w:trPr>
          <w:cantSplit/>
        </w:trPr>
        <w:tc>
          <w:tcPr>
            <w:tcW w:w="1728" w:type="dxa"/>
          </w:tcPr>
          <w:p w14:paraId="2013441F" w14:textId="77777777" w:rsidR="00F52053" w:rsidRPr="00DA267B" w:rsidRDefault="00F52053">
            <w:pPr>
              <w:pStyle w:val="Heading5"/>
            </w:pPr>
            <w:r w:rsidRPr="00DA267B">
              <w:t>Change Date</w:t>
            </w:r>
          </w:p>
        </w:tc>
        <w:tc>
          <w:tcPr>
            <w:tcW w:w="7740" w:type="dxa"/>
          </w:tcPr>
          <w:p w14:paraId="20134420" w14:textId="1E84FD24" w:rsidR="00F52053" w:rsidRPr="00DA267B" w:rsidRDefault="00B1793A">
            <w:pPr>
              <w:pStyle w:val="BlockText"/>
            </w:pPr>
            <w:r w:rsidRPr="00DA267B">
              <w:t>April 21, 2015</w:t>
            </w:r>
          </w:p>
        </w:tc>
      </w:tr>
    </w:tbl>
    <w:p w14:paraId="20134422" w14:textId="77777777" w:rsidR="00F52053" w:rsidRPr="00DA267B" w:rsidRDefault="00BB1EE7">
      <w:pPr>
        <w:pStyle w:val="BlockLine"/>
        <w:numPr>
          <w:ilvl w:val="12"/>
          <w:numId w:val="0"/>
        </w:numPr>
        <w:ind w:left="1700"/>
      </w:pPr>
      <w:r w:rsidRPr="00DA267B">
        <w:fldChar w:fldCharType="begin"/>
      </w:r>
      <w:r w:rsidRPr="00DA267B">
        <w:instrText xml:space="preserve"> PRIVATE INFOTYPE="STRUCTURE" </w:instrText>
      </w:r>
      <w:r w:rsidRPr="00DA267B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52053" w:rsidRPr="00DA267B" w14:paraId="20134425" w14:textId="77777777">
        <w:trPr>
          <w:cantSplit/>
        </w:trPr>
        <w:tc>
          <w:tcPr>
            <w:tcW w:w="1728" w:type="dxa"/>
          </w:tcPr>
          <w:p w14:paraId="20134423" w14:textId="48418030" w:rsidR="00F52053" w:rsidRPr="00DA267B" w:rsidRDefault="00F52053">
            <w:pPr>
              <w:pStyle w:val="Heading5"/>
              <w:numPr>
                <w:ilvl w:val="12"/>
                <w:numId w:val="0"/>
              </w:numPr>
            </w:pPr>
            <w:r w:rsidRPr="00DA267B">
              <w:t xml:space="preserve">a.  </w:t>
            </w:r>
            <w:r w:rsidR="00960C8A" w:rsidRPr="00DA267B">
              <w:t xml:space="preserve">References for </w:t>
            </w:r>
            <w:r w:rsidRPr="00DA267B">
              <w:t>Topics Specific to Due Process</w:t>
            </w:r>
          </w:p>
        </w:tc>
        <w:tc>
          <w:tcPr>
            <w:tcW w:w="7740" w:type="dxa"/>
          </w:tcPr>
          <w:p w14:paraId="20134424" w14:textId="77777777" w:rsidR="00F52053" w:rsidRPr="00DA267B" w:rsidRDefault="00F52053">
            <w:pPr>
              <w:pStyle w:val="BlockText"/>
              <w:numPr>
                <w:ilvl w:val="12"/>
                <w:numId w:val="0"/>
              </w:numPr>
            </w:pPr>
            <w:r w:rsidRPr="00DA267B">
              <w:t>The table below lists the location of other topics specific to due process.</w:t>
            </w:r>
          </w:p>
        </w:tc>
      </w:tr>
    </w:tbl>
    <w:p w14:paraId="7C46EEBB" w14:textId="77777777" w:rsidR="000F6C71" w:rsidRPr="00DA267B" w:rsidRDefault="000F6C71"/>
    <w:tbl>
      <w:tblPr>
        <w:tblStyle w:val="TableGrid1"/>
        <w:tblW w:w="7650" w:type="dxa"/>
        <w:tblInd w:w="1818" w:type="dxa"/>
        <w:tblLook w:val="04A0" w:firstRow="1" w:lastRow="0" w:firstColumn="1" w:lastColumn="0" w:noHBand="0" w:noVBand="1"/>
      </w:tblPr>
      <w:tblGrid>
        <w:gridCol w:w="7650"/>
      </w:tblGrid>
      <w:tr w:rsidR="00A07CAC" w:rsidRPr="00DA267B" w14:paraId="61027E43" w14:textId="77777777" w:rsidTr="00AA1BD2">
        <w:tc>
          <w:tcPr>
            <w:tcW w:w="7650" w:type="dxa"/>
          </w:tcPr>
          <w:p w14:paraId="7E320BFA" w14:textId="032D1B31" w:rsidR="00A07CAC" w:rsidRPr="00DA267B" w:rsidRDefault="00A07CAC" w:rsidP="00736C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Topic</w:t>
            </w:r>
            <w:r w:rsidR="00736CA2" w:rsidRPr="00DA267B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DA267B">
              <w:rPr>
                <w:rFonts w:ascii="Times New Roman" w:hAnsi="Times New Roman" w:cs="Times New Roman"/>
                <w:b/>
                <w:szCs w:val="24"/>
              </w:rPr>
              <w:t xml:space="preserve"> and related reference(s)</w:t>
            </w:r>
          </w:p>
        </w:tc>
      </w:tr>
      <w:tr w:rsidR="00A07CAC" w:rsidRPr="00DA267B" w14:paraId="696442BA" w14:textId="77777777" w:rsidTr="00AA1BD2">
        <w:tc>
          <w:tcPr>
            <w:tcW w:w="7650" w:type="dxa"/>
          </w:tcPr>
          <w:p w14:paraId="37B2C7B4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Active service pay</w:t>
            </w:r>
          </w:p>
          <w:p w14:paraId="60A4056D" w14:textId="7A6695E5" w:rsidR="00A07CAC" w:rsidRPr="00DA267B" w:rsidRDefault="00A07CAC" w:rsidP="00A07CAC">
            <w:pPr>
              <w:numPr>
                <w:ilvl w:val="0"/>
                <w:numId w:val="14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adjusting benefits based on a veteran's receipt of active service pay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, see</w:t>
            </w:r>
            <w:r w:rsidRPr="00DA267B">
              <w:rPr>
                <w:rFonts w:ascii="Times New Roman" w:hAnsi="Times New Roman" w:cs="Times New Roman"/>
                <w:szCs w:val="24"/>
              </w:rPr>
              <w:t xml:space="preserve"> M21-1, Part III, Subpart v, 4.C</w:t>
            </w:r>
          </w:p>
          <w:p w14:paraId="0F7119EA" w14:textId="0442CE68" w:rsidR="00A07CAC" w:rsidRPr="00DA267B" w:rsidRDefault="00A07CAC" w:rsidP="00A07CAC">
            <w:pPr>
              <w:numPr>
                <w:ilvl w:val="0"/>
                <w:numId w:val="14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circumstances necessitating revision and reissuance of a notice of proposed adverse action, see M21-1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, Part III, Subpart v, 4.C.4.g</w:t>
            </w:r>
            <w:r w:rsidRPr="00DA26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0FBEE65" w14:textId="02DFA29C" w:rsidR="00A07CAC" w:rsidRPr="00DA267B" w:rsidRDefault="00A07CAC" w:rsidP="00A07CAC">
            <w:pPr>
              <w:numPr>
                <w:ilvl w:val="0"/>
                <w:numId w:val="14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color w:val="000000"/>
                <w:szCs w:val="24"/>
              </w:rPr>
              <w:t xml:space="preserve">failure to return </w:t>
            </w:r>
            <w:r w:rsidRPr="00DA267B">
              <w:rPr>
                <w:rFonts w:ascii="Times New Roman" w:hAnsi="Times New Roman" w:cs="Times New Roman"/>
                <w:i/>
                <w:color w:val="000000"/>
                <w:szCs w:val="24"/>
              </w:rPr>
              <w:t>VA Form 21-8951, Notice of Waiver of VA Compensation or Pension to Receive Military Pay and Allowances</w:t>
            </w:r>
            <w:r w:rsidRPr="00DA267B">
              <w:rPr>
                <w:rFonts w:ascii="Times New Roman" w:hAnsi="Times New Roman" w:cs="Times New Roman"/>
                <w:color w:val="000000"/>
                <w:szCs w:val="24"/>
              </w:rPr>
              <w:t xml:space="preserve">, see M21-1 Part III, Subpart v, 4.C.3, </w:t>
            </w:r>
            <w:r w:rsidRPr="00DA267B">
              <w:rPr>
                <w:rFonts w:ascii="Times New Roman" w:hAnsi="Times New Roman" w:cs="Times New Roman"/>
                <w:szCs w:val="24"/>
              </w:rPr>
              <w:t>and</w:t>
            </w:r>
          </w:p>
          <w:p w14:paraId="5BF537A3" w14:textId="77777777" w:rsidR="00A07CAC" w:rsidRPr="00DA267B" w:rsidRDefault="00A07CAC" w:rsidP="00A07CAC">
            <w:pPr>
              <w:numPr>
                <w:ilvl w:val="0"/>
                <w:numId w:val="14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exception to a notice of proposed adverse action, see M21-1, Part I, 2.D.1.a.</w:t>
            </w:r>
          </w:p>
        </w:tc>
      </w:tr>
      <w:tr w:rsidR="00A07CAC" w:rsidRPr="00DA267B" w14:paraId="4EC55F79" w14:textId="77777777" w:rsidTr="00AA1BD2">
        <w:tc>
          <w:tcPr>
            <w:tcW w:w="7650" w:type="dxa"/>
          </w:tcPr>
          <w:p w14:paraId="4660CF0F" w14:textId="77777777" w:rsidR="00A07CAC" w:rsidRPr="00DA267B" w:rsidRDefault="00A07CAC" w:rsidP="00A07CAC">
            <w:pPr>
              <w:tabs>
                <w:tab w:val="left" w:pos="187"/>
                <w:tab w:val="num" w:pos="360"/>
              </w:tabs>
              <w:ind w:left="187" w:hanging="187"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Excessive payment or administrative error</w:t>
            </w:r>
          </w:p>
          <w:p w14:paraId="0AF44519" w14:textId="76E013D7" w:rsidR="00A07CAC" w:rsidRPr="00DA267B" w:rsidRDefault="00A07CAC" w:rsidP="00A07CAC">
            <w:pPr>
              <w:numPr>
                <w:ilvl w:val="0"/>
                <w:numId w:val="24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adjusting awards based on the cause of the payment of excessive benefits, see M21-1, Part III, Subpart v, 1.I, and</w:t>
            </w:r>
          </w:p>
          <w:p w14:paraId="580B90F8" w14:textId="0D6621A2" w:rsidR="00A07CAC" w:rsidRPr="00DA267B" w:rsidRDefault="00A07CAC" w:rsidP="00482193">
            <w:pPr>
              <w:numPr>
                <w:ilvl w:val="0"/>
                <w:numId w:val="24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267B">
              <w:rPr>
                <w:rFonts w:ascii="Times New Roman" w:hAnsi="Times New Roman" w:cs="Times New Roman"/>
                <w:szCs w:val="24"/>
              </w:rPr>
              <w:t>special</w:t>
            </w:r>
            <w:proofErr w:type="gramEnd"/>
            <w:r w:rsidRPr="00DA267B">
              <w:rPr>
                <w:rFonts w:ascii="Times New Roman" w:hAnsi="Times New Roman" w:cs="Times New Roman"/>
                <w:szCs w:val="24"/>
              </w:rPr>
              <w:t xml:space="preserve"> instructions for handling cases involving administrative error, see M21-1, Part III, Subpart v, 1.I.</w:t>
            </w:r>
            <w:r w:rsidR="00E94CB0" w:rsidRPr="00DA267B">
              <w:rPr>
                <w:rFonts w:ascii="Times New Roman" w:hAnsi="Times New Roman" w:cs="Times New Roman"/>
                <w:szCs w:val="24"/>
              </w:rPr>
              <w:t>3</w:t>
            </w:r>
            <w:r w:rsidRPr="00DA267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07CAC" w:rsidRPr="00DA267B" w14:paraId="2E548CA5" w14:textId="77777777" w:rsidTr="00AA1BD2">
        <w:tc>
          <w:tcPr>
            <w:tcW w:w="7650" w:type="dxa"/>
          </w:tcPr>
          <w:p w14:paraId="04EC7595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Apportionments and garnishments</w:t>
            </w:r>
          </w:p>
          <w:p w14:paraId="7E6799AF" w14:textId="2225075D" w:rsidR="00A07CAC" w:rsidRPr="00DA267B" w:rsidRDefault="00A07CAC" w:rsidP="00A07CAC">
            <w:pPr>
              <w:numPr>
                <w:ilvl w:val="0"/>
                <w:numId w:val="25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garnishment of disability compensation in lieu of military retired pay to pay alimony or child support, see M21-1, Part III, Subpart v, 3.</w:t>
            </w:r>
            <w:r w:rsidR="00E94CB0" w:rsidRPr="00DA267B">
              <w:rPr>
                <w:rFonts w:ascii="Times New Roman" w:hAnsi="Times New Roman" w:cs="Times New Roman"/>
                <w:szCs w:val="24"/>
              </w:rPr>
              <w:t>D</w:t>
            </w:r>
            <w:r w:rsidRPr="00DA267B">
              <w:rPr>
                <w:rFonts w:ascii="Times New Roman" w:hAnsi="Times New Roman" w:cs="Times New Roman"/>
                <w:szCs w:val="24"/>
              </w:rPr>
              <w:t>, and</w:t>
            </w:r>
          </w:p>
          <w:p w14:paraId="677FD67E" w14:textId="01984784" w:rsidR="00A07CAC" w:rsidRPr="00DA267B" w:rsidRDefault="00A07CAC" w:rsidP="00A07CAC">
            <w:pPr>
              <w:numPr>
                <w:ilvl w:val="0"/>
                <w:numId w:val="20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adjusting apportioned awards, see M21-1, Part III, Subpart v, 3.</w:t>
            </w:r>
            <w:r w:rsidR="00E94CB0" w:rsidRPr="00DA267B">
              <w:rPr>
                <w:rFonts w:ascii="Times New Roman" w:hAnsi="Times New Roman" w:cs="Times New Roman"/>
                <w:szCs w:val="24"/>
              </w:rPr>
              <w:t>B</w:t>
            </w:r>
            <w:r w:rsidRPr="00DA267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07CAC" w:rsidRPr="00DA267B" w14:paraId="4AF1025F" w14:textId="77777777" w:rsidTr="00AA1BD2">
        <w:tc>
          <w:tcPr>
            <w:tcW w:w="7650" w:type="dxa"/>
          </w:tcPr>
          <w:p w14:paraId="482C898B" w14:textId="6FA56805" w:rsidR="00736CA2" w:rsidRPr="00DA267B" w:rsidRDefault="00A07CAC" w:rsidP="00A07CAC">
            <w:pPr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Clear and unmistakable error (CUE) or severance</w:t>
            </w:r>
            <w:r w:rsidR="00736CA2" w:rsidRPr="00DA267B">
              <w:rPr>
                <w:rFonts w:ascii="Times New Roman" w:hAnsi="Times New Roman" w:cs="Times New Roman"/>
                <w:b/>
                <w:szCs w:val="24"/>
              </w:rPr>
              <w:t xml:space="preserve"> of benefits</w:t>
            </w:r>
          </w:p>
          <w:p w14:paraId="7CA46CDB" w14:textId="49FC466E" w:rsidR="00A07CAC" w:rsidRPr="00DA267B" w:rsidRDefault="00A07CAC" w:rsidP="002E774D">
            <w:pPr>
              <w:numPr>
                <w:ilvl w:val="0"/>
                <w:numId w:val="20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 xml:space="preserve">CUE or severance </w:t>
            </w:r>
            <w:r w:rsidRPr="00DA267B">
              <w:rPr>
                <w:rFonts w:ascii="Times New Roman" w:hAnsi="Times New Roman" w:cs="Times New Roman"/>
                <w:szCs w:val="24"/>
              </w:rPr>
              <w:t xml:space="preserve">of </w:t>
            </w:r>
            <w:r w:rsidR="002E774D" w:rsidRPr="00DA267B">
              <w:rPr>
                <w:rFonts w:ascii="Times New Roman" w:hAnsi="Times New Roman" w:cs="Times New Roman"/>
                <w:szCs w:val="24"/>
              </w:rPr>
              <w:t>SC</w:t>
            </w:r>
            <w:r w:rsidRPr="00DA267B">
              <w:rPr>
                <w:rFonts w:ascii="Times New Roman" w:hAnsi="Times New Roman" w:cs="Times New Roman"/>
                <w:szCs w:val="24"/>
              </w:rPr>
              <w:t xml:space="preserve"> benefits, see M21-1, Part IV, Subpart ii, 3.A.2.</w:t>
            </w:r>
          </w:p>
        </w:tc>
      </w:tr>
      <w:tr w:rsidR="00A07CAC" w:rsidRPr="00DA267B" w14:paraId="1452A37B" w14:textId="77777777" w:rsidTr="00AA1BD2">
        <w:tc>
          <w:tcPr>
            <w:tcW w:w="7650" w:type="dxa"/>
          </w:tcPr>
          <w:p w14:paraId="1AF4D73F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Contemporaneous Notice</w:t>
            </w:r>
          </w:p>
          <w:p w14:paraId="3DF25278" w14:textId="77777777" w:rsidR="00A07CAC" w:rsidRPr="00DA267B" w:rsidRDefault="00A07CAC" w:rsidP="00A07CAC">
            <w:pPr>
              <w:numPr>
                <w:ilvl w:val="0"/>
                <w:numId w:val="30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267B">
              <w:rPr>
                <w:rFonts w:ascii="Times New Roman" w:hAnsi="Times New Roman" w:cs="Times New Roman"/>
                <w:szCs w:val="24"/>
              </w:rPr>
              <w:t>situations</w:t>
            </w:r>
            <w:proofErr w:type="gramEnd"/>
            <w:r w:rsidRPr="00DA267B">
              <w:rPr>
                <w:rFonts w:ascii="Times New Roman" w:hAnsi="Times New Roman" w:cs="Times New Roman"/>
                <w:szCs w:val="24"/>
              </w:rPr>
              <w:t xml:space="preserve"> warranting a contemporaneous notice in lieu of a notice of proposed adverse action, see M21-1, Part I, 2.D.1.a.</w:t>
            </w:r>
          </w:p>
        </w:tc>
      </w:tr>
      <w:tr w:rsidR="00A07CAC" w:rsidRPr="00DA267B" w14:paraId="087A526E" w14:textId="77777777" w:rsidTr="00AA1BD2">
        <w:tc>
          <w:tcPr>
            <w:tcW w:w="7650" w:type="dxa"/>
          </w:tcPr>
          <w:p w14:paraId="41567003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Dependency</w:t>
            </w:r>
          </w:p>
          <w:p w14:paraId="2C140420" w14:textId="43A9BD07" w:rsidR="00A07CAC" w:rsidRPr="00DA267B" w:rsidRDefault="00A07CAC" w:rsidP="00A07CAC">
            <w:pPr>
              <w:numPr>
                <w:ilvl w:val="0"/>
                <w:numId w:val="26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awards and adjustments based upon school attendance, see M2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1-1, Part III, Subpart iii, 6.B</w:t>
            </w:r>
          </w:p>
          <w:p w14:paraId="16EEFBB8" w14:textId="7287F1DF" w:rsidR="00A07CAC" w:rsidRPr="00DA267B" w:rsidRDefault="00A07CAC" w:rsidP="00A07CAC">
            <w:pPr>
              <w:numPr>
                <w:ilvl w:val="0"/>
                <w:numId w:val="19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 xml:space="preserve">failure to return </w:t>
            </w:r>
            <w:r w:rsidRPr="00DA267B">
              <w:rPr>
                <w:rFonts w:ascii="Times New Roman" w:hAnsi="Times New Roman" w:cs="Times New Roman"/>
                <w:i/>
                <w:szCs w:val="24"/>
              </w:rPr>
              <w:t>VA Form 21-8960, Certification of School Attendance or Termination,</w:t>
            </w:r>
            <w:r w:rsidRPr="00DA267B">
              <w:rPr>
                <w:rFonts w:ascii="Times New Roman" w:hAnsi="Times New Roman" w:cs="Times New Roman"/>
                <w:szCs w:val="24"/>
              </w:rPr>
              <w:t xml:space="preserve"> see M21-1,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 xml:space="preserve"> Part III, Subpart iii, 6.B.6.f</w:t>
            </w:r>
          </w:p>
          <w:p w14:paraId="693B8F3E" w14:textId="77777777" w:rsidR="00A07CAC" w:rsidRPr="00DA267B" w:rsidRDefault="00A07CAC" w:rsidP="00A07CAC">
            <w:pPr>
              <w:numPr>
                <w:ilvl w:val="0"/>
                <w:numId w:val="27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verification of marital status and the status of dependents, see M21-1, Part III, Subpart iii, 5.K, and</w:t>
            </w:r>
          </w:p>
          <w:p w14:paraId="2CF32FB7" w14:textId="77777777" w:rsidR="00A07CAC" w:rsidRPr="00DA267B" w:rsidRDefault="00A07CAC" w:rsidP="00A07CAC">
            <w:pPr>
              <w:numPr>
                <w:ilvl w:val="0"/>
                <w:numId w:val="28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failure to return a dependent questionnaire, see M21-1, Part III, Subpart iii, 5.K.4.</w:t>
            </w:r>
          </w:p>
        </w:tc>
      </w:tr>
      <w:tr w:rsidR="00A07CAC" w:rsidRPr="00DA267B" w14:paraId="1334D287" w14:textId="77777777" w:rsidTr="00AA1BD2">
        <w:tc>
          <w:tcPr>
            <w:tcW w:w="7650" w:type="dxa"/>
          </w:tcPr>
          <w:p w14:paraId="57B8FC5C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lastRenderedPageBreak/>
              <w:t>Hospitalization</w:t>
            </w:r>
          </w:p>
          <w:p w14:paraId="6EB62A50" w14:textId="77777777" w:rsidR="00A07CAC" w:rsidRPr="00DA267B" w:rsidRDefault="00A07CAC" w:rsidP="00A07CAC">
            <w:pPr>
              <w:numPr>
                <w:ilvl w:val="0"/>
                <w:numId w:val="33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due process and control procedures for hospitalization, see M21-1, Part III, Subpart v, 6.C.1.d</w:t>
            </w:r>
          </w:p>
          <w:p w14:paraId="5D82378C" w14:textId="77777777" w:rsidR="00A07CAC" w:rsidRPr="00DA267B" w:rsidRDefault="00A07CAC" w:rsidP="00A07CAC">
            <w:pPr>
              <w:numPr>
                <w:ilvl w:val="0"/>
                <w:numId w:val="29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  <w:u w:val="single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 xml:space="preserve">reduction because of hospitalization, see </w:t>
            </w:r>
            <w:hyperlink r:id="rId24" w:history="1">
              <w:r w:rsidRPr="00DA267B">
                <w:rPr>
                  <w:rFonts w:ascii="Times New Roman" w:hAnsi="Times New Roman" w:cs="Times New Roman"/>
                  <w:color w:val="548DD4" w:themeColor="text2" w:themeTint="99"/>
                  <w:szCs w:val="24"/>
                  <w:u w:val="single"/>
                </w:rPr>
                <w:t>38 CFR 3.551</w:t>
              </w:r>
            </w:hyperlink>
            <w:r w:rsidRPr="00DA267B">
              <w:rPr>
                <w:rFonts w:ascii="Times New Roman" w:hAnsi="Times New Roman" w:cs="Times New Roman"/>
                <w:szCs w:val="24"/>
              </w:rPr>
              <w:t>, and</w:t>
            </w:r>
          </w:p>
          <w:p w14:paraId="6799D2B2" w14:textId="6E26BBA2" w:rsidR="00A07CAC" w:rsidRPr="00DA267B" w:rsidRDefault="00A07CAC" w:rsidP="002E774D">
            <w:pPr>
              <w:numPr>
                <w:ilvl w:val="0"/>
                <w:numId w:val="23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267B">
              <w:rPr>
                <w:rFonts w:ascii="Times New Roman" w:hAnsi="Times New Roman" w:cs="Times New Roman"/>
                <w:szCs w:val="24"/>
              </w:rPr>
              <w:t>hospital</w:t>
            </w:r>
            <w:proofErr w:type="gramEnd"/>
            <w:r w:rsidRPr="00DA267B">
              <w:rPr>
                <w:rFonts w:ascii="Times New Roman" w:hAnsi="Times New Roman" w:cs="Times New Roman"/>
                <w:szCs w:val="24"/>
              </w:rPr>
              <w:t xml:space="preserve"> adjustment of allowance for </w:t>
            </w:r>
            <w:r w:rsidR="002E774D" w:rsidRPr="00DA267B">
              <w:rPr>
                <w:rFonts w:ascii="Times New Roman" w:hAnsi="Times New Roman" w:cs="Times New Roman"/>
                <w:szCs w:val="24"/>
              </w:rPr>
              <w:t>A&amp;A</w:t>
            </w:r>
            <w:r w:rsidRPr="00DA267B">
              <w:rPr>
                <w:rFonts w:ascii="Times New Roman" w:hAnsi="Times New Roman" w:cs="Times New Roman"/>
                <w:szCs w:val="24"/>
              </w:rPr>
              <w:t xml:space="preserve">, see </w:t>
            </w:r>
            <w:hyperlink r:id="rId25" w:history="1">
              <w:r w:rsidRPr="00DA267B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38 CFR 3.552</w:t>
              </w:r>
            </w:hyperlink>
            <w:r w:rsidRPr="00DA267B">
              <w:rPr>
                <w:rFonts w:ascii="Times New Roman" w:hAnsi="Times New Roman" w:cs="Times New Roman"/>
                <w:color w:val="0000FF"/>
                <w:szCs w:val="24"/>
                <w:u w:val="single"/>
              </w:rPr>
              <w:t>.</w:t>
            </w:r>
          </w:p>
        </w:tc>
      </w:tr>
      <w:tr w:rsidR="00A07CAC" w:rsidRPr="00DA267B" w14:paraId="29ED25FB" w14:textId="77777777" w:rsidTr="00AA1BD2">
        <w:tc>
          <w:tcPr>
            <w:tcW w:w="7650" w:type="dxa"/>
          </w:tcPr>
          <w:p w14:paraId="6C7D530A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Incarceration</w:t>
            </w:r>
          </w:p>
          <w:p w14:paraId="1EE7AA36" w14:textId="77777777" w:rsidR="00A07CAC" w:rsidRPr="00DA267B" w:rsidRDefault="00A07CAC" w:rsidP="00A07CAC">
            <w:pPr>
              <w:numPr>
                <w:ilvl w:val="0"/>
                <w:numId w:val="17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providing notification to an incarcerated surviving spouse, see M21-1, Part III, Subpart v, 8.C.2.b, and</w:t>
            </w:r>
          </w:p>
          <w:p w14:paraId="38798B98" w14:textId="77777777" w:rsidR="00A07CAC" w:rsidRPr="00DA267B" w:rsidRDefault="00A07CAC" w:rsidP="00A07CAC">
            <w:pPr>
              <w:numPr>
                <w:ilvl w:val="0"/>
                <w:numId w:val="17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receiving and sending notification regarding incarceration, see M21-1, Part III, Subpart v.8.A.2.</w:t>
            </w:r>
          </w:p>
        </w:tc>
      </w:tr>
      <w:tr w:rsidR="00A07CAC" w:rsidRPr="00DA267B" w14:paraId="3FD3FA18" w14:textId="77777777" w:rsidTr="00AA1BD2">
        <w:tc>
          <w:tcPr>
            <w:tcW w:w="7650" w:type="dxa"/>
          </w:tcPr>
          <w:p w14:paraId="09D6C6E8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Incompetency</w:t>
            </w:r>
          </w:p>
          <w:p w14:paraId="0F997904" w14:textId="77777777" w:rsidR="00A07CAC" w:rsidRPr="00DA267B" w:rsidRDefault="00A07CAC" w:rsidP="00A07CAC">
            <w:pPr>
              <w:numPr>
                <w:ilvl w:val="0"/>
                <w:numId w:val="18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due process requirements for incompetency determinations, see M21-1, Part III, Subpart v, 9.B.3, and</w:t>
            </w:r>
          </w:p>
          <w:p w14:paraId="0DC453EA" w14:textId="77777777" w:rsidR="00A07CAC" w:rsidRPr="00DA267B" w:rsidRDefault="00A07CAC" w:rsidP="00A07CAC">
            <w:pPr>
              <w:numPr>
                <w:ilvl w:val="0"/>
                <w:numId w:val="18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due process not required when incompetency is determined by a court of law, see M21-1, Part  III, Subpart iv, 8.A.5.a.</w:t>
            </w:r>
          </w:p>
        </w:tc>
      </w:tr>
      <w:tr w:rsidR="00A07CAC" w:rsidRPr="00DA267B" w14:paraId="42EE7A95" w14:textId="77777777" w:rsidTr="00AA1BD2">
        <w:tc>
          <w:tcPr>
            <w:tcW w:w="7650" w:type="dxa"/>
          </w:tcPr>
          <w:p w14:paraId="422E4C80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Matching program reductions</w:t>
            </w:r>
          </w:p>
          <w:p w14:paraId="0539A5EB" w14:textId="5EF91AB4" w:rsidR="00A07CAC" w:rsidRPr="00DA267B" w:rsidRDefault="00A07CAC" w:rsidP="00A07CAC">
            <w:pPr>
              <w:numPr>
                <w:ilvl w:val="0"/>
                <w:numId w:val="15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death match identifies veteran’s s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pouse, see M21-1, Part X, 5.</w:t>
            </w:r>
            <w:r w:rsidR="00852CEB" w:rsidRPr="00DA267B">
              <w:rPr>
                <w:rFonts w:ascii="Times New Roman" w:hAnsi="Times New Roman" w:cs="Times New Roman"/>
                <w:szCs w:val="24"/>
              </w:rPr>
              <w:t>2.h</w:t>
            </w:r>
          </w:p>
          <w:p w14:paraId="0F9ECC91" w14:textId="41F306AD" w:rsidR="00A07CAC" w:rsidRPr="00DA267B" w:rsidRDefault="00A07CAC" w:rsidP="00A07CAC">
            <w:pPr>
              <w:numPr>
                <w:ilvl w:val="0"/>
                <w:numId w:val="16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 xml:space="preserve">fugitive felon 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match, see M21-1, Part X.16.2.a</w:t>
            </w:r>
          </w:p>
          <w:p w14:paraId="5A1A7FE3" w14:textId="65C80227" w:rsidR="00A07CAC" w:rsidRPr="00DA267B" w:rsidRDefault="00A07CAC" w:rsidP="00A07CAC">
            <w:pPr>
              <w:numPr>
                <w:ilvl w:val="0"/>
                <w:numId w:val="16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income verification match (due process requireme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nts), see M21-1, Part X, 9.c.13</w:t>
            </w:r>
          </w:p>
          <w:p w14:paraId="45A8FD8F" w14:textId="77777777" w:rsidR="00A07CAC" w:rsidRPr="00DA267B" w:rsidRDefault="00A07CAC" w:rsidP="00A07CAC">
            <w:pPr>
              <w:numPr>
                <w:ilvl w:val="0"/>
                <w:numId w:val="16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social security prison match, see M21-1, Part X, 15.2, and</w:t>
            </w:r>
          </w:p>
          <w:p w14:paraId="7F142578" w14:textId="77777777" w:rsidR="00A07CAC" w:rsidRPr="00DA267B" w:rsidRDefault="00A07CAC" w:rsidP="00A07CAC">
            <w:pPr>
              <w:numPr>
                <w:ilvl w:val="0"/>
                <w:numId w:val="16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social security verification match, see M21-1, Part X, 2.5.n.</w:t>
            </w:r>
          </w:p>
        </w:tc>
      </w:tr>
      <w:tr w:rsidR="00A07CAC" w:rsidRPr="00DA267B" w14:paraId="7318CAC8" w14:textId="77777777" w:rsidTr="00AA1BD2">
        <w:tc>
          <w:tcPr>
            <w:tcW w:w="7650" w:type="dxa"/>
          </w:tcPr>
          <w:p w14:paraId="51E1880F" w14:textId="77777777" w:rsidR="00A07CAC" w:rsidRPr="00DA267B" w:rsidRDefault="00A07CAC" w:rsidP="00A07CAC">
            <w:pPr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Notification Action</w:t>
            </w:r>
            <w:r w:rsidRPr="00DA267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42D90CC" w14:textId="77777777" w:rsidR="00A07CAC" w:rsidRPr="00DA267B" w:rsidRDefault="00A07CAC" w:rsidP="00A07CAC">
            <w:pPr>
              <w:numPr>
                <w:ilvl w:val="0"/>
                <w:numId w:val="31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A267B">
              <w:rPr>
                <w:rFonts w:ascii="Times New Roman" w:hAnsi="Times New Roman" w:cs="Times New Roman"/>
                <w:szCs w:val="24"/>
              </w:rPr>
              <w:t>proposed</w:t>
            </w:r>
            <w:proofErr w:type="gramEnd"/>
            <w:r w:rsidRPr="00DA267B">
              <w:rPr>
                <w:rFonts w:ascii="Times New Roman" w:hAnsi="Times New Roman" w:cs="Times New Roman"/>
                <w:szCs w:val="24"/>
              </w:rPr>
              <w:t xml:space="preserve"> reductions or discontinuances under </w:t>
            </w:r>
            <w:hyperlink r:id="rId26" w:history="1">
              <w:r w:rsidRPr="00DA267B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38 CFR 3.105(e)</w:t>
              </w:r>
            </w:hyperlink>
            <w:r w:rsidRPr="00DA267B">
              <w:rPr>
                <w:rFonts w:ascii="Times New Roman" w:hAnsi="Times New Roman" w:cs="Times New Roman"/>
                <w:szCs w:val="24"/>
              </w:rPr>
              <w:t>, see M21-1, Part IV, Subpart ii, 3.A.3.</w:t>
            </w:r>
          </w:p>
        </w:tc>
      </w:tr>
      <w:tr w:rsidR="00A07CAC" w:rsidRPr="00DA267B" w14:paraId="7D3E718E" w14:textId="77777777" w:rsidTr="00AA1BD2">
        <w:tc>
          <w:tcPr>
            <w:tcW w:w="7650" w:type="dxa"/>
          </w:tcPr>
          <w:p w14:paraId="19285158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Pension</w:t>
            </w:r>
          </w:p>
          <w:p w14:paraId="3AC56C05" w14:textId="4B201F5E" w:rsidR="00A07CAC" w:rsidRPr="00DA267B" w:rsidRDefault="00A07CAC" w:rsidP="00A07CAC">
            <w:pPr>
              <w:numPr>
                <w:ilvl w:val="0"/>
                <w:numId w:val="21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 xml:space="preserve">handling decisions to reduce or discontinue pension, including awards involving special monthly pension (SMP), see 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M21-1, Part V, subpart iii, 4.1</w:t>
            </w:r>
          </w:p>
          <w:p w14:paraId="42CDC77E" w14:textId="4AA76204" w:rsidR="00A07CAC" w:rsidRPr="00DA267B" w:rsidRDefault="00A07CAC" w:rsidP="00A07CAC">
            <w:pPr>
              <w:numPr>
                <w:ilvl w:val="0"/>
                <w:numId w:val="21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 xml:space="preserve">“not permanent and total (PT)” and “no longer entitled to special monthly pension (SMP)” Cases, see </w:t>
            </w:r>
            <w:r w:rsidR="00736CA2" w:rsidRPr="00DA267B">
              <w:rPr>
                <w:rFonts w:ascii="Times New Roman" w:hAnsi="Times New Roman" w:cs="Times New Roman"/>
                <w:szCs w:val="24"/>
              </w:rPr>
              <w:t>M21-1, Part V, Subpart iii, 4.1</w:t>
            </w:r>
          </w:p>
          <w:p w14:paraId="6B6B1825" w14:textId="77777777" w:rsidR="00A07CAC" w:rsidRPr="00DA267B" w:rsidRDefault="00A07CAC" w:rsidP="00A07CAC">
            <w:pPr>
              <w:numPr>
                <w:ilvl w:val="0"/>
                <w:numId w:val="21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notice of hospitalization/nursing home status received after discharge from facility, see M21-1, Part III, Subpart v, 6.C, and</w:t>
            </w:r>
          </w:p>
          <w:p w14:paraId="068A2873" w14:textId="77777777" w:rsidR="00A07CAC" w:rsidRPr="00DA267B" w:rsidRDefault="00A07CAC" w:rsidP="00A07CAC">
            <w:pPr>
              <w:numPr>
                <w:ilvl w:val="0"/>
                <w:numId w:val="22"/>
              </w:numPr>
              <w:ind w:left="158" w:hanging="187"/>
              <w:contextualSpacing/>
              <w:rPr>
                <w:rFonts w:ascii="Times New Roman" w:hAnsi="Times New Roman" w:cs="Times New Roman"/>
                <w:szCs w:val="24"/>
              </w:rPr>
            </w:pPr>
            <w:r w:rsidRPr="00DA267B">
              <w:rPr>
                <w:rFonts w:ascii="Times New Roman" w:hAnsi="Times New Roman" w:cs="Times New Roman"/>
                <w:szCs w:val="24"/>
              </w:rPr>
              <w:t>review of A&amp;A entitlement following discharge from nursing home, see M21-1, Part III, Subpart iv, 8.D.5.</w:t>
            </w:r>
          </w:p>
        </w:tc>
      </w:tr>
      <w:tr w:rsidR="00A07CAC" w:rsidRPr="00A07CAC" w14:paraId="717B8875" w14:textId="77777777" w:rsidTr="00AA1BD2">
        <w:tc>
          <w:tcPr>
            <w:tcW w:w="7650" w:type="dxa"/>
          </w:tcPr>
          <w:p w14:paraId="5F97541D" w14:textId="77777777" w:rsidR="00A07CAC" w:rsidRPr="00DA267B" w:rsidRDefault="00A07CAC" w:rsidP="00A07C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A267B">
              <w:rPr>
                <w:rFonts w:ascii="Times New Roman" w:hAnsi="Times New Roman" w:cs="Times New Roman"/>
                <w:b/>
                <w:szCs w:val="24"/>
              </w:rPr>
              <w:t>Proposed rating decisions</w:t>
            </w:r>
          </w:p>
          <w:p w14:paraId="4B82BC38" w14:textId="77777777" w:rsidR="00A07CAC" w:rsidRPr="00DA267B" w:rsidRDefault="00A07CAC" w:rsidP="00A07CAC">
            <w:pPr>
              <w:numPr>
                <w:ilvl w:val="0"/>
                <w:numId w:val="32"/>
              </w:numPr>
              <w:ind w:left="158" w:hanging="187"/>
              <w:contextualSpacing/>
            </w:pPr>
            <w:r w:rsidRPr="00DA267B">
              <w:rPr>
                <w:rFonts w:ascii="Times New Roman" w:hAnsi="Times New Roman" w:cs="Times New Roman"/>
                <w:szCs w:val="24"/>
              </w:rPr>
              <w:t>general information on proposed rating decisions, see M21-1, Part III, Subpart iv, 8.B.</w:t>
            </w:r>
          </w:p>
        </w:tc>
        <w:bookmarkStart w:id="41" w:name="_GoBack"/>
        <w:bookmarkEnd w:id="41"/>
      </w:tr>
    </w:tbl>
    <w:p w14:paraId="2B2EE1B9" w14:textId="3A97F8B7" w:rsidR="00A07CAC" w:rsidRDefault="000F6C71" w:rsidP="000F6C71">
      <w:pPr>
        <w:tabs>
          <w:tab w:val="left" w:pos="9360"/>
        </w:tabs>
        <w:spacing w:line="276" w:lineRule="auto"/>
        <w:ind w:left="1714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u w:val="single"/>
        </w:rPr>
        <w:tab/>
      </w:r>
    </w:p>
    <w:sectPr w:rsidR="00A07CAC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7F28" w14:textId="77777777" w:rsidR="006229DF" w:rsidRDefault="006229DF">
      <w:r>
        <w:separator/>
      </w:r>
    </w:p>
  </w:endnote>
  <w:endnote w:type="continuationSeparator" w:id="0">
    <w:p w14:paraId="563C32B9" w14:textId="77777777" w:rsidR="006229DF" w:rsidRDefault="0062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4463" w14:textId="5809ED9F" w:rsidR="00B1793A" w:rsidRDefault="00B1793A">
    <w:pPr>
      <w:pStyle w:val="Footer"/>
      <w:tabs>
        <w:tab w:val="clear" w:pos="4320"/>
        <w:tab w:val="clear" w:pos="8640"/>
        <w:tab w:val="center" w:pos="4680"/>
        <w:tab w:val="right" w:pos="9274"/>
      </w:tabs>
      <w:rPr>
        <w:b/>
        <w:sz w:val="20"/>
      </w:rPr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4464" w14:textId="0496725A" w:rsidR="00B1793A" w:rsidRDefault="00B1793A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9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9C21F" w14:textId="77777777" w:rsidR="006229DF" w:rsidRDefault="006229DF">
      <w:r>
        <w:separator/>
      </w:r>
    </w:p>
  </w:footnote>
  <w:footnote w:type="continuationSeparator" w:id="0">
    <w:p w14:paraId="51EFC568" w14:textId="77777777" w:rsidR="006229DF" w:rsidRDefault="0062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4461" w14:textId="06B30A96" w:rsidR="00B1793A" w:rsidRDefault="00B1793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M21-1, Part I, Chapter 2, Section B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4462" w14:textId="2EF41E8C" w:rsidR="00B1793A" w:rsidRDefault="00B1793A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M21-1, Part I, Chapter 2, Section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0BB"/>
    <w:multiLevelType w:val="hybridMultilevel"/>
    <w:tmpl w:val="8D3CDD6C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635"/>
    <w:multiLevelType w:val="hybridMultilevel"/>
    <w:tmpl w:val="7F44CE4E"/>
    <w:lvl w:ilvl="0" w:tplc="47CA68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A19"/>
    <w:multiLevelType w:val="hybridMultilevel"/>
    <w:tmpl w:val="6B30890A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624E"/>
    <w:multiLevelType w:val="hybridMultilevel"/>
    <w:tmpl w:val="19E84420"/>
    <w:lvl w:ilvl="0" w:tplc="47CA68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0CDA"/>
    <w:multiLevelType w:val="hybridMultilevel"/>
    <w:tmpl w:val="54E42A4E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21CA"/>
    <w:multiLevelType w:val="hybridMultilevel"/>
    <w:tmpl w:val="CFC8AD6A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60E3B"/>
    <w:multiLevelType w:val="hybridMultilevel"/>
    <w:tmpl w:val="5C686784"/>
    <w:lvl w:ilvl="0" w:tplc="5FB63B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A34F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E5946"/>
    <w:multiLevelType w:val="hybridMultilevel"/>
    <w:tmpl w:val="51E41BB4"/>
    <w:lvl w:ilvl="0" w:tplc="AB0EB3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B546B"/>
    <w:multiLevelType w:val="hybridMultilevel"/>
    <w:tmpl w:val="8A822D6A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E26CC"/>
    <w:multiLevelType w:val="hybridMultilevel"/>
    <w:tmpl w:val="56682A32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29A8"/>
    <w:multiLevelType w:val="hybridMultilevel"/>
    <w:tmpl w:val="913E5C0A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D0782"/>
    <w:multiLevelType w:val="hybridMultilevel"/>
    <w:tmpl w:val="924041AC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6879"/>
    <w:multiLevelType w:val="hybridMultilevel"/>
    <w:tmpl w:val="7A882F38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51D1"/>
    <w:multiLevelType w:val="hybridMultilevel"/>
    <w:tmpl w:val="16F4F00E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97C2F"/>
    <w:multiLevelType w:val="hybridMultilevel"/>
    <w:tmpl w:val="D94CF1EC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2694"/>
    <w:multiLevelType w:val="hybridMultilevel"/>
    <w:tmpl w:val="56E4BA58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D23CC"/>
    <w:multiLevelType w:val="hybridMultilevel"/>
    <w:tmpl w:val="2482D07E"/>
    <w:lvl w:ilvl="0" w:tplc="D414B4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757CA"/>
    <w:multiLevelType w:val="hybridMultilevel"/>
    <w:tmpl w:val="6328873C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16B38"/>
    <w:multiLevelType w:val="hybridMultilevel"/>
    <w:tmpl w:val="5860D0DA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E6FD2"/>
    <w:multiLevelType w:val="hybridMultilevel"/>
    <w:tmpl w:val="20E8D8FE"/>
    <w:lvl w:ilvl="0" w:tplc="AB0EB3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525CB"/>
    <w:multiLevelType w:val="hybridMultilevel"/>
    <w:tmpl w:val="2AF0B002"/>
    <w:lvl w:ilvl="0" w:tplc="1A4654E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67201"/>
    <w:multiLevelType w:val="hybridMultilevel"/>
    <w:tmpl w:val="9F749702"/>
    <w:lvl w:ilvl="0" w:tplc="2F623E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20D33"/>
    <w:multiLevelType w:val="hybridMultilevel"/>
    <w:tmpl w:val="438A76A6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70D6"/>
    <w:multiLevelType w:val="hybridMultilevel"/>
    <w:tmpl w:val="41A6E16E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C7923"/>
    <w:multiLevelType w:val="hybridMultilevel"/>
    <w:tmpl w:val="FE20D092"/>
    <w:lvl w:ilvl="0" w:tplc="FA7AC66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F5BE4"/>
    <w:multiLevelType w:val="hybridMultilevel"/>
    <w:tmpl w:val="FC5C09BC"/>
    <w:lvl w:ilvl="0" w:tplc="2696A8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108DC"/>
    <w:multiLevelType w:val="hybridMultilevel"/>
    <w:tmpl w:val="390A9B0C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B02AF"/>
    <w:multiLevelType w:val="singleLevel"/>
    <w:tmpl w:val="8BD86DF0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28">
    <w:nsid w:val="70C04F5D"/>
    <w:multiLevelType w:val="hybridMultilevel"/>
    <w:tmpl w:val="B5B4480E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E239E"/>
    <w:multiLevelType w:val="hybridMultilevel"/>
    <w:tmpl w:val="2C66CBA4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5F485E"/>
    <w:multiLevelType w:val="hybridMultilevel"/>
    <w:tmpl w:val="0D6AF6B6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A6C3C"/>
    <w:multiLevelType w:val="hybridMultilevel"/>
    <w:tmpl w:val="FA842EB0"/>
    <w:lvl w:ilvl="0" w:tplc="43F6849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523AA"/>
    <w:multiLevelType w:val="hybridMultilevel"/>
    <w:tmpl w:val="CA12A684"/>
    <w:lvl w:ilvl="0" w:tplc="9E2C63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6"/>
  </w:num>
  <w:num w:numId="4">
    <w:abstractNumId w:val="20"/>
  </w:num>
  <w:num w:numId="5">
    <w:abstractNumId w:val="21"/>
  </w:num>
  <w:num w:numId="6">
    <w:abstractNumId w:val="32"/>
  </w:num>
  <w:num w:numId="7">
    <w:abstractNumId w:val="7"/>
  </w:num>
  <w:num w:numId="8">
    <w:abstractNumId w:val="19"/>
  </w:num>
  <w:num w:numId="9">
    <w:abstractNumId w:val="25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1"/>
  </w:num>
  <w:num w:numId="15">
    <w:abstractNumId w:val="10"/>
  </w:num>
  <w:num w:numId="16">
    <w:abstractNumId w:val="2"/>
  </w:num>
  <w:num w:numId="17">
    <w:abstractNumId w:val="0"/>
  </w:num>
  <w:num w:numId="18">
    <w:abstractNumId w:val="28"/>
  </w:num>
  <w:num w:numId="19">
    <w:abstractNumId w:val="33"/>
  </w:num>
  <w:num w:numId="20">
    <w:abstractNumId w:val="31"/>
  </w:num>
  <w:num w:numId="21">
    <w:abstractNumId w:val="13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  <w:num w:numId="26">
    <w:abstractNumId w:val="17"/>
  </w:num>
  <w:num w:numId="27">
    <w:abstractNumId w:val="26"/>
  </w:num>
  <w:num w:numId="28">
    <w:abstractNumId w:val="18"/>
  </w:num>
  <w:num w:numId="29">
    <w:abstractNumId w:val="4"/>
  </w:num>
  <w:num w:numId="30">
    <w:abstractNumId w:val="5"/>
  </w:num>
  <w:num w:numId="31">
    <w:abstractNumId w:val="12"/>
  </w:num>
  <w:num w:numId="32">
    <w:abstractNumId w:val="29"/>
  </w:num>
  <w:num w:numId="33">
    <w:abstractNumId w:val="23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  <w:docVar w:name="XSLPath" w:val="C:\Program Files\Information Mapping\FS XML 1.0d\StyleSheets\"/>
    <w:docVar w:name="XSLstylesheet" w:val="http://152.125.216.223/bl/21/m21-1mr/stylesheets/m21.xsl"/>
  </w:docVars>
  <w:rsids>
    <w:rsidRoot w:val="00F52053"/>
    <w:rsid w:val="0000154B"/>
    <w:rsid w:val="00011850"/>
    <w:rsid w:val="00012606"/>
    <w:rsid w:val="00012839"/>
    <w:rsid w:val="00013112"/>
    <w:rsid w:val="00013C6C"/>
    <w:rsid w:val="000160AA"/>
    <w:rsid w:val="00037CE0"/>
    <w:rsid w:val="00041953"/>
    <w:rsid w:val="000537FE"/>
    <w:rsid w:val="00077C6B"/>
    <w:rsid w:val="000839AC"/>
    <w:rsid w:val="00086FEF"/>
    <w:rsid w:val="00091064"/>
    <w:rsid w:val="00097A0F"/>
    <w:rsid w:val="000A2F7C"/>
    <w:rsid w:val="000C7171"/>
    <w:rsid w:val="000D0E4F"/>
    <w:rsid w:val="000D202F"/>
    <w:rsid w:val="000D260F"/>
    <w:rsid w:val="000D2669"/>
    <w:rsid w:val="000D66BF"/>
    <w:rsid w:val="000E05CE"/>
    <w:rsid w:val="000F6C71"/>
    <w:rsid w:val="00103885"/>
    <w:rsid w:val="001117AC"/>
    <w:rsid w:val="00115564"/>
    <w:rsid w:val="001175A8"/>
    <w:rsid w:val="0012220A"/>
    <w:rsid w:val="001229D8"/>
    <w:rsid w:val="00131359"/>
    <w:rsid w:val="00132414"/>
    <w:rsid w:val="00136B46"/>
    <w:rsid w:val="00136C9C"/>
    <w:rsid w:val="0014592B"/>
    <w:rsid w:val="00151881"/>
    <w:rsid w:val="00152B4A"/>
    <w:rsid w:val="0015613E"/>
    <w:rsid w:val="00160D5C"/>
    <w:rsid w:val="00166193"/>
    <w:rsid w:val="00172858"/>
    <w:rsid w:val="00186FB8"/>
    <w:rsid w:val="001B62BB"/>
    <w:rsid w:val="001E2345"/>
    <w:rsid w:val="001E728E"/>
    <w:rsid w:val="001F7687"/>
    <w:rsid w:val="002025B0"/>
    <w:rsid w:val="002120D1"/>
    <w:rsid w:val="0021355E"/>
    <w:rsid w:val="00221063"/>
    <w:rsid w:val="00226775"/>
    <w:rsid w:val="00264ABB"/>
    <w:rsid w:val="00265BBB"/>
    <w:rsid w:val="00275DD0"/>
    <w:rsid w:val="00284F1D"/>
    <w:rsid w:val="00291332"/>
    <w:rsid w:val="002961A1"/>
    <w:rsid w:val="002A24F0"/>
    <w:rsid w:val="002A370E"/>
    <w:rsid w:val="002C0E75"/>
    <w:rsid w:val="002D3EFB"/>
    <w:rsid w:val="002D589E"/>
    <w:rsid w:val="002D7C8F"/>
    <w:rsid w:val="002E14FA"/>
    <w:rsid w:val="002E6D81"/>
    <w:rsid w:val="002E774D"/>
    <w:rsid w:val="002F2DC9"/>
    <w:rsid w:val="002F4A02"/>
    <w:rsid w:val="002F6717"/>
    <w:rsid w:val="00314B40"/>
    <w:rsid w:val="00332E6B"/>
    <w:rsid w:val="003337C7"/>
    <w:rsid w:val="00333B27"/>
    <w:rsid w:val="0034423E"/>
    <w:rsid w:val="00351685"/>
    <w:rsid w:val="003540B9"/>
    <w:rsid w:val="00372285"/>
    <w:rsid w:val="003743C9"/>
    <w:rsid w:val="00374B9C"/>
    <w:rsid w:val="00381738"/>
    <w:rsid w:val="00381B45"/>
    <w:rsid w:val="00381D0C"/>
    <w:rsid w:val="00385F4A"/>
    <w:rsid w:val="00393B83"/>
    <w:rsid w:val="003B0E3C"/>
    <w:rsid w:val="003B15A4"/>
    <w:rsid w:val="003B2E5C"/>
    <w:rsid w:val="003C0E1B"/>
    <w:rsid w:val="003C4728"/>
    <w:rsid w:val="003D19C6"/>
    <w:rsid w:val="003D2D66"/>
    <w:rsid w:val="003E1199"/>
    <w:rsid w:val="003F1442"/>
    <w:rsid w:val="0040096B"/>
    <w:rsid w:val="004105C7"/>
    <w:rsid w:val="00421CC2"/>
    <w:rsid w:val="00422A94"/>
    <w:rsid w:val="00425BA8"/>
    <w:rsid w:val="00444207"/>
    <w:rsid w:val="004501EB"/>
    <w:rsid w:val="00450844"/>
    <w:rsid w:val="00454631"/>
    <w:rsid w:val="00461356"/>
    <w:rsid w:val="00467F81"/>
    <w:rsid w:val="00472743"/>
    <w:rsid w:val="00475DFF"/>
    <w:rsid w:val="00482193"/>
    <w:rsid w:val="00484E9A"/>
    <w:rsid w:val="00491EB5"/>
    <w:rsid w:val="0049791F"/>
    <w:rsid w:val="004A0E67"/>
    <w:rsid w:val="004B7512"/>
    <w:rsid w:val="004C07A4"/>
    <w:rsid w:val="004C1A39"/>
    <w:rsid w:val="004C772E"/>
    <w:rsid w:val="004D2D78"/>
    <w:rsid w:val="004E38A2"/>
    <w:rsid w:val="004F3272"/>
    <w:rsid w:val="0050297E"/>
    <w:rsid w:val="00513039"/>
    <w:rsid w:val="00514D8A"/>
    <w:rsid w:val="00515A91"/>
    <w:rsid w:val="00543ABA"/>
    <w:rsid w:val="00552D15"/>
    <w:rsid w:val="00563FC0"/>
    <w:rsid w:val="0056412C"/>
    <w:rsid w:val="00574285"/>
    <w:rsid w:val="0058386F"/>
    <w:rsid w:val="005A0EEE"/>
    <w:rsid w:val="005A636A"/>
    <w:rsid w:val="005B6452"/>
    <w:rsid w:val="005C6221"/>
    <w:rsid w:val="005C6D67"/>
    <w:rsid w:val="005D3383"/>
    <w:rsid w:val="005E2B2A"/>
    <w:rsid w:val="00605F9A"/>
    <w:rsid w:val="006229DF"/>
    <w:rsid w:val="00633C12"/>
    <w:rsid w:val="0064773A"/>
    <w:rsid w:val="00652CBB"/>
    <w:rsid w:val="00653973"/>
    <w:rsid w:val="00655015"/>
    <w:rsid w:val="006562E5"/>
    <w:rsid w:val="00660C0D"/>
    <w:rsid w:val="006853C6"/>
    <w:rsid w:val="00685AA7"/>
    <w:rsid w:val="006913CD"/>
    <w:rsid w:val="00693160"/>
    <w:rsid w:val="006A5A28"/>
    <w:rsid w:val="006B1390"/>
    <w:rsid w:val="006D2B4A"/>
    <w:rsid w:val="006E6EA5"/>
    <w:rsid w:val="006F6AF9"/>
    <w:rsid w:val="0070162E"/>
    <w:rsid w:val="00707184"/>
    <w:rsid w:val="00714135"/>
    <w:rsid w:val="00736CA2"/>
    <w:rsid w:val="007474F9"/>
    <w:rsid w:val="0075014D"/>
    <w:rsid w:val="00772B4D"/>
    <w:rsid w:val="007949A2"/>
    <w:rsid w:val="007A337B"/>
    <w:rsid w:val="007C2279"/>
    <w:rsid w:val="007E3188"/>
    <w:rsid w:val="008127DD"/>
    <w:rsid w:val="008174A0"/>
    <w:rsid w:val="00836231"/>
    <w:rsid w:val="008453CB"/>
    <w:rsid w:val="008513A2"/>
    <w:rsid w:val="00852CEB"/>
    <w:rsid w:val="00872243"/>
    <w:rsid w:val="0088051D"/>
    <w:rsid w:val="00882012"/>
    <w:rsid w:val="00882AAB"/>
    <w:rsid w:val="00884E10"/>
    <w:rsid w:val="008959C0"/>
    <w:rsid w:val="00896745"/>
    <w:rsid w:val="008A2117"/>
    <w:rsid w:val="008C6FDF"/>
    <w:rsid w:val="008E3C48"/>
    <w:rsid w:val="008F2778"/>
    <w:rsid w:val="008F456E"/>
    <w:rsid w:val="009130B5"/>
    <w:rsid w:val="009202DC"/>
    <w:rsid w:val="00922E50"/>
    <w:rsid w:val="00923682"/>
    <w:rsid w:val="00927BD1"/>
    <w:rsid w:val="00937ED0"/>
    <w:rsid w:val="009404EB"/>
    <w:rsid w:val="00943B54"/>
    <w:rsid w:val="0094635A"/>
    <w:rsid w:val="00950062"/>
    <w:rsid w:val="00960C8A"/>
    <w:rsid w:val="00961C54"/>
    <w:rsid w:val="00962221"/>
    <w:rsid w:val="00965FBF"/>
    <w:rsid w:val="00970FFD"/>
    <w:rsid w:val="00975444"/>
    <w:rsid w:val="009829E8"/>
    <w:rsid w:val="00983607"/>
    <w:rsid w:val="00986B9E"/>
    <w:rsid w:val="009A6074"/>
    <w:rsid w:val="009A6133"/>
    <w:rsid w:val="009B7B98"/>
    <w:rsid w:val="009C3DFC"/>
    <w:rsid w:val="009C43B3"/>
    <w:rsid w:val="009D070A"/>
    <w:rsid w:val="009D4D56"/>
    <w:rsid w:val="009E0269"/>
    <w:rsid w:val="009E3F08"/>
    <w:rsid w:val="009E5E8E"/>
    <w:rsid w:val="009E7882"/>
    <w:rsid w:val="009F0922"/>
    <w:rsid w:val="009F3099"/>
    <w:rsid w:val="009F495C"/>
    <w:rsid w:val="009F667B"/>
    <w:rsid w:val="009F7537"/>
    <w:rsid w:val="00A07CAC"/>
    <w:rsid w:val="00A25878"/>
    <w:rsid w:val="00A44D70"/>
    <w:rsid w:val="00A55F02"/>
    <w:rsid w:val="00A65272"/>
    <w:rsid w:val="00A72ED8"/>
    <w:rsid w:val="00AA1BD2"/>
    <w:rsid w:val="00AB1CF9"/>
    <w:rsid w:val="00AD722B"/>
    <w:rsid w:val="00AE473D"/>
    <w:rsid w:val="00B0437A"/>
    <w:rsid w:val="00B04ED1"/>
    <w:rsid w:val="00B152DC"/>
    <w:rsid w:val="00B1793A"/>
    <w:rsid w:val="00B17F06"/>
    <w:rsid w:val="00B225CA"/>
    <w:rsid w:val="00B25976"/>
    <w:rsid w:val="00B27A09"/>
    <w:rsid w:val="00B330E8"/>
    <w:rsid w:val="00B5039E"/>
    <w:rsid w:val="00B50BD7"/>
    <w:rsid w:val="00B61CF9"/>
    <w:rsid w:val="00B81885"/>
    <w:rsid w:val="00B8458F"/>
    <w:rsid w:val="00B94022"/>
    <w:rsid w:val="00BB1EE7"/>
    <w:rsid w:val="00BB676E"/>
    <w:rsid w:val="00BE31C4"/>
    <w:rsid w:val="00BE6668"/>
    <w:rsid w:val="00BF44B0"/>
    <w:rsid w:val="00C127EA"/>
    <w:rsid w:val="00C15A1F"/>
    <w:rsid w:val="00C164C1"/>
    <w:rsid w:val="00C25785"/>
    <w:rsid w:val="00C32E38"/>
    <w:rsid w:val="00C65141"/>
    <w:rsid w:val="00C72A28"/>
    <w:rsid w:val="00C81A0A"/>
    <w:rsid w:val="00C85FE8"/>
    <w:rsid w:val="00CA0208"/>
    <w:rsid w:val="00CA047B"/>
    <w:rsid w:val="00CA53F8"/>
    <w:rsid w:val="00CB0703"/>
    <w:rsid w:val="00CC2667"/>
    <w:rsid w:val="00CC5DA7"/>
    <w:rsid w:val="00CD2B69"/>
    <w:rsid w:val="00CF398D"/>
    <w:rsid w:val="00CF4BF8"/>
    <w:rsid w:val="00CF75AE"/>
    <w:rsid w:val="00D07E35"/>
    <w:rsid w:val="00D22F91"/>
    <w:rsid w:val="00D303BF"/>
    <w:rsid w:val="00D310E4"/>
    <w:rsid w:val="00D3432D"/>
    <w:rsid w:val="00D37058"/>
    <w:rsid w:val="00D43EE3"/>
    <w:rsid w:val="00D62A34"/>
    <w:rsid w:val="00D75AA2"/>
    <w:rsid w:val="00D90D6C"/>
    <w:rsid w:val="00DA267B"/>
    <w:rsid w:val="00DA3B6A"/>
    <w:rsid w:val="00DA3ECA"/>
    <w:rsid w:val="00DA7189"/>
    <w:rsid w:val="00DC294A"/>
    <w:rsid w:val="00DC41D9"/>
    <w:rsid w:val="00DC4E93"/>
    <w:rsid w:val="00DD1AE4"/>
    <w:rsid w:val="00DE6395"/>
    <w:rsid w:val="00DF306C"/>
    <w:rsid w:val="00DF37CA"/>
    <w:rsid w:val="00E0147C"/>
    <w:rsid w:val="00E06DBA"/>
    <w:rsid w:val="00E16386"/>
    <w:rsid w:val="00E21D57"/>
    <w:rsid w:val="00E32586"/>
    <w:rsid w:val="00E46D51"/>
    <w:rsid w:val="00E50570"/>
    <w:rsid w:val="00E509AA"/>
    <w:rsid w:val="00E50C67"/>
    <w:rsid w:val="00E60B70"/>
    <w:rsid w:val="00E61205"/>
    <w:rsid w:val="00E61A1B"/>
    <w:rsid w:val="00E70510"/>
    <w:rsid w:val="00E7311E"/>
    <w:rsid w:val="00E80796"/>
    <w:rsid w:val="00E94CB0"/>
    <w:rsid w:val="00E9722F"/>
    <w:rsid w:val="00EA3039"/>
    <w:rsid w:val="00EB7D38"/>
    <w:rsid w:val="00EB7F9C"/>
    <w:rsid w:val="00EC26B8"/>
    <w:rsid w:val="00EC578A"/>
    <w:rsid w:val="00ED4191"/>
    <w:rsid w:val="00ED590D"/>
    <w:rsid w:val="00EE008E"/>
    <w:rsid w:val="00EF4C95"/>
    <w:rsid w:val="00F13E48"/>
    <w:rsid w:val="00F20513"/>
    <w:rsid w:val="00F426F2"/>
    <w:rsid w:val="00F4351B"/>
    <w:rsid w:val="00F51C93"/>
    <w:rsid w:val="00F52053"/>
    <w:rsid w:val="00F604BC"/>
    <w:rsid w:val="00F66634"/>
    <w:rsid w:val="00F71DBE"/>
    <w:rsid w:val="00F726AE"/>
    <w:rsid w:val="00F7433C"/>
    <w:rsid w:val="00F870AA"/>
    <w:rsid w:val="00F878DE"/>
    <w:rsid w:val="00F93F94"/>
    <w:rsid w:val="00F95E33"/>
    <w:rsid w:val="00FA1F9B"/>
    <w:rsid w:val="00FA26F4"/>
    <w:rsid w:val="00FA6CA6"/>
    <w:rsid w:val="00FC1096"/>
    <w:rsid w:val="00FC258A"/>
    <w:rsid w:val="00FC385C"/>
    <w:rsid w:val="00FF1BD0"/>
    <w:rsid w:val="00FF2DD2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134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customStyle="1" w:styleId="BulletText1">
    <w:name w:val="Bullet Text 1"/>
    <w:basedOn w:val="Normal"/>
    <w:pPr>
      <w:numPr>
        <w:numId w:val="1"/>
      </w:numPr>
      <w:tabs>
        <w:tab w:val="left" w:pos="187"/>
      </w:tabs>
      <w:ind w:left="187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BulletText2">
    <w:name w:val="Bullet Text 2"/>
    <w:basedOn w:val="BulletText1"/>
    <w:autoRedefine/>
    <w:pPr>
      <w:numPr>
        <w:numId w:val="2"/>
      </w:numPr>
      <w:tabs>
        <w:tab w:val="clear" w:pos="187"/>
        <w:tab w:val="clear" w:pos="547"/>
      </w:tabs>
      <w:ind w:left="360" w:hanging="187"/>
    </w:p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NoteText">
    <w:name w:val="Note Text"/>
    <w:basedOn w:val="BlockText"/>
  </w:style>
  <w:style w:type="paragraph" w:styleId="BlockText">
    <w:name w:val="Block Text"/>
    <w:basedOn w:val="Normal"/>
    <w:semiHidden/>
  </w:style>
  <w:style w:type="paragraph" w:customStyle="1" w:styleId="EmbeddedText">
    <w:name w:val="Embedded Text"/>
    <w:basedOn w:val="TableText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numPr>
        <w:ilvl w:val="12"/>
      </w:numPr>
      <w:tabs>
        <w:tab w:val="left" w:pos="480"/>
        <w:tab w:val="left" w:pos="8640"/>
        <w:tab w:val="left" w:pos="9600"/>
      </w:tabs>
      <w:ind w:right="63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348"/>
        <w:tab w:val="right" w:leader="dot" w:pos="9050"/>
      </w:tabs>
      <w:spacing w:before="240"/>
      <w:ind w:left="220"/>
    </w:pPr>
    <w:rPr>
      <w:b/>
      <w:sz w:val="20"/>
      <w:lang w:val="nl-NL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customStyle="1" w:styleId="Jump">
    <w:name w:val="Jump"/>
    <w:basedOn w:val="DefaultParagraphFont"/>
    <w:rPr>
      <w:color w:val="FF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3D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7C6B"/>
    <w:rPr>
      <w:sz w:val="24"/>
    </w:rPr>
  </w:style>
  <w:style w:type="paragraph" w:styleId="ListParagraph">
    <w:name w:val="List Paragraph"/>
    <w:basedOn w:val="Normal"/>
    <w:uiPriority w:val="34"/>
    <w:qFormat/>
    <w:rsid w:val="0056412C"/>
    <w:pPr>
      <w:ind w:left="720"/>
      <w:contextualSpacing/>
    </w:pPr>
  </w:style>
  <w:style w:type="table" w:styleId="TableGrid">
    <w:name w:val="Table Grid"/>
    <w:basedOn w:val="TableNormal"/>
    <w:uiPriority w:val="59"/>
    <w:rsid w:val="009A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7C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TableText">
    <w:name w:val="Table Text"/>
    <w:basedOn w:val="Normal"/>
  </w:style>
  <w:style w:type="paragraph" w:customStyle="1" w:styleId="BulletText1">
    <w:name w:val="Bullet Text 1"/>
    <w:basedOn w:val="Normal"/>
    <w:pPr>
      <w:numPr>
        <w:numId w:val="1"/>
      </w:numPr>
      <w:tabs>
        <w:tab w:val="left" w:pos="187"/>
      </w:tabs>
      <w:ind w:left="187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BulletText2">
    <w:name w:val="Bullet Text 2"/>
    <w:basedOn w:val="BulletText1"/>
    <w:autoRedefine/>
    <w:pPr>
      <w:numPr>
        <w:numId w:val="2"/>
      </w:numPr>
      <w:tabs>
        <w:tab w:val="clear" w:pos="187"/>
        <w:tab w:val="clear" w:pos="547"/>
      </w:tabs>
      <w:ind w:left="360" w:hanging="187"/>
    </w:p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NoteText">
    <w:name w:val="Note Text"/>
    <w:basedOn w:val="BlockText"/>
  </w:style>
  <w:style w:type="paragraph" w:styleId="BlockText">
    <w:name w:val="Block Text"/>
    <w:basedOn w:val="Normal"/>
    <w:semiHidden/>
  </w:style>
  <w:style w:type="paragraph" w:customStyle="1" w:styleId="EmbeddedText">
    <w:name w:val="Embedded Text"/>
    <w:basedOn w:val="TableText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numPr>
        <w:ilvl w:val="12"/>
      </w:numPr>
      <w:tabs>
        <w:tab w:val="left" w:pos="480"/>
        <w:tab w:val="left" w:pos="8640"/>
        <w:tab w:val="left" w:pos="9600"/>
      </w:tabs>
      <w:ind w:right="63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7348"/>
        <w:tab w:val="right" w:leader="dot" w:pos="9050"/>
      </w:tabs>
      <w:spacing w:before="240"/>
      <w:ind w:left="220"/>
    </w:pPr>
    <w:rPr>
      <w:b/>
      <w:sz w:val="20"/>
      <w:lang w:val="nl-NL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7660"/>
        <w:tab w:val="right" w:leader="dot" w:pos="9360"/>
      </w:tabs>
      <w:spacing w:before="60" w:after="60"/>
      <w:ind w:left="440"/>
    </w:pPr>
    <w:rPr>
      <w:sz w:val="22"/>
      <w:lang w:val="nl-NL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customStyle="1" w:styleId="Jump">
    <w:name w:val="Jump"/>
    <w:basedOn w:val="DefaultParagraphFont"/>
    <w:rPr>
      <w:color w:val="FF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3D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7C6B"/>
    <w:rPr>
      <w:sz w:val="24"/>
    </w:rPr>
  </w:style>
  <w:style w:type="paragraph" w:styleId="ListParagraph">
    <w:name w:val="List Paragraph"/>
    <w:basedOn w:val="Normal"/>
    <w:uiPriority w:val="34"/>
    <w:qFormat/>
    <w:rsid w:val="0056412C"/>
    <w:pPr>
      <w:ind w:left="720"/>
      <w:contextualSpacing/>
    </w:pPr>
  </w:style>
  <w:style w:type="table" w:styleId="TableGrid">
    <w:name w:val="Table Grid"/>
    <w:basedOn w:val="TableNormal"/>
    <w:uiPriority w:val="59"/>
    <w:rsid w:val="009A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7C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text-idx?SID=adece13ebcfd51c6477a845a185ec6b3&amp;node=se38.1.3_1103&amp;rgn=div8" TargetMode="External"/><Relationship Id="rId18" Type="http://schemas.openxmlformats.org/officeDocument/2006/relationships/hyperlink" Target="imi-internal:M21-1MRI.2.C.10" TargetMode="External"/><Relationship Id="rId26" Type="http://schemas.openxmlformats.org/officeDocument/2006/relationships/hyperlink" Target="http://www.ecfr.gov/cgi-bin/text-idx?SID=8d1dbeb20c3bd4fc80b93873d358040e&amp;node=se38.1.3_1105&amp;rgn=div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cfr.gov/cgi-bin/text-idx?SID=592b1779ab34430f0959a76518d17aea&amp;mc=true&amp;node=se38.1.3_1551&amp;rgn=div8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cfr.gov/cgi-bin/text-idx?SID=dd2b9db35ed6b58a0b8e2446e7bb27e6&amp;node=se38.1.3_1103&amp;rgn=div8" TargetMode="External"/><Relationship Id="rId17" Type="http://schemas.openxmlformats.org/officeDocument/2006/relationships/hyperlink" Target="imi-internal:M21-1MRI.2.C.9" TargetMode="External"/><Relationship Id="rId25" Type="http://schemas.openxmlformats.org/officeDocument/2006/relationships/hyperlink" Target="http://www.ecfr.gov/cgi-bin/text-idx?SID=dd2e560ac7c2a6e1649d421cc05e826e&amp;node=se38.1.3_1552&amp;rgn=div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imi-internal:M21-1MRI.2.B.5" TargetMode="External"/><Relationship Id="rId20" Type="http://schemas.openxmlformats.org/officeDocument/2006/relationships/hyperlink" Target="http://www.ecfr.gov/cgi-bin/text-idx?SID=ac21215bec0193cde41f81afe40dfb45&amp;node=se38.1.1_1710&amp;rgn=div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cfr.gov/cgi-bin/text-idx?SID=dd2e560ac7c2a6e1649d421cc05e826e&amp;node=se38.1.3_1551&amp;rgn=div8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cfr.gov/cgi-bin/text-idx?SID=89a210b6f8738c4fa13db242491be8df&amp;mc=true&amp;node=se38.1.3_1103&amp;rgn=div8" TargetMode="External"/><Relationship Id="rId23" Type="http://schemas.openxmlformats.org/officeDocument/2006/relationships/hyperlink" Target="http://www.ecfr.gov/cgi-bin/text-idx?SID=592b1779ab34430f0959a76518d17aea&amp;mc=true&amp;node=se38.1.3_1556&amp;rgn=div8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imi-internal:M21-1MRI.2.C.12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cfr.gov/cgi-bin/text-idx?SID=89a210b6f8738c4fa13db242491be8df&amp;mc=true&amp;node=sg38.1.3_1461.sg15&amp;rgn=div7" TargetMode="External"/><Relationship Id="rId22" Type="http://schemas.openxmlformats.org/officeDocument/2006/relationships/hyperlink" Target="http://www.ecfr.gov/cgi-bin/text-idx?SID=592b1779ab34430f0959a76518d17aea&amp;mc=true&amp;node=se38.1.3_1552&amp;rgn=div8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6346-E9E4-4AEA-8DB1-E22F993AF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D1C5F-8251-48A6-A6EA-58C63DE3137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05A41F-124B-4E75-B23B-D32C2372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32004-D713-421A-867B-D5F62BA7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3</TotalTime>
  <Pages>11</Pages>
  <Words>2093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1, Chapter 2.  Due Process</vt:lpstr>
    </vt:vector>
  </TitlesOfParts>
  <Company>Department of Veterans Affairs (VA)</Company>
  <LinksUpToDate>false</LinksUpToDate>
  <CharactersWithSpaces>15544</CharactersWithSpaces>
  <SharedDoc>false</SharedDoc>
  <HLinks>
    <vt:vector size="48" baseType="variant">
      <vt:variant>
        <vt:i4>7077972</vt:i4>
      </vt:variant>
      <vt:variant>
        <vt:i4>54</vt:i4>
      </vt:variant>
      <vt:variant>
        <vt:i4>0</vt:i4>
      </vt:variant>
      <vt:variant>
        <vt:i4>5</vt:i4>
      </vt:variant>
      <vt:variant>
        <vt:lpwstr>http://www.warms.vba.va.gov/admin21/m21_1/part4/ch09.doc</vt:lpwstr>
      </vt:variant>
      <vt:variant>
        <vt:lpwstr/>
      </vt:variant>
      <vt:variant>
        <vt:i4>7077972</vt:i4>
      </vt:variant>
      <vt:variant>
        <vt:i4>51</vt:i4>
      </vt:variant>
      <vt:variant>
        <vt:i4>0</vt:i4>
      </vt:variant>
      <vt:variant>
        <vt:i4>5</vt:i4>
      </vt:variant>
      <vt:variant>
        <vt:lpwstr>http://www.warms.vba.va.gov/admin21/m21_1/part4/ch09.doc</vt:lpwstr>
      </vt:variant>
      <vt:variant>
        <vt:lpwstr/>
      </vt:variant>
      <vt:variant>
        <vt:i4>5832807</vt:i4>
      </vt:variant>
      <vt:variant>
        <vt:i4>39</vt:i4>
      </vt:variant>
      <vt:variant>
        <vt:i4>0</vt:i4>
      </vt:variant>
      <vt:variant>
        <vt:i4>5</vt:i4>
      </vt:variant>
      <vt:variant>
        <vt:lpwstr>http://www.warms.vba.va.gov/admin21/m21_4/ch06.doc</vt:lpwstr>
      </vt:variant>
      <vt:variant>
        <vt:lpwstr/>
      </vt:variant>
      <vt:variant>
        <vt:i4>6619206</vt:i4>
      </vt:variant>
      <vt:variant>
        <vt:i4>33</vt:i4>
      </vt:variant>
      <vt:variant>
        <vt:i4>0</vt:i4>
      </vt:variant>
      <vt:variant>
        <vt:i4>5</vt:i4>
      </vt:variant>
      <vt:variant>
        <vt:lpwstr>http://www.warms.vba.va.gov/regs/38CFR/BOOKA/PART1/S1_710.DOC</vt:lpwstr>
      </vt:variant>
      <vt:variant>
        <vt:lpwstr/>
      </vt:variant>
      <vt:variant>
        <vt:i4>6619201</vt:i4>
      </vt:variant>
      <vt:variant>
        <vt:i4>27</vt:i4>
      </vt:variant>
      <vt:variant>
        <vt:i4>0</vt:i4>
      </vt:variant>
      <vt:variant>
        <vt:i4>5</vt:i4>
      </vt:variant>
      <vt:variant>
        <vt:lpwstr>http://www.warms.vba.va.gov/regs/38CFR/BOOKB/PART3/S3_103.DOC</vt:lpwstr>
      </vt:variant>
      <vt:variant>
        <vt:lpwstr/>
      </vt:variant>
      <vt:variant>
        <vt:i4>6619206</vt:i4>
      </vt:variant>
      <vt:variant>
        <vt:i4>24</vt:i4>
      </vt:variant>
      <vt:variant>
        <vt:i4>0</vt:i4>
      </vt:variant>
      <vt:variant>
        <vt:i4>5</vt:i4>
      </vt:variant>
      <vt:variant>
        <vt:lpwstr>http://www.warms.vba.va.gov/regs/38CFR/BOOKB/PART3/S3_500.DOC</vt:lpwstr>
      </vt:variant>
      <vt:variant>
        <vt:lpwstr/>
      </vt:variant>
      <vt:variant>
        <vt:i4>6291524</vt:i4>
      </vt:variant>
      <vt:variant>
        <vt:i4>6</vt:i4>
      </vt:variant>
      <vt:variant>
        <vt:i4>0</vt:i4>
      </vt:variant>
      <vt:variant>
        <vt:i4>5</vt:i4>
      </vt:variant>
      <vt:variant>
        <vt:lpwstr>http://www.warms.vba.va.gov/regs/38CFR/BOOKB/PART3/S3_552.DOC</vt:lpwstr>
      </vt:variant>
      <vt:variant>
        <vt:lpwstr/>
      </vt:variant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http://www.warms.vba.va.gov/regs/38CFR/BOOKB/PART3/S3_551.DOC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1, Chapter 2.  Due Process</dc:title>
  <dc:subject>Due Process</dc:subject>
  <dc:creator>capschao</dc:creator>
  <cp:keywords>due process, notice, contemponaneous, advance, control, responsibilities, reduction, discontinuance</cp:keywords>
  <dc:description>Due process topics</dc:description>
  <cp:lastModifiedBy>Hof, Matthew R., VBAVACO</cp:lastModifiedBy>
  <cp:revision>3</cp:revision>
  <cp:lastPrinted>2005-09-08T15:14:00Z</cp:lastPrinted>
  <dcterms:created xsi:type="dcterms:W3CDTF">2016-01-20T13:28:00Z</dcterms:created>
  <dcterms:modified xsi:type="dcterms:W3CDTF">2016-01-20T16:32:00Z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2005</vt:lpwstr>
  </property>
  <property fmtid="{D5CDD505-2E9C-101B-9397-08002B2CF9AE}" pid="3" name="DateReviewed">
    <vt:lpwstr>20140403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 Veterans Affairs, Veterans Benefit Administration, Compensation Service, Procedures</vt:lpwstr>
  </property>
  <property fmtid="{D5CDD505-2E9C-101B-9397-08002B2CF9AE}" pid="7" name="ContentTypeId">
    <vt:lpwstr>0x010100ABF033456AE7FA448DA46FC8B0DE36C6</vt:lpwstr>
  </property>
  <property fmtid="{D5CDD505-2E9C-101B-9397-08002B2CF9AE}" pid="8" name="Order0">
    <vt:r8>1</vt:r8>
  </property>
</Properties>
</file>