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1F18" w14:textId="296F8D46" w:rsidR="00504F80" w:rsidRDefault="004746D9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                  </w:t>
      </w:r>
      <w:r w:rsidR="00E225C0">
        <w:rPr>
          <w:rFonts w:ascii="Times New Roman" w:hAnsi="Times New Roman"/>
          <w:sz w:val="20"/>
        </w:rPr>
        <w:t xml:space="preserve">      </w:t>
      </w:r>
      <w:r w:rsidR="000F4BBE">
        <w:rPr>
          <w:rFonts w:ascii="Times New Roman" w:hAnsi="Times New Roman"/>
          <w:sz w:val="20"/>
        </w:rPr>
        <w:t xml:space="preserve">               </w:t>
      </w:r>
      <w:proofErr w:type="spellStart"/>
      <w:r w:rsidR="00504F80">
        <w:rPr>
          <w:rFonts w:ascii="Times New Roman" w:hAnsi="Times New Roman"/>
          <w:sz w:val="20"/>
        </w:rPr>
        <w:t>M21</w:t>
      </w:r>
      <w:proofErr w:type="spellEnd"/>
      <w:r w:rsidR="00504F80">
        <w:rPr>
          <w:rFonts w:ascii="Times New Roman" w:hAnsi="Times New Roman"/>
          <w:sz w:val="20"/>
        </w:rPr>
        <w:t xml:space="preserve">-1, Part </w:t>
      </w:r>
      <w:r>
        <w:rPr>
          <w:rFonts w:ascii="Times New Roman" w:hAnsi="Times New Roman"/>
          <w:sz w:val="20"/>
        </w:rPr>
        <w:t>I</w:t>
      </w:r>
      <w:r w:rsidR="000F4BBE">
        <w:rPr>
          <w:rFonts w:ascii="Times New Roman" w:hAnsi="Times New Roman"/>
          <w:sz w:val="20"/>
        </w:rPr>
        <w:t>, Chapter 1</w:t>
      </w:r>
    </w:p>
    <w:p w14:paraId="34F2D40E" w14:textId="421528E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225C0">
        <w:rPr>
          <w:b/>
          <w:bCs/>
          <w:sz w:val="20"/>
        </w:rPr>
        <w:t xml:space="preserve">         </w:t>
      </w:r>
      <w:r w:rsidR="000F4BBE">
        <w:rPr>
          <w:b/>
          <w:bCs/>
          <w:sz w:val="20"/>
        </w:rPr>
        <w:t xml:space="preserve">                 August 26, 2015</w:t>
      </w:r>
    </w:p>
    <w:p w14:paraId="62BDEBF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B1306A7" w14:textId="77777777" w:rsidR="00504F80" w:rsidRDefault="00504F80" w:rsidP="00504F80">
      <w:pPr>
        <w:rPr>
          <w:b/>
          <w:bCs/>
          <w:sz w:val="20"/>
        </w:rPr>
      </w:pPr>
    </w:p>
    <w:p w14:paraId="13F301EC" w14:textId="77777777" w:rsidR="00504F80" w:rsidRDefault="00504F80" w:rsidP="00504F80">
      <w:pPr>
        <w:pStyle w:val="Heading4"/>
      </w:pPr>
      <w:r>
        <w:t xml:space="preserve">Transmittal Sheet </w:t>
      </w:r>
    </w:p>
    <w:p w14:paraId="6C9D789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5277AF4" w14:textId="77777777" w:rsidTr="00C24D50">
        <w:tc>
          <w:tcPr>
            <w:tcW w:w="1728" w:type="dxa"/>
          </w:tcPr>
          <w:p w14:paraId="70296D4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D913CD7" w14:textId="29F8A1D0" w:rsidR="00AE56FD" w:rsidRDefault="00AE56FD" w:rsidP="00AE56FD">
            <w:pPr>
              <w:pStyle w:val="BlockText"/>
            </w:pPr>
            <w:r>
              <w:t>The table below describes the changes included in this revision of Veterans Benefits Manual M21-1, Part I, “</w:t>
            </w:r>
            <w:r w:rsidRPr="00BB1B51">
              <w:t>Claimants Rights and Responsibilities</w:t>
            </w:r>
            <w:r w:rsidR="000F4BBE">
              <w:t>,</w:t>
            </w:r>
            <w:r>
              <w:t>”</w:t>
            </w:r>
            <w:r w:rsidR="000F4BBE">
              <w:t xml:space="preserve"> Chapter 1, “</w:t>
            </w:r>
            <w:r w:rsidR="000F4BBE" w:rsidRPr="000F4BBE">
              <w:t>Duty to Notify and Duty to Assist</w:t>
            </w:r>
            <w:r w:rsidR="000F4BBE">
              <w:t>.”</w:t>
            </w:r>
          </w:p>
          <w:p w14:paraId="4F7DD574" w14:textId="77777777" w:rsidR="000F4BBE" w:rsidRDefault="000F4BBE" w:rsidP="000F4BBE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14:paraId="2972A526" w14:textId="77777777" w:rsidR="000F4BBE" w:rsidRDefault="000F4BBE" w:rsidP="000F4BBE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B260FBA" w14:textId="77777777" w:rsidR="00AE56FD" w:rsidRDefault="00AE56FD" w:rsidP="00AE56FD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 relating to claims that a Veteran and/or his/her survivors file with VA.</w:t>
            </w:r>
          </w:p>
          <w:p w14:paraId="5E364B6E" w14:textId="77777777" w:rsidR="00AE56FD" w:rsidRDefault="00AE56FD" w:rsidP="00AE56FD">
            <w:pPr>
              <w:pStyle w:val="BulletText1"/>
            </w:pPr>
            <w:r>
              <w:t xml:space="preserve">Minor editorial changes have also been made to </w:t>
            </w:r>
          </w:p>
          <w:p w14:paraId="63F89446" w14:textId="77777777" w:rsidR="00AE56FD" w:rsidRDefault="00AE56FD" w:rsidP="00AE56FD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8291A30" w14:textId="77777777" w:rsidR="00AE56FD" w:rsidRDefault="00AE56FD" w:rsidP="00AE56FD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BDE617A" w14:textId="77777777" w:rsidR="00AE56FD" w:rsidRDefault="00AE56FD" w:rsidP="00AE56FD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2D4E6E72" w14:textId="77777777" w:rsidR="00AE56FD" w:rsidRDefault="00AE56FD" w:rsidP="00AE56FD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4EFDF2F" w14:textId="77777777" w:rsidR="00AE56FD" w:rsidRDefault="00AE56FD" w:rsidP="00AE56FD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64DE57D6" w14:textId="77777777" w:rsidR="009B4442" w:rsidRDefault="00AE56FD" w:rsidP="003D2B4E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F651D72" w14:textId="40DC986A" w:rsidR="00504F80" w:rsidRPr="00EA3A57" w:rsidRDefault="00AE56FD" w:rsidP="009B4442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76A4A2A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0630CBE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24FFD8F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0633A43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A013D8" w14:paraId="329E4257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90BD7B5" w14:textId="69F7AAD6" w:rsidR="00A013D8" w:rsidRDefault="007F5FA9" w:rsidP="009B4442">
            <w:pPr>
              <w:pStyle w:val="TableText"/>
            </w:pPr>
            <w:r>
              <w:t>To r</w:t>
            </w:r>
            <w:r w:rsidR="00A013D8">
              <w:t xml:space="preserve">ename </w:t>
            </w:r>
            <w:r w:rsidR="003708F0">
              <w:t xml:space="preserve">section </w:t>
            </w:r>
            <w:r w:rsidR="00A013D8">
              <w:t>as “</w:t>
            </w:r>
            <w:r w:rsidR="009B4442">
              <w:t>Records and Examination Requests</w:t>
            </w:r>
            <w:r w:rsidR="00A013D8">
              <w:t xml:space="preserve">” to more accurately and better structure information on </w:t>
            </w:r>
            <w:r w:rsidR="003708F0">
              <w:t>VA’s statutory duty</w:t>
            </w:r>
            <w:r w:rsidR="00A013D8">
              <w:t xml:space="preserve"> to assist in developing claims</w:t>
            </w:r>
            <w:r>
              <w:t xml:space="preserve"> and to discuss in terms of the general duty to assist principles under 38 U.S.C. 5103A that apply when adjudicating claims for benefits</w:t>
            </w:r>
            <w:r w:rsidR="00A013D8"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7014B3CE" w14:textId="615C3497" w:rsidR="007F5FA9" w:rsidRDefault="003D2B4E" w:rsidP="007F5FA9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 xml:space="preserve">-1, </w:t>
            </w:r>
            <w:r w:rsidR="001A0086">
              <w:t>Part I, Chapter 1, Section C</w:t>
            </w:r>
          </w:p>
          <w:p w14:paraId="765EEC5A" w14:textId="2B8E661A" w:rsidR="007F5FA9" w:rsidRDefault="00997543" w:rsidP="007F5FA9">
            <w:pPr>
              <w:pStyle w:val="TableText"/>
            </w:pPr>
            <w:r>
              <w:t>(I.1.C)</w:t>
            </w:r>
          </w:p>
        </w:tc>
      </w:tr>
      <w:tr w:rsidR="001A0086" w14:paraId="2B1FEB88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C63D101" w14:textId="0C51346F" w:rsidR="001A0086" w:rsidRDefault="007F5FA9" w:rsidP="007F5FA9">
            <w:pPr>
              <w:pStyle w:val="TableText"/>
            </w:pPr>
            <w:r>
              <w:t>To rename</w:t>
            </w:r>
            <w:r w:rsidR="001A0086">
              <w:t xml:space="preserve"> </w:t>
            </w:r>
            <w:r w:rsidR="003D2B4E">
              <w:t>t</w:t>
            </w:r>
            <w:r w:rsidR="003708F0">
              <w:t xml:space="preserve">opic </w:t>
            </w:r>
            <w:r w:rsidR="009B4442">
              <w:t>as “Assisting</w:t>
            </w:r>
            <w:r w:rsidR="001A0086">
              <w:t xml:space="preserve"> with Federal Records</w:t>
            </w:r>
            <w:r w:rsidR="009B4442">
              <w:t xml:space="preserve"> Requests</w:t>
            </w:r>
            <w:r w:rsidR="001A0086">
              <w:t>” rather than “Requesting Federal Records” since this section addresses VA’s obligation under 38 U</w:t>
            </w:r>
            <w:r>
              <w:t>.</w:t>
            </w:r>
            <w:r w:rsidR="001A0086">
              <w:t>S</w:t>
            </w:r>
            <w:r>
              <w:t>.</w:t>
            </w:r>
            <w:r w:rsidR="001A0086">
              <w:t>C</w:t>
            </w:r>
            <w:r>
              <w:t>.</w:t>
            </w:r>
            <w:r w:rsidR="001A0086">
              <w:t xml:space="preserve"> 5103A rather</w:t>
            </w:r>
            <w:r w:rsidR="009B4442">
              <w:t xml:space="preserve"> than</w:t>
            </w:r>
            <w:r w:rsidR="001A0086">
              <w:t xml:space="preserve"> specific procedures to obtain records, which are more appropriately described in other sections</w:t>
            </w:r>
            <w:proofErr w:type="gramStart"/>
            <w:r w:rsidR="00B75F62">
              <w:t>.</w:t>
            </w:r>
            <w:r w:rsidR="001A0086">
              <w:t xml:space="preserve"> 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1C56058E" w14:textId="10EFCDBD" w:rsidR="007F5FA9" w:rsidRDefault="00997543" w:rsidP="002F7397">
            <w:pPr>
              <w:pStyle w:val="TableText"/>
            </w:pPr>
            <w:r>
              <w:t>I.1.C.1</w:t>
            </w:r>
          </w:p>
        </w:tc>
      </w:tr>
      <w:tr w:rsidR="00E863A3" w14:paraId="0A45C5BF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ACA4863" w14:textId="3BBEBF31" w:rsidR="00E863A3" w:rsidRDefault="007F5FA9" w:rsidP="00537D0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3708F0">
              <w:t xml:space="preserve">modify </w:t>
            </w:r>
            <w:r w:rsidR="0011384F">
              <w:t xml:space="preserve">block </w:t>
            </w:r>
            <w:r>
              <w:t xml:space="preserve">to </w:t>
            </w:r>
            <w:r w:rsidR="003708F0">
              <w:t xml:space="preserve">discuss VA’s </w:t>
            </w:r>
            <w:r w:rsidR="0011384F">
              <w:t xml:space="preserve">obligation </w:t>
            </w:r>
            <w:r w:rsidR="003708F0">
              <w:t xml:space="preserve">to </w:t>
            </w:r>
            <w:r w:rsidR="0011384F">
              <w:t>obtain Federal Records under 38 U</w:t>
            </w:r>
            <w:r w:rsidR="00537D0C">
              <w:t>.</w:t>
            </w:r>
            <w:r w:rsidR="0011384F">
              <w:t>S</w:t>
            </w:r>
            <w:r w:rsidR="00537D0C">
              <w:t>.</w:t>
            </w:r>
            <w:r w:rsidR="0011384F">
              <w:t>C</w:t>
            </w:r>
            <w:r w:rsidR="00537D0C">
              <w:t>.</w:t>
            </w:r>
            <w:r w:rsidR="0011384F">
              <w:t xml:space="preserve"> 5103A</w:t>
            </w:r>
            <w:r w:rsidR="00B75F62">
              <w:t>.</w:t>
            </w:r>
          </w:p>
          <w:p w14:paraId="7F7532C5" w14:textId="25CE4462" w:rsidR="00537D0C" w:rsidRDefault="00537D0C" w:rsidP="00537D0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reference on circumstances when VA may refrain from providing assistance</w:t>
            </w:r>
            <w:r w:rsidR="00B75F62">
              <w:t>.</w:t>
            </w:r>
          </w:p>
          <w:p w14:paraId="029B9D2C" w14:textId="7FEBB87F" w:rsidR="003708F0" w:rsidRDefault="003708F0" w:rsidP="00537D0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move existing language </w:t>
            </w:r>
            <w:r w:rsidR="00247EF5">
              <w:t>on types of Federal records to B</w:t>
            </w:r>
            <w:r>
              <w:t>lock b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5F9C4D13" w14:textId="02A87C20" w:rsidR="0011384F" w:rsidRDefault="00997543" w:rsidP="002F7397">
            <w:pPr>
              <w:pStyle w:val="TableText"/>
            </w:pPr>
            <w:r>
              <w:t>I.1.C.1.a</w:t>
            </w:r>
          </w:p>
        </w:tc>
      </w:tr>
      <w:tr w:rsidR="00E863A3" w14:paraId="65C0BCAB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7D1908E" w14:textId="044B4244" w:rsidR="00537D0C" w:rsidRDefault="00537D0C" w:rsidP="00537D0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3708F0">
              <w:t xml:space="preserve">modify </w:t>
            </w:r>
            <w:r>
              <w:t xml:space="preserve">block to </w:t>
            </w:r>
            <w:r w:rsidR="003708F0">
              <w:t xml:space="preserve">provide </w:t>
            </w:r>
            <w:r>
              <w:t>defin</w:t>
            </w:r>
            <w:r w:rsidR="003708F0">
              <w:t>ition of “</w:t>
            </w:r>
            <w:r w:rsidR="0011384F">
              <w:t>Federal records,</w:t>
            </w:r>
            <w:r w:rsidR="003708F0">
              <w:t>”</w:t>
            </w:r>
            <w:r w:rsidR="0011384F">
              <w:t xml:space="preserve"> which is </w:t>
            </w:r>
            <w:r w:rsidR="00247EF5">
              <w:t>similar to old B</w:t>
            </w:r>
            <w:r w:rsidR="00774334">
              <w:t xml:space="preserve">lock </w:t>
            </w:r>
            <w:proofErr w:type="gramStart"/>
            <w:r w:rsidR="00774334">
              <w:t>a which</w:t>
            </w:r>
            <w:proofErr w:type="gramEnd"/>
            <w:r w:rsidR="00774334">
              <w:t xml:space="preserve"> described types of Federal records</w:t>
            </w:r>
            <w:r w:rsidR="003D2B4E">
              <w:t>.</w:t>
            </w:r>
            <w:r w:rsidR="00774334">
              <w:t xml:space="preserve"> </w:t>
            </w:r>
          </w:p>
          <w:p w14:paraId="31BFDCD2" w14:textId="5639DB7B" w:rsidR="00E863A3" w:rsidRDefault="00537D0C" w:rsidP="00537D0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>
              <w:t xml:space="preserve">To add </w:t>
            </w:r>
            <w:r w:rsidR="00774334">
              <w:t xml:space="preserve">key references on developing </w:t>
            </w:r>
            <w:r>
              <w:t xml:space="preserve">Federal </w:t>
            </w:r>
            <w:r w:rsidR="00774334">
              <w:t>records</w:t>
            </w:r>
            <w:r w:rsidR="00B75F62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2887331E" w14:textId="04ED8F36" w:rsidR="00E863A3" w:rsidRDefault="0011384F" w:rsidP="002F7397">
            <w:pPr>
              <w:pStyle w:val="TableText"/>
            </w:pPr>
            <w:r>
              <w:t>I.1.C.1.b</w:t>
            </w:r>
          </w:p>
        </w:tc>
      </w:tr>
      <w:tr w:rsidR="00DA5369" w14:paraId="2DFB7DE8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0B2010E" w14:textId="394CAE05" w:rsidR="00DA5369" w:rsidRDefault="00247EF5" w:rsidP="003708F0">
            <w:r>
              <w:t xml:space="preserve">To delete </w:t>
            </w:r>
            <w:r w:rsidR="003D2B4E">
              <w:t xml:space="preserve">old </w:t>
            </w:r>
            <w:r>
              <w:t>B</w:t>
            </w:r>
            <w:r w:rsidR="00DA5369">
              <w:t xml:space="preserve">lock c on “framing requests for Federal records” since this information </w:t>
            </w:r>
            <w:proofErr w:type="gramStart"/>
            <w:r w:rsidR="00DA5369">
              <w:t>is covered</w:t>
            </w:r>
            <w:proofErr w:type="gramEnd"/>
            <w:r w:rsidR="00DA5369">
              <w:t xml:space="preserve"> in other sections of the manual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57DF5638" w14:textId="7536FE89" w:rsidR="00DA5369" w:rsidRDefault="00070BA1" w:rsidP="000A1D9F">
            <w:pPr>
              <w:pStyle w:val="TableText"/>
            </w:pPr>
            <w:r>
              <w:t>--</w:t>
            </w:r>
          </w:p>
        </w:tc>
      </w:tr>
      <w:tr w:rsidR="003708F0" w14:paraId="6F849E2F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A91219D" w14:textId="32FB04F6" w:rsidR="00FE3C10" w:rsidRDefault="003708F0" w:rsidP="00FE3C10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>
              <w:lastRenderedPageBreak/>
              <w:t xml:space="preserve">To delete </w:t>
            </w:r>
            <w:r w:rsidR="00DA5369">
              <w:t>information on “waiting period after making requests for Federal records” since this information is included in other sections of the manual</w:t>
            </w:r>
            <w:r w:rsidR="00B75F62">
              <w:t>.</w:t>
            </w:r>
          </w:p>
          <w:p w14:paraId="5C772C93" w14:textId="7FC98AD4" w:rsidR="00DA5369" w:rsidRDefault="00DA5369" w:rsidP="00FE3C10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>
              <w:t xml:space="preserve">To </w:t>
            </w:r>
            <w:r w:rsidR="00FE3C10">
              <w:t>provide</w:t>
            </w:r>
            <w:r>
              <w:t xml:space="preserve"> a definition on what is considered reasonable efforts to obtain Federal records</w:t>
            </w:r>
            <w:r w:rsidR="00B75F62">
              <w:t>.</w:t>
            </w:r>
            <w:r w:rsidR="00FE3C10">
              <w:t xml:space="preserve"> </w:t>
            </w:r>
          </w:p>
          <w:p w14:paraId="4D3FF68E" w14:textId="1F26C4A8" w:rsidR="003708F0" w:rsidRDefault="00FE3C10" w:rsidP="00FE3C10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>
              <w:t xml:space="preserve">To add references </w:t>
            </w:r>
            <w:r w:rsidR="00AC12B4">
              <w:t>on development of records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29E273E3" w14:textId="685C2CA1" w:rsidR="00FE3C10" w:rsidRDefault="00FE3C10" w:rsidP="00933BDB">
            <w:pPr>
              <w:pStyle w:val="TableText"/>
            </w:pPr>
            <w:r>
              <w:t>I.1.C.1.c</w:t>
            </w:r>
          </w:p>
        </w:tc>
      </w:tr>
      <w:tr w:rsidR="002A1D3E" w14:paraId="5430FD78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F2F7F93" w14:textId="5ED3FEA1" w:rsidR="009E033E" w:rsidRDefault="00BB1DE6" w:rsidP="009E033E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>
              <w:t>To add</w:t>
            </w:r>
            <w:r w:rsidR="00A013D8">
              <w:t xml:space="preserve"> new information on certification of completeness of </w:t>
            </w:r>
            <w:r>
              <w:t>service treatment records when concluding that Federal records do not exist</w:t>
            </w:r>
            <w:r w:rsidR="00B75F62">
              <w:t>.</w:t>
            </w:r>
          </w:p>
          <w:p w14:paraId="22A5BAE6" w14:textId="57D2E689" w:rsidR="002A1D3E" w:rsidRPr="00C24D50" w:rsidRDefault="009E033E" w:rsidP="009E033E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>
              <w:t>To add references</w:t>
            </w:r>
            <w:r w:rsidR="00A013D8">
              <w:t>.</w:t>
            </w:r>
          </w:p>
        </w:tc>
        <w:tc>
          <w:tcPr>
            <w:tcW w:w="1202" w:type="pct"/>
            <w:shd w:val="clear" w:color="auto" w:fill="auto"/>
          </w:tcPr>
          <w:p w14:paraId="4AFFD8E7" w14:textId="2B71C66C" w:rsidR="002A1D3E" w:rsidRPr="00C24D50" w:rsidRDefault="00BB1DE6" w:rsidP="00933BDB">
            <w:pPr>
              <w:pStyle w:val="TableText"/>
            </w:pPr>
            <w:r>
              <w:t>I.1.C.1.</w:t>
            </w:r>
            <w:r w:rsidR="00FE3C10">
              <w:t>d</w:t>
            </w:r>
          </w:p>
        </w:tc>
      </w:tr>
      <w:tr w:rsidR="003D2B4E" w14:paraId="6F0B527C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07B46" w14:textId="2FBE6E6C" w:rsidR="003D2B4E" w:rsidRDefault="003D2B4E" w:rsidP="003D2B4E">
            <w:pPr>
              <w:pStyle w:val="ListParagraph"/>
              <w:ind w:left="0" w:hanging="29"/>
            </w:pPr>
            <w:r>
              <w:t xml:space="preserve">To delete old Block </w:t>
            </w:r>
            <w:proofErr w:type="gramStart"/>
            <w:r>
              <w:t>f  on</w:t>
            </w:r>
            <w:proofErr w:type="gramEnd"/>
            <w:r>
              <w:t xml:space="preserve"> notifying the claimant that Federal records are unavailable since this information is covered in other sections of the manual.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5E3A6" w14:textId="77777777" w:rsidR="003D2B4E" w:rsidRDefault="003D2B4E" w:rsidP="004A5A73">
            <w:pPr>
              <w:pStyle w:val="TableText"/>
            </w:pPr>
            <w:r>
              <w:t>--</w:t>
            </w:r>
          </w:p>
        </w:tc>
      </w:tr>
      <w:tr w:rsidR="0011384F" w14:paraId="46E4CF7F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D6291B9" w14:textId="379F0272" w:rsidR="0011384F" w:rsidRDefault="009E033E" w:rsidP="009E033E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 xml:space="preserve">To add </w:t>
            </w:r>
            <w:r w:rsidR="003D2B4E">
              <w:t xml:space="preserve">a new Block </w:t>
            </w:r>
            <w:proofErr w:type="gramStart"/>
            <w:r w:rsidR="003D2B4E">
              <w:t>e  with</w:t>
            </w:r>
            <w:proofErr w:type="gramEnd"/>
            <w:r w:rsidR="003D2B4E">
              <w:t xml:space="preserve"> information about </w:t>
            </w:r>
            <w:r w:rsidR="00BB1DE6">
              <w:t xml:space="preserve">the concept that claimants must </w:t>
            </w:r>
            <w:r w:rsidR="00A013D8">
              <w:t>cooperat</w:t>
            </w:r>
            <w:r w:rsidR="00BB1DE6">
              <w:t>e</w:t>
            </w:r>
            <w:r w:rsidR="00A013D8">
              <w:t xml:space="preserve"> with </w:t>
            </w:r>
            <w:r w:rsidR="0028374A">
              <w:t xml:space="preserve">VA in obtaining </w:t>
            </w:r>
            <w:r w:rsidR="00B75F62">
              <w:t>Federal records.</w:t>
            </w:r>
          </w:p>
          <w:p w14:paraId="7678BF7B" w14:textId="0E287976" w:rsidR="009E033E" w:rsidRPr="00C24D50" w:rsidRDefault="009E033E" w:rsidP="009E033E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>To add references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1156B830" w14:textId="68832340" w:rsidR="0011384F" w:rsidRPr="00C24D50" w:rsidRDefault="00A013D8" w:rsidP="0028374A">
            <w:pPr>
              <w:pStyle w:val="TableText"/>
            </w:pPr>
            <w:r>
              <w:t>I.1.C.1.</w:t>
            </w:r>
            <w:r w:rsidR="009E033E">
              <w:t>e</w:t>
            </w:r>
          </w:p>
        </w:tc>
      </w:tr>
      <w:tr w:rsidR="0011384F" w14:paraId="4B076E75" w14:textId="77777777" w:rsidTr="000F4BBE">
        <w:trPr>
          <w:trHeight w:val="1065"/>
        </w:trPr>
        <w:tc>
          <w:tcPr>
            <w:tcW w:w="3798" w:type="pct"/>
            <w:shd w:val="clear" w:color="auto" w:fill="auto"/>
          </w:tcPr>
          <w:p w14:paraId="52F90E9B" w14:textId="71C21AC4" w:rsidR="0011384F" w:rsidRPr="00C24D50" w:rsidRDefault="0028374A" w:rsidP="009B4442">
            <w:pPr>
              <w:pStyle w:val="TableText"/>
            </w:pPr>
            <w:r>
              <w:t>To r</w:t>
            </w:r>
            <w:r w:rsidR="001A0086">
              <w:t>ename</w:t>
            </w:r>
            <w:r>
              <w:t xml:space="preserve"> </w:t>
            </w:r>
            <w:r w:rsidR="003D2B4E">
              <w:t>t</w:t>
            </w:r>
            <w:r>
              <w:t xml:space="preserve">opic </w:t>
            </w:r>
            <w:r w:rsidR="009B4442">
              <w:t>as “Assisting</w:t>
            </w:r>
            <w:r w:rsidR="001A0086">
              <w:t xml:space="preserve"> with Non-Federal Records</w:t>
            </w:r>
            <w:r w:rsidR="009B4442">
              <w:t xml:space="preserve"> Requests</w:t>
            </w:r>
            <w:r w:rsidR="001A0086">
              <w:t xml:space="preserve">” rather than “Requesting Non-Federal Records” since this section addresses </w:t>
            </w:r>
            <w:r w:rsidR="00F60B87">
              <w:t xml:space="preserve">general principles regarding </w:t>
            </w:r>
            <w:r w:rsidR="001A0086">
              <w:t xml:space="preserve">VA’s obligation </w:t>
            </w:r>
            <w:r w:rsidR="009E033E">
              <w:t xml:space="preserve">to obtain private records </w:t>
            </w:r>
            <w:r w:rsidR="001A0086">
              <w:t>under 38 U</w:t>
            </w:r>
            <w:r>
              <w:t>.</w:t>
            </w:r>
            <w:r w:rsidR="001A0086">
              <w:t>S</w:t>
            </w:r>
            <w:r>
              <w:t>.</w:t>
            </w:r>
            <w:r w:rsidR="001A0086">
              <w:t>C</w:t>
            </w:r>
            <w:r>
              <w:t>.</w:t>
            </w:r>
            <w:r w:rsidR="001A0086">
              <w:t xml:space="preserve"> 5103A rather </w:t>
            </w:r>
            <w:r>
              <w:t xml:space="preserve">than lay out </w:t>
            </w:r>
            <w:r w:rsidR="001A0086">
              <w:t xml:space="preserve">specific procedures to obtain </w:t>
            </w:r>
            <w:r w:rsidR="009E033E">
              <w:t xml:space="preserve">the </w:t>
            </w:r>
            <w:r w:rsidR="001A0086">
              <w:t>records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37B2377C" w14:textId="13AB40CC" w:rsidR="0011384F" w:rsidRPr="00C24D50" w:rsidRDefault="007732AF" w:rsidP="007732AF">
            <w:pPr>
              <w:pStyle w:val="TableText"/>
            </w:pPr>
            <w:r>
              <w:t>I</w:t>
            </w:r>
            <w:r w:rsidR="001A0086">
              <w:t>.1.C.2</w:t>
            </w:r>
          </w:p>
        </w:tc>
      </w:tr>
      <w:tr w:rsidR="0011384F" w14:paraId="4B53C167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0D1F479D" w14:textId="014A3712" w:rsidR="00F60B87" w:rsidRDefault="0028374A" w:rsidP="00F60B87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>
              <w:t xml:space="preserve">To </w:t>
            </w:r>
            <w:r w:rsidR="00F60B87">
              <w:t>describe the general principles under 38 USC 5103A to make reasonable efforts to assist a claima</w:t>
            </w:r>
            <w:r w:rsidR="00B75F62">
              <w:t>nt in obtaining private records.</w:t>
            </w:r>
          </w:p>
          <w:p w14:paraId="7725533F" w14:textId="642E6A0C" w:rsidR="0011384F" w:rsidRPr="00C24D50" w:rsidRDefault="00F60B87" w:rsidP="00F60B87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>
              <w:t xml:space="preserve">To </w:t>
            </w:r>
            <w:r w:rsidR="0028374A">
              <w:t>add</w:t>
            </w:r>
            <w:r w:rsidR="001A0086">
              <w:t xml:space="preserve"> </w:t>
            </w:r>
            <w:r w:rsidR="00282D6A">
              <w:t>discussion on court case (</w:t>
            </w:r>
            <w:r w:rsidR="001A0086">
              <w:t>Savage v. Shinseki</w:t>
            </w:r>
            <w:r w:rsidR="00282D6A">
              <w:t>) to indicate that, as part of its duty to assist, VA must clarify medical evidence in certain cases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6DF7826F" w14:textId="3CFB8E35" w:rsidR="0011384F" w:rsidRPr="00C24D50" w:rsidRDefault="007732AF" w:rsidP="00997543">
            <w:pPr>
              <w:pStyle w:val="TableText"/>
            </w:pPr>
            <w:r>
              <w:t>I.1.C.2.a</w:t>
            </w:r>
          </w:p>
        </w:tc>
      </w:tr>
      <w:tr w:rsidR="008A367E" w14:paraId="33A531F4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51B708C" w14:textId="124B0C95" w:rsidR="008A367E" w:rsidRDefault="008A367E" w:rsidP="008A367E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language from 38 U.S.C. 5103A that </w:t>
            </w:r>
            <w:proofErr w:type="gramStart"/>
            <w:r>
              <w:t>reasonable efforts to obtain records means</w:t>
            </w:r>
            <w:proofErr w:type="gramEnd"/>
            <w:r>
              <w:t xml:space="preserve"> VA shall </w:t>
            </w:r>
            <w:r w:rsidR="00B75F62">
              <w:t>make not less than two requests.</w:t>
            </w:r>
          </w:p>
          <w:p w14:paraId="0BF0EFD6" w14:textId="2838F284" w:rsidR="008A367E" w:rsidRDefault="008A367E" w:rsidP="00F60B87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add reference</w:t>
            </w:r>
            <w:r w:rsidR="00F60B87">
              <w:t>s</w:t>
            </w:r>
            <w:r>
              <w:t xml:space="preserve"> regarding what constitutes reasonable efforts</w:t>
            </w:r>
            <w:r w:rsidR="00F60B87">
              <w:t xml:space="preserve"> and procedural</w:t>
            </w:r>
            <w:r w:rsidR="00B75F62">
              <w:t xml:space="preserve"> guidance on obtaining evidence</w:t>
            </w:r>
            <w:r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352DA87A" w14:textId="0C67D252" w:rsidR="008A367E" w:rsidRDefault="008A367E" w:rsidP="00997543">
            <w:pPr>
              <w:pStyle w:val="TableText"/>
            </w:pPr>
            <w:r>
              <w:t>I.1.C.2.b</w:t>
            </w:r>
          </w:p>
        </w:tc>
      </w:tr>
      <w:tr w:rsidR="00F8613E" w14:paraId="5B6C9AA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9A25949" w14:textId="3E89CDCF" w:rsidR="00F8613E" w:rsidRDefault="00F8613E" w:rsidP="00997543">
            <w:pPr>
              <w:pStyle w:val="TableText"/>
            </w:pPr>
            <w:r>
              <w:t xml:space="preserve">To add new </w:t>
            </w:r>
            <w:r w:rsidR="003D2B4E">
              <w:t>B</w:t>
            </w:r>
            <w:r>
              <w:t>lock</w:t>
            </w:r>
            <w:r w:rsidR="003D2B4E">
              <w:t xml:space="preserve"> c</w:t>
            </w:r>
            <w:r>
              <w:t xml:space="preserve"> on VA’s duty to assist in obtaining 3</w:t>
            </w:r>
            <w:r w:rsidRPr="00F8613E">
              <w:rPr>
                <w:vertAlign w:val="superscript"/>
              </w:rPr>
              <w:t>rd</w:t>
            </w:r>
            <w:r>
              <w:t xml:space="preserve"> party records when adjudicating a claim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04480ECE" w14:textId="0BF01F78" w:rsidR="00F8613E" w:rsidRDefault="00F8613E" w:rsidP="00933BDB">
            <w:pPr>
              <w:pStyle w:val="TableText"/>
            </w:pPr>
            <w:r>
              <w:t>I.1.C.2.c</w:t>
            </w:r>
          </w:p>
        </w:tc>
      </w:tr>
      <w:tr w:rsidR="008D6D69" w14:paraId="16728E81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22FB5B0F" w14:textId="45E3921C" w:rsidR="008D6D69" w:rsidRDefault="00997543" w:rsidP="006C5A7B">
            <w:pPr>
              <w:pStyle w:val="TableText"/>
            </w:pPr>
            <w:r>
              <w:t>To d</w:t>
            </w:r>
            <w:r w:rsidR="00876F74">
              <w:t>elete old B</w:t>
            </w:r>
            <w:r w:rsidR="008D6D69">
              <w:t xml:space="preserve">lock c on </w:t>
            </w:r>
            <w:r w:rsidR="006C5A7B">
              <w:t xml:space="preserve">requirement to </w:t>
            </w:r>
            <w:r w:rsidR="008D6D69">
              <w:t>follow up on requests for non-Federal records by telephone as this is more appropriately covered in III.iii.1.C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1FE10466" w14:textId="056ACAA2" w:rsidR="008D6D69" w:rsidRDefault="00070BA1" w:rsidP="000A1D9F">
            <w:pPr>
              <w:pStyle w:val="TableText"/>
            </w:pPr>
            <w:r>
              <w:t>--</w:t>
            </w:r>
          </w:p>
        </w:tc>
      </w:tr>
      <w:tr w:rsidR="008D6D69" w14:paraId="342A6357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4FB2905" w14:textId="7F8EE15F" w:rsidR="008D6D69" w:rsidRDefault="00997543" w:rsidP="00997543">
            <w:pPr>
              <w:pStyle w:val="TableText"/>
            </w:pPr>
            <w:r>
              <w:t xml:space="preserve">To delete </w:t>
            </w:r>
            <w:r w:rsidR="00876F74">
              <w:t>old B</w:t>
            </w:r>
            <w:r w:rsidR="008D6D69">
              <w:t>lock d on waiting period after making requests from non-Federal sources as this is more appropriately covered in III.iii.1.C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426191FD" w14:textId="6CEC694A" w:rsidR="008D6D69" w:rsidRDefault="00070BA1" w:rsidP="000A1D9F">
            <w:pPr>
              <w:pStyle w:val="TableText"/>
            </w:pPr>
            <w:r>
              <w:t>--</w:t>
            </w:r>
          </w:p>
        </w:tc>
      </w:tr>
      <w:tr w:rsidR="008D6D69" w14:paraId="211D3EC4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C02C6CA" w14:textId="37D34C53" w:rsidR="008D6D69" w:rsidRDefault="00997543" w:rsidP="00997543">
            <w:pPr>
              <w:pStyle w:val="TableText"/>
            </w:pPr>
            <w:r>
              <w:t xml:space="preserve">To delete </w:t>
            </w:r>
            <w:r w:rsidR="00876F74">
              <w:t>old B</w:t>
            </w:r>
            <w:r w:rsidR="00D74203">
              <w:t>lock e on using the telephone, fax, or email to obtain evidence from the claimant as this is more appropriately covered in III.iii.1.B and C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3190F53F" w14:textId="44901DD0" w:rsidR="008D6D69" w:rsidRDefault="00070BA1" w:rsidP="000A1D9F">
            <w:pPr>
              <w:pStyle w:val="TableText"/>
            </w:pPr>
            <w:r>
              <w:t>--</w:t>
            </w:r>
          </w:p>
        </w:tc>
      </w:tr>
      <w:tr w:rsidR="001626B7" w14:paraId="40A3E682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A72EF" w14:textId="275A90D5" w:rsidR="001626B7" w:rsidRDefault="00997543" w:rsidP="00997543">
            <w:pPr>
              <w:pStyle w:val="TableText"/>
            </w:pPr>
            <w:r>
              <w:t xml:space="preserve">To delete </w:t>
            </w:r>
            <w:r w:rsidR="00876F74">
              <w:t>old B</w:t>
            </w:r>
            <w:r w:rsidR="001626B7">
              <w:t xml:space="preserve">lock f on notifying claimant at time of follow up request for non-Federal records as this is covered in </w:t>
            </w:r>
            <w:r w:rsidR="00093F93">
              <w:t xml:space="preserve">new </w:t>
            </w:r>
            <w:r w:rsidR="001626B7">
              <w:t>Topic 4</w:t>
            </w:r>
            <w:r w:rsidR="00774DBE">
              <w:t xml:space="preserve"> and other sections in the manual.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819D6" w14:textId="67D49DFC" w:rsidR="001626B7" w:rsidRDefault="00070BA1" w:rsidP="000A1D9F">
            <w:pPr>
              <w:pStyle w:val="TableText"/>
            </w:pPr>
            <w:r>
              <w:t>--</w:t>
            </w:r>
          </w:p>
        </w:tc>
      </w:tr>
      <w:tr w:rsidR="001626B7" w14:paraId="514CE328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D9614" w14:textId="501DD148" w:rsidR="001626B7" w:rsidRDefault="00F05C9C" w:rsidP="00876F74">
            <w:pPr>
              <w:pStyle w:val="TableText"/>
            </w:pPr>
            <w:r>
              <w:t>To de</w:t>
            </w:r>
            <w:r w:rsidR="001626B7">
              <w:t xml:space="preserve">lete old </w:t>
            </w:r>
            <w:r w:rsidR="00876F74">
              <w:t>B</w:t>
            </w:r>
            <w:r w:rsidR="001626B7">
              <w:t>lock g on notifying claimant when VA’s reasonable efforts to obtain non-Federal records are unsuccessful as this is covered in new Topic 4</w:t>
            </w:r>
            <w:r w:rsidR="00B75F62">
              <w:t>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33E60" w14:textId="62BDBC30" w:rsidR="001626B7" w:rsidRDefault="00070BA1" w:rsidP="000A1D9F">
            <w:pPr>
              <w:pStyle w:val="TableText"/>
            </w:pPr>
            <w:r>
              <w:t>--</w:t>
            </w:r>
          </w:p>
        </w:tc>
      </w:tr>
      <w:tr w:rsidR="001626B7" w14:paraId="130CB658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B01F8" w14:textId="4FEF85CF" w:rsidR="001626B7" w:rsidRDefault="00F05C9C" w:rsidP="00093F93">
            <w:pPr>
              <w:pStyle w:val="TableText"/>
            </w:pPr>
            <w:r>
              <w:t>To d</w:t>
            </w:r>
            <w:r w:rsidR="001626B7">
              <w:t xml:space="preserve">elete old </w:t>
            </w:r>
            <w:r w:rsidR="00876F74">
              <w:t>B</w:t>
            </w:r>
            <w:r w:rsidR="001626B7">
              <w:t xml:space="preserve">lock h on VA’s responsibility for requesting medical records as </w:t>
            </w:r>
            <w:r w:rsidR="00744278">
              <w:t>t</w:t>
            </w:r>
            <w:r w:rsidR="00876F74">
              <w:t xml:space="preserve">his </w:t>
            </w:r>
            <w:proofErr w:type="gramStart"/>
            <w:r w:rsidR="00876F74">
              <w:t>is sufficiently covered</w:t>
            </w:r>
            <w:proofErr w:type="gramEnd"/>
            <w:r w:rsidR="00876F74">
              <w:t xml:space="preserve"> in </w:t>
            </w:r>
            <w:proofErr w:type="spellStart"/>
            <w:r w:rsidR="00093F93">
              <w:t>I.1.C.2.a</w:t>
            </w:r>
            <w:proofErr w:type="spellEnd"/>
            <w:r w:rsidR="00B75F62">
              <w:t>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67FA" w14:textId="23E97001" w:rsidR="001626B7" w:rsidRDefault="00070BA1" w:rsidP="000A1D9F">
            <w:pPr>
              <w:pStyle w:val="TableText"/>
            </w:pPr>
            <w:r>
              <w:t>--</w:t>
            </w:r>
          </w:p>
        </w:tc>
      </w:tr>
      <w:tr w:rsidR="00744278" w14:paraId="0C4B0E0D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F3DFD" w14:textId="68EB9E68" w:rsidR="00744278" w:rsidRDefault="00876F74" w:rsidP="00744278">
            <w:pPr>
              <w:pStyle w:val="TableText"/>
            </w:pPr>
            <w:r>
              <w:t>To delete old B</w:t>
            </w:r>
            <w:r w:rsidR="00744278">
              <w:t xml:space="preserve">lock i on identifying medical records as this is covered </w:t>
            </w:r>
            <w:r w:rsidR="00744278">
              <w:lastRenderedPageBreak/>
              <w:t>in III.iii.1.C</w:t>
            </w:r>
            <w:r w:rsidR="00B75F62">
              <w:t>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A0268" w14:textId="4D7AA5C9" w:rsidR="00744278" w:rsidRDefault="00070BA1" w:rsidP="000A1D9F">
            <w:pPr>
              <w:pStyle w:val="TableText"/>
            </w:pPr>
            <w:r>
              <w:lastRenderedPageBreak/>
              <w:t>--</w:t>
            </w:r>
          </w:p>
        </w:tc>
      </w:tr>
      <w:tr w:rsidR="00744278" w14:paraId="459437A9" w14:textId="77777777" w:rsidTr="000F4BBE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C3D2" w14:textId="680A5338" w:rsidR="00744278" w:rsidRDefault="00744278" w:rsidP="00876F74">
            <w:pPr>
              <w:pStyle w:val="TableText"/>
            </w:pPr>
            <w:r>
              <w:lastRenderedPageBreak/>
              <w:t xml:space="preserve">To delete old </w:t>
            </w:r>
            <w:r w:rsidR="00876F74">
              <w:t>B</w:t>
            </w:r>
            <w:r>
              <w:t>lock j on identifying non-medical non-Federal records as this is covered in III.iii.1.</w:t>
            </w:r>
            <w:r w:rsidR="00217BA0">
              <w:t>B and C</w:t>
            </w:r>
            <w:r w:rsidR="00B75F62">
              <w:t>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72070" w14:textId="22F1BD5D" w:rsidR="00744278" w:rsidRDefault="00876F74" w:rsidP="000A1D9F">
            <w:pPr>
              <w:pStyle w:val="TableText"/>
            </w:pPr>
            <w:r>
              <w:t>--</w:t>
            </w:r>
          </w:p>
        </w:tc>
      </w:tr>
      <w:tr w:rsidR="002A1D3E" w14:paraId="0D62CC80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DC16E89" w14:textId="470AC4A6" w:rsidR="002A1D3E" w:rsidRPr="00C24D50" w:rsidRDefault="00F05C9C" w:rsidP="003D2B4E">
            <w:pPr>
              <w:pStyle w:val="TableText"/>
            </w:pPr>
            <w:r>
              <w:t>To r</w:t>
            </w:r>
            <w:r w:rsidR="007732AF">
              <w:t xml:space="preserve">ename </w:t>
            </w:r>
            <w:r w:rsidR="003D2B4E">
              <w:t>t</w:t>
            </w:r>
            <w:r w:rsidR="007732AF">
              <w:t>opi</w:t>
            </w:r>
            <w:r w:rsidR="009B4442">
              <w:t>c as “Assisting</w:t>
            </w:r>
            <w:r w:rsidR="007732AF">
              <w:t xml:space="preserve"> with Medical Opinion or Examination</w:t>
            </w:r>
            <w:r w:rsidR="009B4442">
              <w:t xml:space="preserve"> Requests</w:t>
            </w:r>
            <w:r w:rsidR="007732AF">
              <w:t xml:space="preserve">” rather than “Requesting Medical Opinion or Examination” since this section addresses VA’s obligation under 38 USC 5103A rather </w:t>
            </w:r>
            <w:r w:rsidR="009B4442">
              <w:t xml:space="preserve">than </w:t>
            </w:r>
            <w:r w:rsidR="007732AF">
              <w:t xml:space="preserve">specific procedures to </w:t>
            </w:r>
            <w:r w:rsidR="00CA2FAF">
              <w:t>request medical opinions or examinations, wh</w:t>
            </w:r>
            <w:r w:rsidR="007732AF">
              <w:t>ich are more appropriately described in other sections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00BA7D3A" w14:textId="77777777" w:rsidR="002A1D3E" w:rsidRPr="00C24D50" w:rsidRDefault="00CA2FAF" w:rsidP="00933BDB">
            <w:pPr>
              <w:pStyle w:val="TableText"/>
            </w:pPr>
            <w:r>
              <w:t>I.1.C.3</w:t>
            </w:r>
          </w:p>
        </w:tc>
      </w:tr>
      <w:tr w:rsidR="00F05C9C" w14:paraId="15AFD71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AEA0394" w14:textId="389968D7" w:rsidR="00F05C9C" w:rsidRDefault="00F05C9C" w:rsidP="00F05C9C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clarify the purpose of the statutory duty to assi</w:t>
            </w:r>
            <w:r w:rsidR="00B75F62">
              <w:t>st in ordering a VA examination.</w:t>
            </w:r>
          </w:p>
          <w:p w14:paraId="45F55C44" w14:textId="35796554" w:rsidR="00F05C9C" w:rsidRPr="00F05C9C" w:rsidRDefault="00F05C9C" w:rsidP="00F05C9C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references on scheduling examinations or medical opinions and when to refrain from assisting the claimant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70E17E1B" w14:textId="76B8DBEB" w:rsidR="00F05C9C" w:rsidRDefault="00F05C9C" w:rsidP="00933BDB">
            <w:pPr>
              <w:pStyle w:val="TableText"/>
            </w:pPr>
            <w:r>
              <w:t>I.1.C.3.a</w:t>
            </w:r>
          </w:p>
        </w:tc>
      </w:tr>
      <w:tr w:rsidR="00585D84" w14:paraId="569AEDF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432A6D3" w14:textId="0085BF49" w:rsidR="004E05D7" w:rsidRDefault="00F05C9C" w:rsidP="004E05D7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 xml:space="preserve">To add </w:t>
            </w:r>
            <w:r w:rsidR="004E05D7">
              <w:t>information on the test for w</w:t>
            </w:r>
            <w:r w:rsidR="00B75F62">
              <w:t>hen an examination is necessary.</w:t>
            </w:r>
            <w:r w:rsidR="004E05D7">
              <w:t xml:space="preserve"> </w:t>
            </w:r>
          </w:p>
          <w:p w14:paraId="17A178A6" w14:textId="5CAB5F71" w:rsidR="00585D84" w:rsidRPr="004E05D7" w:rsidRDefault="004E05D7" w:rsidP="004E05D7">
            <w:pPr>
              <w:pStyle w:val="ListParagraph"/>
              <w:numPr>
                <w:ilvl w:val="0"/>
                <w:numId w:val="21"/>
              </w:numPr>
              <w:ind w:left="158" w:hanging="187"/>
              <w:rPr>
                <w:szCs w:val="20"/>
              </w:rPr>
            </w:pPr>
            <w:r>
              <w:t>To add applicable references</w:t>
            </w:r>
            <w:r w:rsidR="00B75F62">
              <w:t>.</w:t>
            </w:r>
            <w:r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289E2916" w14:textId="77777777" w:rsidR="00585D84" w:rsidRDefault="00585D84" w:rsidP="00933BDB">
            <w:pPr>
              <w:pStyle w:val="TableText"/>
            </w:pPr>
            <w:r>
              <w:t>I.1.C.3.b</w:t>
            </w:r>
          </w:p>
        </w:tc>
      </w:tr>
      <w:tr w:rsidR="00BF65F7" w14:paraId="7B7FF487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34CC2533" w14:textId="07914301" w:rsidR="00E52BD2" w:rsidRPr="00093F93" w:rsidRDefault="004E05D7" w:rsidP="00093F93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>
              <w:t>To add</w:t>
            </w:r>
            <w:r w:rsidR="00BF65F7">
              <w:t xml:space="preserve"> information to describe VA’s duty to obtain an examination and </w:t>
            </w:r>
            <w:r w:rsidR="00BF65F7" w:rsidRPr="00093F93">
              <w:rPr>
                <w:szCs w:val="20"/>
              </w:rPr>
              <w:t>that VA shall rate on the ev</w:t>
            </w:r>
            <w:r w:rsidR="009B4442" w:rsidRPr="00093F93">
              <w:rPr>
                <w:szCs w:val="20"/>
              </w:rPr>
              <w:t xml:space="preserve">idence if it is sufficient for </w:t>
            </w:r>
            <w:r w:rsidR="00BF65F7" w:rsidRPr="00093F93">
              <w:rPr>
                <w:szCs w:val="20"/>
              </w:rPr>
              <w:t>rating purposes</w:t>
            </w:r>
            <w:r w:rsidR="00093F93">
              <w:rPr>
                <w:szCs w:val="20"/>
              </w:rPr>
              <w:t>.</w:t>
            </w:r>
          </w:p>
          <w:p w14:paraId="32950F35" w14:textId="5B1969BB" w:rsidR="00BF65F7" w:rsidRDefault="00E52BD2" w:rsidP="00B75F62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>
              <w:t xml:space="preserve">To delete </w:t>
            </w:r>
            <w:r w:rsidR="004643E4">
              <w:t>specific language on requesting exams/medical opinions since this information is covered in III.iv.3.A</w:t>
            </w:r>
            <w:r w:rsidR="00B75F62">
              <w:t>.</w:t>
            </w:r>
            <w:r w:rsidR="00BF65F7">
              <w:t xml:space="preserve">   </w:t>
            </w:r>
          </w:p>
        </w:tc>
        <w:tc>
          <w:tcPr>
            <w:tcW w:w="1202" w:type="pct"/>
            <w:shd w:val="clear" w:color="auto" w:fill="auto"/>
          </w:tcPr>
          <w:p w14:paraId="1B753BB3" w14:textId="77777777" w:rsidR="00BF65F7" w:rsidRDefault="00BF65F7" w:rsidP="00933BDB">
            <w:pPr>
              <w:pStyle w:val="TableText"/>
            </w:pPr>
            <w:r>
              <w:t>I.1.C.3.c</w:t>
            </w:r>
          </w:p>
        </w:tc>
      </w:tr>
      <w:tr w:rsidR="00BF01AA" w14:paraId="578A4D31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3AFF76AC" w14:textId="2D84F34A" w:rsidR="00BF01AA" w:rsidRDefault="00BF01AA" w:rsidP="004643E4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>
              <w:t xml:space="preserve">To delete </w:t>
            </w:r>
            <w:r w:rsidR="004643E4">
              <w:t xml:space="preserve">language on </w:t>
            </w:r>
            <w:r>
              <w:t>“</w:t>
            </w:r>
            <w:r w:rsidRPr="00585D84">
              <w:t>stating medical opinion requests clearly</w:t>
            </w:r>
            <w:r>
              <w:t>”</w:t>
            </w:r>
            <w:r w:rsidR="00FB300C">
              <w:t xml:space="preserve"> as this information is covered in III.iv.3.A</w:t>
            </w:r>
            <w:r w:rsidR="00B75F62">
              <w:t>.</w:t>
            </w:r>
          </w:p>
          <w:p w14:paraId="6FBE9A62" w14:textId="6531807C" w:rsidR="004643E4" w:rsidRDefault="004643E4" w:rsidP="004643E4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rPr>
                <w:szCs w:val="20"/>
              </w:rPr>
              <w:t xml:space="preserve">To </w:t>
            </w:r>
            <w:r>
              <w:t>add new language on the first element that must be met</w:t>
            </w:r>
            <w:r w:rsidR="00B75F62">
              <w:t xml:space="preserve"> to order an examination.</w:t>
            </w:r>
          </w:p>
          <w:p w14:paraId="7E359AAF" w14:textId="4D4F9833" w:rsidR="004643E4" w:rsidRDefault="004643E4" w:rsidP="004643E4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proofErr w:type="gramStart"/>
            <w:r>
              <w:t>To inco</w:t>
            </w:r>
            <w:r w:rsidR="00B75F62">
              <w:t xml:space="preserve">rporate guidance from </w:t>
            </w:r>
            <w:r w:rsidR="003D2B4E">
              <w:t>Training Letter (</w:t>
            </w:r>
            <w:r w:rsidR="00B75F62">
              <w:t>TL</w:t>
            </w:r>
            <w:r w:rsidR="003D2B4E">
              <w:t>)</w:t>
            </w:r>
            <w:r w:rsidR="00B75F62">
              <w:t xml:space="preserve"> 14-01.</w:t>
            </w:r>
            <w:proofErr w:type="gramEnd"/>
          </w:p>
          <w:p w14:paraId="697C19CB" w14:textId="018EB579" w:rsidR="004643E4" w:rsidRDefault="004643E4" w:rsidP="004643E4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proofErr w:type="gramStart"/>
            <w:r>
              <w:t>To incorporate court hold</w:t>
            </w:r>
            <w:r w:rsidR="00B75F62">
              <w:t xml:space="preserve">ing in </w:t>
            </w:r>
            <w:proofErr w:type="spellStart"/>
            <w:r w:rsidR="00B75F62">
              <w:t>McLendon</w:t>
            </w:r>
            <w:proofErr w:type="spellEnd"/>
            <w:r w:rsidR="00B75F62">
              <w:t xml:space="preserve"> v</w:t>
            </w:r>
            <w:r w:rsidR="003D2B4E">
              <w:t>.</w:t>
            </w:r>
            <w:r w:rsidR="00B75F62">
              <w:t xml:space="preserve"> Nicholson.</w:t>
            </w:r>
            <w:proofErr w:type="gramEnd"/>
          </w:p>
          <w:p w14:paraId="7979EBD4" w14:textId="58F66214" w:rsidR="004643E4" w:rsidRPr="004643E4" w:rsidRDefault="004643E4" w:rsidP="004643E4">
            <w:pPr>
              <w:pStyle w:val="ListParagraph"/>
              <w:numPr>
                <w:ilvl w:val="0"/>
                <w:numId w:val="32"/>
              </w:numPr>
              <w:ind w:left="158" w:hanging="187"/>
              <w:rPr>
                <w:szCs w:val="20"/>
              </w:rPr>
            </w:pPr>
            <w:r>
              <w:t>To add examples.</w:t>
            </w:r>
          </w:p>
        </w:tc>
        <w:tc>
          <w:tcPr>
            <w:tcW w:w="1202" w:type="pct"/>
            <w:shd w:val="clear" w:color="auto" w:fill="auto"/>
          </w:tcPr>
          <w:p w14:paraId="5559226B" w14:textId="0A4CDE77" w:rsidR="004643E4" w:rsidRDefault="004643E4" w:rsidP="00933BDB">
            <w:pPr>
              <w:pStyle w:val="TableText"/>
            </w:pPr>
            <w:r>
              <w:t>I.1.C.3.d</w:t>
            </w:r>
          </w:p>
        </w:tc>
      </w:tr>
      <w:tr w:rsidR="00BF01AA" w14:paraId="6C3A6EF9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3E94FCD2" w14:textId="5798B895" w:rsidR="00BF01AA" w:rsidRDefault="00FB300C" w:rsidP="004643E4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 xml:space="preserve">To delete </w:t>
            </w:r>
            <w:r w:rsidR="004643E4">
              <w:t xml:space="preserve">language on </w:t>
            </w:r>
            <w:r>
              <w:t>“</w:t>
            </w:r>
            <w:r w:rsidRPr="00585D84">
              <w:t>what the medical opinion request must contain</w:t>
            </w:r>
            <w:r>
              <w:t>” as this is covered in III.iv.3.A</w:t>
            </w:r>
            <w:r w:rsidR="00B75F62">
              <w:t>.</w:t>
            </w:r>
          </w:p>
          <w:p w14:paraId="354AA1BE" w14:textId="708735AC" w:rsidR="004643E4" w:rsidRDefault="004643E4" w:rsidP="004643E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 xml:space="preserve">To add new </w:t>
            </w:r>
            <w:r w:rsidR="00116658">
              <w:t>language o</w:t>
            </w:r>
            <w:r>
              <w:t xml:space="preserve">n the </w:t>
            </w:r>
            <w:r w:rsidR="00093F93">
              <w:t>second</w:t>
            </w:r>
            <w:r>
              <w:t xml:space="preserve"> element that </w:t>
            </w:r>
            <w:proofErr w:type="gramStart"/>
            <w:r>
              <w:t xml:space="preserve">must </w:t>
            </w:r>
            <w:r w:rsidR="00B75F62">
              <w:t>be met</w:t>
            </w:r>
            <w:proofErr w:type="gramEnd"/>
            <w:r w:rsidR="00B75F62">
              <w:t xml:space="preserve"> to order an examination.</w:t>
            </w:r>
          </w:p>
          <w:p w14:paraId="0B2BB38B" w14:textId="2F567765" w:rsidR="004643E4" w:rsidRDefault="00B75F62" w:rsidP="004643E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>To incorporate TL 14-01.</w:t>
            </w:r>
          </w:p>
          <w:p w14:paraId="269393D8" w14:textId="3CF27ADC" w:rsidR="004643E4" w:rsidRDefault="004643E4" w:rsidP="004643E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>To incorporate Bardwell v. Shinseki and Buchanan v. Nic</w:t>
            </w:r>
            <w:r w:rsidR="00B75F62">
              <w:t xml:space="preserve">holson and </w:t>
            </w:r>
            <w:proofErr w:type="spellStart"/>
            <w:r w:rsidR="00B75F62">
              <w:t>McLendon</w:t>
            </w:r>
            <w:proofErr w:type="spellEnd"/>
            <w:r w:rsidR="00B75F62">
              <w:t xml:space="preserve"> v Nicholson.</w:t>
            </w:r>
          </w:p>
          <w:p w14:paraId="74D892C9" w14:textId="069B8FBA" w:rsidR="004643E4" w:rsidRPr="003D2B4E" w:rsidRDefault="004643E4" w:rsidP="003D2B4E">
            <w:pPr>
              <w:pStyle w:val="ListParagraph"/>
              <w:numPr>
                <w:ilvl w:val="0"/>
                <w:numId w:val="37"/>
              </w:numPr>
              <w:ind w:left="158" w:hanging="187"/>
              <w:rPr>
                <w:szCs w:val="20"/>
              </w:rPr>
            </w:pPr>
            <w:proofErr w:type="gramStart"/>
            <w:r>
              <w:t>To add examples.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33840ED9" w14:textId="5C3A183D" w:rsidR="004643E4" w:rsidRDefault="004643E4" w:rsidP="00933BDB">
            <w:pPr>
              <w:pStyle w:val="TableText"/>
            </w:pPr>
            <w:r>
              <w:t>I.1.C.3.e</w:t>
            </w:r>
          </w:p>
        </w:tc>
      </w:tr>
      <w:tr w:rsidR="0011384F" w14:paraId="10455A3F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4AF3768" w14:textId="57771948" w:rsidR="0011384F" w:rsidRPr="00C24D50" w:rsidRDefault="00FB300C" w:rsidP="00093F93">
            <w:pPr>
              <w:tabs>
                <w:tab w:val="num" w:pos="0"/>
              </w:tabs>
            </w:pPr>
            <w:r>
              <w:rPr>
                <w:szCs w:val="20"/>
              </w:rPr>
              <w:t xml:space="preserve">To delete old </w:t>
            </w:r>
            <w:r w:rsidR="00876F74">
              <w:rPr>
                <w:szCs w:val="20"/>
              </w:rPr>
              <w:t>B</w:t>
            </w:r>
            <w:r>
              <w:rPr>
                <w:szCs w:val="20"/>
              </w:rPr>
              <w:t xml:space="preserve">lock </w:t>
            </w:r>
            <w:r w:rsidR="00585D84">
              <w:t>f</w:t>
            </w:r>
            <w:r w:rsidR="003D2B4E">
              <w:t>,</w:t>
            </w:r>
            <w:r w:rsidR="00585D84">
              <w:t xml:space="preserve"> </w:t>
            </w:r>
            <w:r>
              <w:t>“</w:t>
            </w:r>
            <w:r w:rsidR="00585D84" w:rsidRPr="00585D84">
              <w:t>the importance o</w:t>
            </w:r>
            <w:r w:rsidR="00093F93">
              <w:t xml:space="preserve">f identifying evidence relevant </w:t>
            </w:r>
            <w:r w:rsidR="00585D84" w:rsidRPr="00585D84">
              <w:t>to the medical opinion request</w:t>
            </w:r>
            <w:r>
              <w:t xml:space="preserve">” as this </w:t>
            </w:r>
            <w:proofErr w:type="gramStart"/>
            <w:r>
              <w:t>is covered</w:t>
            </w:r>
            <w:proofErr w:type="gramEnd"/>
            <w:r>
              <w:t xml:space="preserve"> in III.iv.3.A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60ED7243" w14:textId="73F541FF" w:rsidR="0011384F" w:rsidRPr="00C24D50" w:rsidRDefault="00876F74" w:rsidP="000A1D9F">
            <w:pPr>
              <w:pStyle w:val="TableText"/>
            </w:pPr>
            <w:r>
              <w:t>--</w:t>
            </w:r>
          </w:p>
        </w:tc>
      </w:tr>
      <w:tr w:rsidR="00585D84" w14:paraId="101669A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69CDC80B" w14:textId="1B660B3C" w:rsidR="00914B23" w:rsidRDefault="00914B23" w:rsidP="00914B23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>To add</w:t>
            </w:r>
            <w:r w:rsidR="00BF65F7">
              <w:t xml:space="preserve"> </w:t>
            </w:r>
            <w:r w:rsidR="00093F93">
              <w:t xml:space="preserve">a new Block f with </w:t>
            </w:r>
            <w:r w:rsidR="00116658">
              <w:t xml:space="preserve">language on </w:t>
            </w:r>
            <w:r w:rsidR="00BF65F7">
              <w:t xml:space="preserve">the </w:t>
            </w:r>
            <w:r w:rsidR="00093F93">
              <w:t>third</w:t>
            </w:r>
            <w:r w:rsidR="00BF65F7">
              <w:t xml:space="preserve"> element that </w:t>
            </w:r>
            <w:proofErr w:type="gramStart"/>
            <w:r w:rsidR="00BF65F7">
              <w:t xml:space="preserve">must </w:t>
            </w:r>
            <w:r w:rsidR="00B75F62">
              <w:t>be met</w:t>
            </w:r>
            <w:proofErr w:type="gramEnd"/>
            <w:r w:rsidR="00B75F62">
              <w:t xml:space="preserve"> to order an examination.</w:t>
            </w:r>
          </w:p>
          <w:p w14:paraId="2555284B" w14:textId="2F73650B" w:rsidR="00914B23" w:rsidRDefault="00914B23" w:rsidP="00914B23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 xml:space="preserve">To </w:t>
            </w:r>
            <w:r w:rsidR="00B75F62">
              <w:t>incorporate TL 14-01.</w:t>
            </w:r>
            <w:r w:rsidR="005D39E5">
              <w:t xml:space="preserve"> </w:t>
            </w:r>
          </w:p>
          <w:p w14:paraId="3C9B89CD" w14:textId="0959887A" w:rsidR="00585D84" w:rsidRDefault="00914B23" w:rsidP="009B4442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 xml:space="preserve">To </w:t>
            </w:r>
            <w:r w:rsidR="005D39E5">
              <w:t xml:space="preserve">incorporate case law – Waters v Shinseki, Colantonio v Shinseki, and </w:t>
            </w:r>
            <w:proofErr w:type="spellStart"/>
            <w:r w:rsidR="002C5504">
              <w:t>McLendon</w:t>
            </w:r>
            <w:proofErr w:type="spellEnd"/>
            <w:r w:rsidR="002C5504">
              <w:t xml:space="preserve"> v Nicholson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360244CE" w14:textId="77777777" w:rsidR="00585D84" w:rsidRDefault="00BF65F7" w:rsidP="00933BDB">
            <w:pPr>
              <w:pStyle w:val="TableText"/>
            </w:pPr>
            <w:r>
              <w:t>I.1.C.3.f</w:t>
            </w:r>
          </w:p>
        </w:tc>
      </w:tr>
      <w:tr w:rsidR="00914B23" w14:paraId="050F6FCA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35E055A" w14:textId="083D0B19" w:rsidR="00914B23" w:rsidRDefault="00914B23" w:rsidP="00914B23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proofErr w:type="gramStart"/>
            <w:r>
              <w:t xml:space="preserve">To add </w:t>
            </w:r>
            <w:r w:rsidR="004643E4">
              <w:t xml:space="preserve">new </w:t>
            </w:r>
            <w:r w:rsidR="003D2B4E">
              <w:t>B</w:t>
            </w:r>
            <w:r>
              <w:t xml:space="preserve">lock </w:t>
            </w:r>
            <w:r w:rsidR="003D2B4E">
              <w:t xml:space="preserve">g </w:t>
            </w:r>
            <w:r>
              <w:t>on necessary exam f</w:t>
            </w:r>
            <w:r w:rsidR="00876F74">
              <w:t>or secondary service connection.</w:t>
            </w:r>
            <w:proofErr w:type="gramEnd"/>
          </w:p>
          <w:p w14:paraId="2FF489A9" w14:textId="1AFE6AA3" w:rsidR="00914B23" w:rsidRDefault="00914B23" w:rsidP="00914B23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>To add examples.</w:t>
            </w:r>
          </w:p>
        </w:tc>
        <w:tc>
          <w:tcPr>
            <w:tcW w:w="1202" w:type="pct"/>
            <w:shd w:val="clear" w:color="auto" w:fill="auto"/>
          </w:tcPr>
          <w:p w14:paraId="5351D2C3" w14:textId="0A46419D" w:rsidR="00914B23" w:rsidRDefault="00914B23" w:rsidP="00933BDB">
            <w:pPr>
              <w:pStyle w:val="TableText"/>
            </w:pPr>
            <w:r>
              <w:t>I.1.C.3.g</w:t>
            </w:r>
          </w:p>
        </w:tc>
      </w:tr>
      <w:tr w:rsidR="00585D84" w14:paraId="562EFAD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6E0FFB1" w14:textId="28DF7E26" w:rsidR="00585D84" w:rsidRDefault="00914B23" w:rsidP="00914B23">
            <w:pPr>
              <w:pStyle w:val="TableText"/>
            </w:pPr>
            <w:proofErr w:type="gramStart"/>
            <w:r>
              <w:t xml:space="preserve">To add </w:t>
            </w:r>
            <w:r w:rsidR="003D2B4E">
              <w:t>a new B</w:t>
            </w:r>
            <w:r w:rsidR="002C5504">
              <w:t xml:space="preserve">lock </w:t>
            </w:r>
            <w:r w:rsidR="003D2B4E">
              <w:t xml:space="preserve">h </w:t>
            </w:r>
            <w:r>
              <w:t>on necessary exam for</w:t>
            </w:r>
            <w:r w:rsidR="002C5504">
              <w:t xml:space="preserve"> presumptive service connection.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40BE0E14" w14:textId="179B14DC" w:rsidR="00585D84" w:rsidRDefault="00914B23" w:rsidP="00933BDB">
            <w:pPr>
              <w:pStyle w:val="TableText"/>
            </w:pPr>
            <w:r>
              <w:t>I.1.C.3.h</w:t>
            </w:r>
          </w:p>
        </w:tc>
      </w:tr>
      <w:tr w:rsidR="002C5504" w14:paraId="716F2A21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685D75AC" w14:textId="20F74DE4" w:rsidR="002C5504" w:rsidRDefault="003F3D5C" w:rsidP="003F3D5C">
            <w:pPr>
              <w:pStyle w:val="TableText"/>
            </w:pPr>
            <w:r>
              <w:lastRenderedPageBreak/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>lock</w:t>
            </w:r>
            <w:r w:rsidR="003D2B4E">
              <w:t xml:space="preserve"> i</w:t>
            </w:r>
            <w:r w:rsidR="00CC2F31">
              <w:t xml:space="preserve"> to address examination provisions relating to claims for increased evaluation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64782D4F" w14:textId="77777777" w:rsidR="002C5504" w:rsidRDefault="00CC2F31" w:rsidP="00933BDB">
            <w:pPr>
              <w:pStyle w:val="TableText"/>
            </w:pPr>
            <w:r>
              <w:t>I.1.C.3.i</w:t>
            </w:r>
          </w:p>
        </w:tc>
      </w:tr>
      <w:tr w:rsidR="00415B71" w14:paraId="14427D7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13B8523" w14:textId="4A73E31B" w:rsidR="00415B71" w:rsidRDefault="003F3D5C" w:rsidP="003F3D5C">
            <w:pPr>
              <w:pStyle w:val="TableText"/>
            </w:pPr>
            <w:r>
              <w:t xml:space="preserve">To add </w:t>
            </w:r>
            <w:r w:rsidR="00415B71">
              <w:t xml:space="preserve">new </w:t>
            </w:r>
            <w:r w:rsidR="003D2B4E">
              <w:t>B</w:t>
            </w:r>
            <w:r w:rsidR="00415B71">
              <w:t xml:space="preserve">lock </w:t>
            </w:r>
            <w:r w:rsidR="003D2B4E">
              <w:t xml:space="preserve">j </w:t>
            </w:r>
            <w:r w:rsidR="00415B71">
              <w:t>to address timing of duty to obtain examination</w:t>
            </w:r>
            <w:r>
              <w:t xml:space="preserve"> and that, to the extent practicable, VA shall assess whether an exam </w:t>
            </w:r>
            <w:proofErr w:type="gramStart"/>
            <w:r>
              <w:t>is needed</w:t>
            </w:r>
            <w:proofErr w:type="gramEnd"/>
            <w:r>
              <w:t xml:space="preserve"> after development of all relevant evidence.</w:t>
            </w:r>
          </w:p>
        </w:tc>
        <w:tc>
          <w:tcPr>
            <w:tcW w:w="1202" w:type="pct"/>
            <w:shd w:val="clear" w:color="auto" w:fill="auto"/>
          </w:tcPr>
          <w:p w14:paraId="736F6A00" w14:textId="1B3DDB77" w:rsidR="00415B71" w:rsidRDefault="00415B71" w:rsidP="00933BDB">
            <w:pPr>
              <w:pStyle w:val="TableText"/>
            </w:pPr>
            <w:r>
              <w:t>I.1.C.3.j</w:t>
            </w:r>
          </w:p>
        </w:tc>
      </w:tr>
      <w:tr w:rsidR="002A1D3E" w14:paraId="3C39635F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0B02C8C" w14:textId="34C9B345" w:rsidR="002A1D3E" w:rsidRDefault="003F3D5C" w:rsidP="003F3D5C">
            <w:pPr>
              <w:pStyle w:val="TableText"/>
            </w:pPr>
            <w:r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 xml:space="preserve">lock </w:t>
            </w:r>
            <w:r w:rsidR="003D2B4E">
              <w:t>k</w:t>
            </w:r>
            <w:r w:rsidR="00093F93">
              <w:t xml:space="preserve"> </w:t>
            </w:r>
            <w:r w:rsidR="00CC2F31">
              <w:t>to address effect of non-cooperation on duty to provide examinations</w:t>
            </w:r>
            <w:r w:rsidR="00E76354">
              <w:t xml:space="preserve"> and actions to take when there is failure to report for exam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11A9DABE" w14:textId="5F57C285" w:rsidR="002A1D3E" w:rsidRDefault="003F3D5C" w:rsidP="00933BDB">
            <w:pPr>
              <w:pStyle w:val="TableText"/>
            </w:pPr>
            <w:r>
              <w:t>I.1.C.3.k</w:t>
            </w:r>
          </w:p>
        </w:tc>
      </w:tr>
      <w:tr w:rsidR="00CC2F31" w14:paraId="0F007149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00A5FDC5" w14:textId="524154EF" w:rsidR="00CC2F31" w:rsidRDefault="003F3D5C" w:rsidP="003F3D5C">
            <w:pPr>
              <w:pStyle w:val="TableText"/>
            </w:pPr>
            <w:proofErr w:type="gramStart"/>
            <w:r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 xml:space="preserve">lock </w:t>
            </w:r>
            <w:r w:rsidR="003D2B4E">
              <w:t xml:space="preserve">l </w:t>
            </w:r>
            <w:r w:rsidR="00CC2F31">
              <w:t>to address definition of good cause when claimant fails to report for VA examination</w:t>
            </w:r>
            <w:r w:rsidR="00B75F62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7B052243" w14:textId="110D9A4E" w:rsidR="00CC2F31" w:rsidRDefault="00E76354" w:rsidP="00933BDB">
            <w:pPr>
              <w:pStyle w:val="TableText"/>
            </w:pPr>
            <w:r>
              <w:t>I.1.C.3.l</w:t>
            </w:r>
          </w:p>
        </w:tc>
      </w:tr>
      <w:tr w:rsidR="00CC2F31" w14:paraId="6B0F560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1F06AFA6" w14:textId="2F6427FF" w:rsidR="00CC2F31" w:rsidRDefault="00E76354" w:rsidP="00E76354">
            <w:pPr>
              <w:pStyle w:val="TableText"/>
            </w:pPr>
            <w:r>
              <w:t xml:space="preserve">To add new </w:t>
            </w:r>
            <w:r w:rsidR="003D2B4E">
              <w:t>B</w:t>
            </w:r>
            <w:r>
              <w:t xml:space="preserve">lock </w:t>
            </w:r>
            <w:r w:rsidR="003D2B4E">
              <w:t xml:space="preserve">m </w:t>
            </w:r>
            <w:r>
              <w:t xml:space="preserve">to outline actions to take when </w:t>
            </w:r>
            <w:r w:rsidR="00CC2F31">
              <w:t>review</w:t>
            </w:r>
            <w:r>
              <w:t>ing</w:t>
            </w:r>
            <w:r w:rsidR="00CC2F31">
              <w:t xml:space="preserve"> returned </w:t>
            </w:r>
            <w:proofErr w:type="gramStart"/>
            <w:r w:rsidR="00CC2F31">
              <w:t>mail notifying</w:t>
            </w:r>
            <w:proofErr w:type="gramEnd"/>
            <w:r w:rsidR="00CC2F31">
              <w:t xml:space="preserve"> Veteran of scheduled examination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5E8D3AA3" w14:textId="426F5BCA" w:rsidR="00CC2F31" w:rsidRDefault="00E76354" w:rsidP="00933BDB">
            <w:pPr>
              <w:pStyle w:val="TableText"/>
            </w:pPr>
            <w:r>
              <w:t>I.1.C.3.m</w:t>
            </w:r>
          </w:p>
        </w:tc>
      </w:tr>
      <w:tr w:rsidR="00CC2F31" w14:paraId="75AA60C3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66544EE" w14:textId="305F2CF1" w:rsidR="00CC2F31" w:rsidRDefault="00E76354" w:rsidP="00E76354">
            <w:pPr>
              <w:pStyle w:val="TableText"/>
            </w:pPr>
            <w:proofErr w:type="gramStart"/>
            <w:r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 xml:space="preserve">lock </w:t>
            </w:r>
            <w:r w:rsidR="003D2B4E">
              <w:t xml:space="preserve">n </w:t>
            </w:r>
            <w:r w:rsidR="00CC2F31">
              <w:t xml:space="preserve">to </w:t>
            </w:r>
            <w:r>
              <w:t xml:space="preserve">outline </w:t>
            </w:r>
            <w:r w:rsidR="00CC2F31">
              <w:t>actions to take after attempting to locate a valid address</w:t>
            </w:r>
            <w:r w:rsidR="00B75F62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3612433E" w14:textId="7D4229F6" w:rsidR="00CC2F31" w:rsidRDefault="00E76354" w:rsidP="00933BDB">
            <w:pPr>
              <w:pStyle w:val="TableText"/>
            </w:pPr>
            <w:r>
              <w:t>I.1.C.3.n</w:t>
            </w:r>
          </w:p>
        </w:tc>
      </w:tr>
      <w:tr w:rsidR="00CC2F31" w14:paraId="49B8F44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244EFE5F" w14:textId="4E4BE215" w:rsidR="00CC2F31" w:rsidRDefault="00E76354" w:rsidP="00E76354">
            <w:pPr>
              <w:pStyle w:val="TableText"/>
            </w:pPr>
            <w:r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 xml:space="preserve">lock </w:t>
            </w:r>
            <w:r w:rsidR="003D2B4E">
              <w:t xml:space="preserve">o </w:t>
            </w:r>
            <w:r w:rsidR="00CC2F31">
              <w:t>on allegations by claimant of non-receipt of examination scheduling notice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05813AC9" w14:textId="60766EFD" w:rsidR="00CC2F31" w:rsidRDefault="00E76354" w:rsidP="00933BDB">
            <w:pPr>
              <w:pStyle w:val="TableText"/>
            </w:pPr>
            <w:r>
              <w:t>I.1.C.3.o</w:t>
            </w:r>
          </w:p>
        </w:tc>
      </w:tr>
      <w:tr w:rsidR="00CC2F31" w14:paraId="39E004DD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7813285" w14:textId="502D12E0" w:rsidR="00CC2F31" w:rsidRDefault="004F4EAB" w:rsidP="004F4EAB">
            <w:pPr>
              <w:pStyle w:val="TableText"/>
            </w:pPr>
            <w:proofErr w:type="gramStart"/>
            <w:r>
              <w:t xml:space="preserve">To add </w:t>
            </w:r>
            <w:r w:rsidR="00CC2F31">
              <w:t xml:space="preserve">new </w:t>
            </w:r>
            <w:r w:rsidR="003D2B4E">
              <w:t>B</w:t>
            </w:r>
            <w:r w:rsidR="00CC2F31">
              <w:t xml:space="preserve">lock </w:t>
            </w:r>
            <w:r w:rsidR="003D2B4E">
              <w:t xml:space="preserve">p </w:t>
            </w:r>
            <w:r w:rsidR="00CC2F31">
              <w:t>on timing of offer of good cause or willingness to report and rescheduling</w:t>
            </w:r>
            <w:r>
              <w:t xml:space="preserve"> of VA examination</w:t>
            </w:r>
            <w:r w:rsidR="00B75F62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127BFE86" w14:textId="791123D3" w:rsidR="00CC2F31" w:rsidRDefault="004F4EAB" w:rsidP="00933BDB">
            <w:pPr>
              <w:pStyle w:val="TableText"/>
            </w:pPr>
            <w:r>
              <w:t>I.1.C.3.p</w:t>
            </w:r>
          </w:p>
        </w:tc>
      </w:tr>
      <w:tr w:rsidR="00A01DE5" w14:paraId="6C3BB212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A2B4EBA" w14:textId="23CB089C" w:rsidR="00A01DE5" w:rsidRDefault="00A01DE5" w:rsidP="00093F93">
            <w:pPr>
              <w:pStyle w:val="TableText"/>
            </w:pPr>
            <w:r>
              <w:t xml:space="preserve">To add new </w:t>
            </w:r>
            <w:r w:rsidR="003D2B4E">
              <w:t>t</w:t>
            </w:r>
            <w:r>
              <w:t>opic on determining relevance of record</w:t>
            </w:r>
            <w:r w:rsidR="00116658">
              <w:t xml:space="preserve">s since this </w:t>
            </w:r>
            <w:r w:rsidR="00093F93">
              <w:t>is a</w:t>
            </w:r>
            <w:r w:rsidR="00116658">
              <w:t xml:space="preserve"> critical principle to understand when determining whether certain identified records </w:t>
            </w:r>
            <w:proofErr w:type="gramStart"/>
            <w:r w:rsidR="00116658">
              <w:t>shall be obtained</w:t>
            </w:r>
            <w:proofErr w:type="gramEnd"/>
            <w:r w:rsidR="00116658">
              <w:t>.</w:t>
            </w:r>
          </w:p>
        </w:tc>
        <w:tc>
          <w:tcPr>
            <w:tcW w:w="1202" w:type="pct"/>
            <w:shd w:val="clear" w:color="auto" w:fill="auto"/>
          </w:tcPr>
          <w:p w14:paraId="7A7817F3" w14:textId="065E21E5" w:rsidR="00A01DE5" w:rsidRDefault="00A01DE5" w:rsidP="00933BDB">
            <w:pPr>
              <w:pStyle w:val="TableText"/>
            </w:pPr>
            <w:r>
              <w:t>I.1.C.4</w:t>
            </w:r>
          </w:p>
        </w:tc>
      </w:tr>
      <w:tr w:rsidR="00A01DE5" w14:paraId="4F35ECEA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4BD9ACC3" w14:textId="055EBDB8" w:rsidR="00A01DE5" w:rsidRDefault="00A01DE5" w:rsidP="00070BA1">
            <w:pPr>
              <w:pStyle w:val="TableText"/>
            </w:pPr>
            <w:proofErr w:type="gramStart"/>
            <w:r>
              <w:t xml:space="preserve">To add </w:t>
            </w:r>
            <w:r w:rsidR="00070BA1">
              <w:t xml:space="preserve">new </w:t>
            </w:r>
            <w:r w:rsidR="003D2B4E">
              <w:t>B</w:t>
            </w:r>
            <w:r w:rsidR="00070BA1">
              <w:t xml:space="preserve">lock </w:t>
            </w:r>
            <w:r w:rsidR="003D2B4E">
              <w:t xml:space="preserve">a </w:t>
            </w:r>
            <w:r w:rsidR="00070BA1">
              <w:t xml:space="preserve">on the definition of </w:t>
            </w:r>
            <w:r>
              <w:t>relevant records</w:t>
            </w:r>
            <w:r w:rsidR="00B75F62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78C596C5" w14:textId="0836906F" w:rsidR="00A01DE5" w:rsidRDefault="00A01DE5" w:rsidP="00933BDB">
            <w:pPr>
              <w:pStyle w:val="TableText"/>
            </w:pPr>
            <w:r>
              <w:t>I.1.C.4.a</w:t>
            </w:r>
          </w:p>
        </w:tc>
      </w:tr>
      <w:tr w:rsidR="00A01DE5" w14:paraId="1B0FC45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01D014C" w14:textId="1EA0E92D" w:rsidR="00A01DE5" w:rsidRDefault="00A01DE5" w:rsidP="004F4EAB">
            <w:pPr>
              <w:pStyle w:val="TableText"/>
            </w:pPr>
            <w:r>
              <w:t xml:space="preserve">To add new </w:t>
            </w:r>
            <w:r w:rsidR="003D2B4E">
              <w:t>B</w:t>
            </w:r>
            <w:r>
              <w:t xml:space="preserve">lock </w:t>
            </w:r>
            <w:r w:rsidR="003D2B4E">
              <w:t xml:space="preserve">b </w:t>
            </w:r>
            <w:r>
              <w:t>on the concept that relevance of records is determined on a case-by-case basis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03C7979B" w14:textId="329C253B" w:rsidR="00A01DE5" w:rsidRDefault="00A01DE5" w:rsidP="00933BDB">
            <w:pPr>
              <w:pStyle w:val="TableText"/>
            </w:pPr>
            <w:r>
              <w:t>I.1.C.4.b</w:t>
            </w:r>
          </w:p>
        </w:tc>
      </w:tr>
      <w:tr w:rsidR="00A01DE5" w14:paraId="5479079B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96DB390" w14:textId="1E1E3911" w:rsidR="00A01DE5" w:rsidRDefault="00A01DE5" w:rsidP="004F4EAB">
            <w:pPr>
              <w:pStyle w:val="TableText"/>
            </w:pPr>
            <w:r>
              <w:t xml:space="preserve">To add new </w:t>
            </w:r>
            <w:r w:rsidR="003D2B4E">
              <w:t>B</w:t>
            </w:r>
            <w:r>
              <w:t xml:space="preserve">lock </w:t>
            </w:r>
            <w:r w:rsidR="003D2B4E">
              <w:t xml:space="preserve">c </w:t>
            </w:r>
            <w:r>
              <w:t>on the importance of the Golz court decision in determining relevance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608E7706" w14:textId="7511CDBC" w:rsidR="00A01DE5" w:rsidRDefault="00A01DE5" w:rsidP="00933BDB">
            <w:pPr>
              <w:pStyle w:val="TableText"/>
            </w:pPr>
            <w:r>
              <w:t>I.1.C.4.c</w:t>
            </w:r>
          </w:p>
        </w:tc>
      </w:tr>
      <w:tr w:rsidR="00A01DE5" w14:paraId="303267E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EA0A89A" w14:textId="0880133A" w:rsidR="00A01DE5" w:rsidRDefault="00A01DE5" w:rsidP="004F4EAB">
            <w:pPr>
              <w:pStyle w:val="TableText"/>
            </w:pPr>
            <w:r>
              <w:t xml:space="preserve">To add new </w:t>
            </w:r>
            <w:r w:rsidR="003D2B4E">
              <w:t>B</w:t>
            </w:r>
            <w:r>
              <w:t xml:space="preserve">lock </w:t>
            </w:r>
            <w:r w:rsidR="003D2B4E">
              <w:t xml:space="preserve">d </w:t>
            </w:r>
            <w:r>
              <w:t>illustrating examples of cases in which identified records are not relevant and therefore do not have to be obtained under VA’s duty to assist obligation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74710DFC" w14:textId="7EBBA188" w:rsidR="00A01DE5" w:rsidRDefault="00A01DE5" w:rsidP="00933BDB">
            <w:pPr>
              <w:pStyle w:val="TableText"/>
            </w:pPr>
            <w:r>
              <w:t>I.1.C.4.d</w:t>
            </w:r>
          </w:p>
        </w:tc>
      </w:tr>
      <w:tr w:rsidR="00A01DE5" w14:paraId="53249BB4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7EB39485" w14:textId="3F160211" w:rsidR="00A01DE5" w:rsidRDefault="00A01DE5" w:rsidP="004F4EAB">
            <w:pPr>
              <w:pStyle w:val="TableText"/>
            </w:pPr>
            <w:r>
              <w:t xml:space="preserve">To add a new </w:t>
            </w:r>
            <w:r w:rsidR="003D2B4E">
              <w:t>B</w:t>
            </w:r>
            <w:r>
              <w:t xml:space="preserve">lock </w:t>
            </w:r>
            <w:r w:rsidR="003D2B4E">
              <w:t>e</w:t>
            </w:r>
            <w:r w:rsidR="00093F93">
              <w:t xml:space="preserve"> </w:t>
            </w:r>
            <w:bookmarkStart w:id="0" w:name="_GoBack"/>
            <w:bookmarkEnd w:id="0"/>
            <w:r>
              <w:t xml:space="preserve">on the court decision Moore v. Shinseki to indicate that military clinical mental health records are relevant and </w:t>
            </w:r>
            <w:proofErr w:type="gramStart"/>
            <w:r>
              <w:t>must be obtained</w:t>
            </w:r>
            <w:proofErr w:type="gramEnd"/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4A55A841" w14:textId="637D3830" w:rsidR="00A01DE5" w:rsidRDefault="00A01DE5" w:rsidP="00933BDB">
            <w:pPr>
              <w:pStyle w:val="TableText"/>
            </w:pPr>
            <w:r>
              <w:t>I.1.C.4.e</w:t>
            </w:r>
          </w:p>
        </w:tc>
      </w:tr>
      <w:tr w:rsidR="00A01DE5" w14:paraId="2E28BB50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57CEEA5B" w14:textId="05BCB264" w:rsidR="00A01DE5" w:rsidRDefault="00A01DE5" w:rsidP="00116658">
            <w:pPr>
              <w:pStyle w:val="TableText"/>
            </w:pPr>
            <w:r>
              <w:t xml:space="preserve">To add a new </w:t>
            </w:r>
            <w:r w:rsidR="003D2B4E">
              <w:t>B</w:t>
            </w:r>
            <w:r>
              <w:t xml:space="preserve">lock </w:t>
            </w:r>
            <w:r w:rsidR="003D2B4E">
              <w:t xml:space="preserve">f </w:t>
            </w:r>
            <w:r>
              <w:t xml:space="preserve">on </w:t>
            </w:r>
            <w:r w:rsidRPr="00116658">
              <w:rPr>
                <w:b/>
                <w:i/>
              </w:rPr>
              <w:t>new requirement</w:t>
            </w:r>
            <w:r w:rsidR="00116658">
              <w:rPr>
                <w:b/>
                <w:i/>
              </w:rPr>
              <w:t>s</w:t>
            </w:r>
            <w:r w:rsidR="0003585C">
              <w:t xml:space="preserve"> to document the claims folder when identified records </w:t>
            </w:r>
            <w:proofErr w:type="gramStart"/>
            <w:r w:rsidR="0003585C">
              <w:t>are not considered</w:t>
            </w:r>
            <w:proofErr w:type="gramEnd"/>
            <w:r w:rsidR="0003585C">
              <w:t xml:space="preserve"> relevant</w:t>
            </w:r>
            <w:r w:rsidR="00116658">
              <w:t xml:space="preserve"> and, therefore, are not obtained.</w:t>
            </w:r>
          </w:p>
        </w:tc>
        <w:tc>
          <w:tcPr>
            <w:tcW w:w="1202" w:type="pct"/>
            <w:shd w:val="clear" w:color="auto" w:fill="auto"/>
          </w:tcPr>
          <w:p w14:paraId="38018A70" w14:textId="22F317D6" w:rsidR="0003585C" w:rsidRDefault="0003585C" w:rsidP="00933BDB">
            <w:pPr>
              <w:pStyle w:val="TableText"/>
            </w:pPr>
            <w:r>
              <w:t>I.1.C.4.f</w:t>
            </w:r>
          </w:p>
        </w:tc>
      </w:tr>
      <w:tr w:rsidR="00CC2F31" w14:paraId="749DE93C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6227763D" w14:textId="33144D97" w:rsidR="00CC2F31" w:rsidRDefault="004F4EAB" w:rsidP="004F4EAB">
            <w:pPr>
              <w:pStyle w:val="TableText"/>
            </w:pPr>
            <w:r>
              <w:t xml:space="preserve">To add </w:t>
            </w:r>
            <w:r w:rsidR="008D6D69">
              <w:t xml:space="preserve">new </w:t>
            </w:r>
            <w:r w:rsidR="003D2B4E">
              <w:t>t</w:t>
            </w:r>
            <w:r w:rsidR="008D6D69">
              <w:t xml:space="preserve">opic </w:t>
            </w:r>
            <w:r>
              <w:t>o</w:t>
            </w:r>
            <w:r w:rsidR="008D6D69">
              <w:t>n Notification of Inability to Obtain Records</w:t>
            </w:r>
            <w:proofErr w:type="gramStart"/>
            <w:r w:rsidR="00B75F62">
              <w:t>.</w:t>
            </w:r>
            <w:r w:rsidR="00116658">
              <w:t xml:space="preserve"> 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1EEFE7D7" w14:textId="0F53483B" w:rsidR="00CC2F31" w:rsidRDefault="00A01DE5" w:rsidP="00933BDB">
            <w:pPr>
              <w:pStyle w:val="TableText"/>
            </w:pPr>
            <w:r>
              <w:t>I.1.C.5</w:t>
            </w:r>
          </w:p>
        </w:tc>
      </w:tr>
      <w:tr w:rsidR="002C5504" w14:paraId="7AF2B6DE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6909A399" w14:textId="2CF17A97" w:rsidR="002C5504" w:rsidRDefault="004F4EAB" w:rsidP="004F4EAB">
            <w:pPr>
              <w:pStyle w:val="TableText"/>
            </w:pPr>
            <w:r>
              <w:t xml:space="preserve">To add </w:t>
            </w:r>
            <w:r w:rsidR="0003585C">
              <w:t xml:space="preserve">new </w:t>
            </w:r>
            <w:r w:rsidR="003D2B4E">
              <w:t>B</w:t>
            </w:r>
            <w:r w:rsidR="008D6D69">
              <w:t xml:space="preserve">lock </w:t>
            </w:r>
            <w:proofErr w:type="gramStart"/>
            <w:r w:rsidR="003D2B4E">
              <w:t>a</w:t>
            </w:r>
            <w:proofErr w:type="gramEnd"/>
            <w:r w:rsidR="003D2B4E">
              <w:t xml:space="preserve"> </w:t>
            </w:r>
            <w:r w:rsidR="008D6D69">
              <w:t xml:space="preserve">on </w:t>
            </w:r>
            <w:r>
              <w:t xml:space="preserve">requirements regarding </w:t>
            </w:r>
            <w:r w:rsidR="008D6D69">
              <w:t>notification of inability to obtain relevant private records</w:t>
            </w:r>
            <w:r w:rsidR="00B75F62">
              <w:t>.</w:t>
            </w:r>
          </w:p>
        </w:tc>
        <w:tc>
          <w:tcPr>
            <w:tcW w:w="1202" w:type="pct"/>
            <w:shd w:val="clear" w:color="auto" w:fill="auto"/>
          </w:tcPr>
          <w:p w14:paraId="31D607B7" w14:textId="7473645E" w:rsidR="002C5504" w:rsidRDefault="00A01DE5" w:rsidP="00933BDB">
            <w:pPr>
              <w:pStyle w:val="TableText"/>
            </w:pPr>
            <w:r>
              <w:t>I.1.C.5</w:t>
            </w:r>
            <w:r w:rsidR="008D6D69">
              <w:t>.a</w:t>
            </w:r>
          </w:p>
        </w:tc>
      </w:tr>
      <w:tr w:rsidR="008D6D69" w14:paraId="32518A5B" w14:textId="77777777" w:rsidTr="000F4BBE">
        <w:trPr>
          <w:trHeight w:val="180"/>
        </w:trPr>
        <w:tc>
          <w:tcPr>
            <w:tcW w:w="3798" w:type="pct"/>
            <w:shd w:val="clear" w:color="auto" w:fill="auto"/>
          </w:tcPr>
          <w:p w14:paraId="2FA20EAD" w14:textId="4EEEDB92" w:rsidR="008D6D69" w:rsidRDefault="004F4EAB" w:rsidP="004F4EAB">
            <w:pPr>
              <w:pStyle w:val="TableText"/>
            </w:pPr>
            <w:proofErr w:type="gramStart"/>
            <w:r>
              <w:t xml:space="preserve">To add </w:t>
            </w:r>
            <w:r w:rsidR="0003585C">
              <w:t xml:space="preserve">new </w:t>
            </w:r>
            <w:r w:rsidR="003D2B4E">
              <w:t>B</w:t>
            </w:r>
            <w:r w:rsidR="008D6D69">
              <w:t xml:space="preserve">lock </w:t>
            </w:r>
            <w:r w:rsidR="003D2B4E">
              <w:t xml:space="preserve">b </w:t>
            </w:r>
            <w:r w:rsidR="008D6D69">
              <w:t xml:space="preserve">on </w:t>
            </w:r>
            <w:r>
              <w:t xml:space="preserve">requirements regarding </w:t>
            </w:r>
            <w:r w:rsidR="008D6D69">
              <w:t>notification of inability to obtain Federal records</w:t>
            </w:r>
            <w:r w:rsidR="003D2B4E">
              <w:t>.</w:t>
            </w:r>
            <w:proofErr w:type="gramEnd"/>
          </w:p>
        </w:tc>
        <w:tc>
          <w:tcPr>
            <w:tcW w:w="1202" w:type="pct"/>
            <w:shd w:val="clear" w:color="auto" w:fill="auto"/>
          </w:tcPr>
          <w:p w14:paraId="7719C2C2" w14:textId="4A067216" w:rsidR="008D6D69" w:rsidRDefault="00A01DE5" w:rsidP="00933BDB">
            <w:pPr>
              <w:pStyle w:val="TableText"/>
            </w:pPr>
            <w:r>
              <w:t>I.1.C.5</w:t>
            </w:r>
            <w:r w:rsidR="008D6D69">
              <w:t>.b</w:t>
            </w:r>
          </w:p>
        </w:tc>
      </w:tr>
    </w:tbl>
    <w:p w14:paraId="4C5E561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086A148" w14:textId="77777777" w:rsidTr="00237C22">
        <w:tc>
          <w:tcPr>
            <w:tcW w:w="1728" w:type="dxa"/>
          </w:tcPr>
          <w:p w14:paraId="5A1A6CE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2D1AA7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7E6042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9346BB" w14:textId="77777777" w:rsidTr="00237C22">
        <w:tc>
          <w:tcPr>
            <w:tcW w:w="1728" w:type="dxa"/>
          </w:tcPr>
          <w:p w14:paraId="5E39FA1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13C83A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20D3C1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103C00" w14:textId="77777777" w:rsidTr="00237C22">
        <w:tc>
          <w:tcPr>
            <w:tcW w:w="1728" w:type="dxa"/>
          </w:tcPr>
          <w:p w14:paraId="30C715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60822D23" w14:textId="77777777" w:rsidR="00504F80" w:rsidRPr="00B4163A" w:rsidRDefault="00504F80" w:rsidP="00237C22">
            <w:pPr>
              <w:pStyle w:val="BlockText"/>
            </w:pPr>
          </w:p>
          <w:p w14:paraId="7D0A809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6F4EC4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D18AF7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DAA8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18B5882" w14:textId="77777777" w:rsidTr="00237C22">
        <w:tc>
          <w:tcPr>
            <w:tcW w:w="1728" w:type="dxa"/>
          </w:tcPr>
          <w:p w14:paraId="638635D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ECD358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9CF2C4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BE14F7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39B41" w14:textId="77777777" w:rsidR="0020486E" w:rsidRDefault="0020486E" w:rsidP="00C765C7">
      <w:r>
        <w:separator/>
      </w:r>
    </w:p>
  </w:endnote>
  <w:endnote w:type="continuationSeparator" w:id="0">
    <w:p w14:paraId="4D6868AB" w14:textId="77777777" w:rsidR="0020486E" w:rsidRDefault="0020486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C11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388D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017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F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6F57F3D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701C" w14:textId="77777777" w:rsidR="0020486E" w:rsidRDefault="0020486E" w:rsidP="00C765C7">
      <w:r>
        <w:separator/>
      </w:r>
    </w:p>
  </w:footnote>
  <w:footnote w:type="continuationSeparator" w:id="0">
    <w:p w14:paraId="160394F6" w14:textId="77777777" w:rsidR="0020486E" w:rsidRDefault="0020486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3043C"/>
    <w:multiLevelType w:val="hybridMultilevel"/>
    <w:tmpl w:val="3AE2521C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7F4"/>
    <w:multiLevelType w:val="hybridMultilevel"/>
    <w:tmpl w:val="1B04D312"/>
    <w:lvl w:ilvl="0" w:tplc="485AFF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447"/>
    <w:multiLevelType w:val="hybridMultilevel"/>
    <w:tmpl w:val="2FA664EA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7B22"/>
    <w:multiLevelType w:val="hybridMultilevel"/>
    <w:tmpl w:val="13A87C82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72FE"/>
    <w:multiLevelType w:val="hybridMultilevel"/>
    <w:tmpl w:val="737A9844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1C4A"/>
    <w:multiLevelType w:val="hybridMultilevel"/>
    <w:tmpl w:val="03B0D4BA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57E3"/>
    <w:multiLevelType w:val="hybridMultilevel"/>
    <w:tmpl w:val="F2F2F946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1C7E"/>
    <w:multiLevelType w:val="hybridMultilevel"/>
    <w:tmpl w:val="A808C24E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6F1D"/>
    <w:multiLevelType w:val="hybridMultilevel"/>
    <w:tmpl w:val="F05461F0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D297F"/>
    <w:multiLevelType w:val="hybridMultilevel"/>
    <w:tmpl w:val="2B500B14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24E"/>
    <w:multiLevelType w:val="hybridMultilevel"/>
    <w:tmpl w:val="E7C4F33E"/>
    <w:lvl w:ilvl="0" w:tplc="0A5EF9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C47BE"/>
    <w:multiLevelType w:val="hybridMultilevel"/>
    <w:tmpl w:val="14380E38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A00C50"/>
    <w:multiLevelType w:val="hybridMultilevel"/>
    <w:tmpl w:val="2D8001BE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6B50"/>
    <w:multiLevelType w:val="hybridMultilevel"/>
    <w:tmpl w:val="6D0CF914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995"/>
    <w:multiLevelType w:val="hybridMultilevel"/>
    <w:tmpl w:val="2B04AD3C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71E"/>
    <w:multiLevelType w:val="hybridMultilevel"/>
    <w:tmpl w:val="3D881B62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AE5ABD"/>
    <w:multiLevelType w:val="hybridMultilevel"/>
    <w:tmpl w:val="B7E2F83E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90429"/>
    <w:multiLevelType w:val="hybridMultilevel"/>
    <w:tmpl w:val="AA109EF4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2D4B"/>
    <w:multiLevelType w:val="hybridMultilevel"/>
    <w:tmpl w:val="80269146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552B2"/>
    <w:multiLevelType w:val="hybridMultilevel"/>
    <w:tmpl w:val="754419CA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9323E"/>
    <w:multiLevelType w:val="hybridMultilevel"/>
    <w:tmpl w:val="3F0C1C94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88936B3"/>
    <w:multiLevelType w:val="hybridMultilevel"/>
    <w:tmpl w:val="3E7C869E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466DEE"/>
    <w:multiLevelType w:val="hybridMultilevel"/>
    <w:tmpl w:val="1494D58C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4176C9"/>
    <w:multiLevelType w:val="hybridMultilevel"/>
    <w:tmpl w:val="B88EBAD4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1">
    <w:nsid w:val="6C554E24"/>
    <w:multiLevelType w:val="hybridMultilevel"/>
    <w:tmpl w:val="E32A42CE"/>
    <w:lvl w:ilvl="0" w:tplc="B5A64C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503A32"/>
    <w:multiLevelType w:val="hybridMultilevel"/>
    <w:tmpl w:val="8F10BF06"/>
    <w:lvl w:ilvl="0" w:tplc="6D90C6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80A60"/>
    <w:multiLevelType w:val="hybridMultilevel"/>
    <w:tmpl w:val="76FAE408"/>
    <w:lvl w:ilvl="0" w:tplc="DC9AB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0"/>
  </w:num>
  <w:num w:numId="4">
    <w:abstractNumId w:val="32"/>
  </w:num>
  <w:num w:numId="5">
    <w:abstractNumId w:val="26"/>
  </w:num>
  <w:num w:numId="6">
    <w:abstractNumId w:val="24"/>
  </w:num>
  <w:num w:numId="7">
    <w:abstractNumId w:val="33"/>
  </w:num>
  <w:num w:numId="8">
    <w:abstractNumId w:val="18"/>
  </w:num>
  <w:num w:numId="9">
    <w:abstractNumId w:val="13"/>
  </w:num>
  <w:num w:numId="10">
    <w:abstractNumId w:val="30"/>
  </w:num>
  <w:num w:numId="11">
    <w:abstractNumId w:val="11"/>
  </w:num>
  <w:num w:numId="12">
    <w:abstractNumId w:val="7"/>
  </w:num>
  <w:num w:numId="13">
    <w:abstractNumId w:val="4"/>
  </w:num>
  <w:num w:numId="14">
    <w:abstractNumId w:val="22"/>
  </w:num>
  <w:num w:numId="15">
    <w:abstractNumId w:val="16"/>
  </w:num>
  <w:num w:numId="16">
    <w:abstractNumId w:val="20"/>
  </w:num>
  <w:num w:numId="17">
    <w:abstractNumId w:val="25"/>
  </w:num>
  <w:num w:numId="18">
    <w:abstractNumId w:val="15"/>
  </w:num>
  <w:num w:numId="19">
    <w:abstractNumId w:val="6"/>
  </w:num>
  <w:num w:numId="20">
    <w:abstractNumId w:val="36"/>
  </w:num>
  <w:num w:numId="21">
    <w:abstractNumId w:val="9"/>
  </w:num>
  <w:num w:numId="22">
    <w:abstractNumId w:val="8"/>
  </w:num>
  <w:num w:numId="23">
    <w:abstractNumId w:val="10"/>
  </w:num>
  <w:num w:numId="24">
    <w:abstractNumId w:val="12"/>
  </w:num>
  <w:num w:numId="25">
    <w:abstractNumId w:val="17"/>
  </w:num>
  <w:num w:numId="26">
    <w:abstractNumId w:val="29"/>
  </w:num>
  <w:num w:numId="27">
    <w:abstractNumId w:val="21"/>
  </w:num>
  <w:num w:numId="28">
    <w:abstractNumId w:val="5"/>
  </w:num>
  <w:num w:numId="29">
    <w:abstractNumId w:val="1"/>
  </w:num>
  <w:num w:numId="30">
    <w:abstractNumId w:val="27"/>
  </w:num>
  <w:num w:numId="31">
    <w:abstractNumId w:val="23"/>
  </w:num>
  <w:num w:numId="32">
    <w:abstractNumId w:val="35"/>
  </w:num>
  <w:num w:numId="33">
    <w:abstractNumId w:val="14"/>
  </w:num>
  <w:num w:numId="34">
    <w:abstractNumId w:val="19"/>
  </w:num>
  <w:num w:numId="35">
    <w:abstractNumId w:val="3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585C"/>
    <w:rsid w:val="00070BA1"/>
    <w:rsid w:val="00093228"/>
    <w:rsid w:val="00093F93"/>
    <w:rsid w:val="000A1D9F"/>
    <w:rsid w:val="000A7776"/>
    <w:rsid w:val="000E320F"/>
    <w:rsid w:val="000F4BBE"/>
    <w:rsid w:val="00100433"/>
    <w:rsid w:val="0010215F"/>
    <w:rsid w:val="00106EEF"/>
    <w:rsid w:val="0011384F"/>
    <w:rsid w:val="00116658"/>
    <w:rsid w:val="00120103"/>
    <w:rsid w:val="00123973"/>
    <w:rsid w:val="001253ED"/>
    <w:rsid w:val="00151943"/>
    <w:rsid w:val="00161760"/>
    <w:rsid w:val="001626B7"/>
    <w:rsid w:val="00186D46"/>
    <w:rsid w:val="001A0086"/>
    <w:rsid w:val="001B0E7B"/>
    <w:rsid w:val="001B7CC7"/>
    <w:rsid w:val="001C3AE3"/>
    <w:rsid w:val="001C3EB5"/>
    <w:rsid w:val="002041BE"/>
    <w:rsid w:val="0020486E"/>
    <w:rsid w:val="00205C50"/>
    <w:rsid w:val="00217BA0"/>
    <w:rsid w:val="002220F1"/>
    <w:rsid w:val="00232AEB"/>
    <w:rsid w:val="00237C22"/>
    <w:rsid w:val="00240624"/>
    <w:rsid w:val="00247EF5"/>
    <w:rsid w:val="00264204"/>
    <w:rsid w:val="00271962"/>
    <w:rsid w:val="0027298D"/>
    <w:rsid w:val="00282D6A"/>
    <w:rsid w:val="0028374A"/>
    <w:rsid w:val="002A1D3E"/>
    <w:rsid w:val="002B7A7E"/>
    <w:rsid w:val="002C5504"/>
    <w:rsid w:val="002D3F2C"/>
    <w:rsid w:val="002F5B21"/>
    <w:rsid w:val="002F7397"/>
    <w:rsid w:val="00332B80"/>
    <w:rsid w:val="00334772"/>
    <w:rsid w:val="00341981"/>
    <w:rsid w:val="00364BF4"/>
    <w:rsid w:val="00366D36"/>
    <w:rsid w:val="003708F0"/>
    <w:rsid w:val="00377318"/>
    <w:rsid w:val="00386999"/>
    <w:rsid w:val="003B2927"/>
    <w:rsid w:val="003D2B4E"/>
    <w:rsid w:val="003D47AF"/>
    <w:rsid w:val="003E2CA2"/>
    <w:rsid w:val="003F3021"/>
    <w:rsid w:val="003F3D5C"/>
    <w:rsid w:val="003F6048"/>
    <w:rsid w:val="003F672A"/>
    <w:rsid w:val="00401EAD"/>
    <w:rsid w:val="0040351B"/>
    <w:rsid w:val="0041026E"/>
    <w:rsid w:val="00415B71"/>
    <w:rsid w:val="00421403"/>
    <w:rsid w:val="00422836"/>
    <w:rsid w:val="00427FF1"/>
    <w:rsid w:val="00435BA5"/>
    <w:rsid w:val="00437647"/>
    <w:rsid w:val="00450FD6"/>
    <w:rsid w:val="00455EF7"/>
    <w:rsid w:val="004562CC"/>
    <w:rsid w:val="004643E4"/>
    <w:rsid w:val="00471ECA"/>
    <w:rsid w:val="004746D9"/>
    <w:rsid w:val="00482FA3"/>
    <w:rsid w:val="0048559D"/>
    <w:rsid w:val="00494175"/>
    <w:rsid w:val="004A0832"/>
    <w:rsid w:val="004A2ADC"/>
    <w:rsid w:val="004E05D7"/>
    <w:rsid w:val="004F375E"/>
    <w:rsid w:val="004F4EAB"/>
    <w:rsid w:val="00504F80"/>
    <w:rsid w:val="00506485"/>
    <w:rsid w:val="00513DA7"/>
    <w:rsid w:val="00516C82"/>
    <w:rsid w:val="005238CB"/>
    <w:rsid w:val="00526F0E"/>
    <w:rsid w:val="00531650"/>
    <w:rsid w:val="00537D0C"/>
    <w:rsid w:val="00585D84"/>
    <w:rsid w:val="00594258"/>
    <w:rsid w:val="005C56A6"/>
    <w:rsid w:val="005D39E5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C5A7B"/>
    <w:rsid w:val="006D10E5"/>
    <w:rsid w:val="006D52FE"/>
    <w:rsid w:val="006F2DC8"/>
    <w:rsid w:val="006F6D37"/>
    <w:rsid w:val="00724248"/>
    <w:rsid w:val="00732186"/>
    <w:rsid w:val="00737049"/>
    <w:rsid w:val="00744278"/>
    <w:rsid w:val="007732AF"/>
    <w:rsid w:val="00774334"/>
    <w:rsid w:val="00774DBE"/>
    <w:rsid w:val="007A0C5F"/>
    <w:rsid w:val="007C683F"/>
    <w:rsid w:val="007D5B97"/>
    <w:rsid w:val="007E5515"/>
    <w:rsid w:val="007F5FA9"/>
    <w:rsid w:val="0080590C"/>
    <w:rsid w:val="008144E7"/>
    <w:rsid w:val="00822A16"/>
    <w:rsid w:val="0086475B"/>
    <w:rsid w:val="00875AFA"/>
    <w:rsid w:val="00876F74"/>
    <w:rsid w:val="0088609E"/>
    <w:rsid w:val="008A367E"/>
    <w:rsid w:val="008B4CB5"/>
    <w:rsid w:val="008C723F"/>
    <w:rsid w:val="008D12C3"/>
    <w:rsid w:val="008D458B"/>
    <w:rsid w:val="008D6D69"/>
    <w:rsid w:val="008E22CF"/>
    <w:rsid w:val="008E5824"/>
    <w:rsid w:val="008E589A"/>
    <w:rsid w:val="008F14EA"/>
    <w:rsid w:val="008F1D5B"/>
    <w:rsid w:val="00914B23"/>
    <w:rsid w:val="00916AE6"/>
    <w:rsid w:val="00933BDB"/>
    <w:rsid w:val="00945950"/>
    <w:rsid w:val="009769CD"/>
    <w:rsid w:val="0097748D"/>
    <w:rsid w:val="0098588A"/>
    <w:rsid w:val="00997543"/>
    <w:rsid w:val="00997D98"/>
    <w:rsid w:val="009B4442"/>
    <w:rsid w:val="009C22C8"/>
    <w:rsid w:val="009C6B2E"/>
    <w:rsid w:val="009E033E"/>
    <w:rsid w:val="009E6E1A"/>
    <w:rsid w:val="00A013D8"/>
    <w:rsid w:val="00A01DE5"/>
    <w:rsid w:val="00A2703B"/>
    <w:rsid w:val="00A315CB"/>
    <w:rsid w:val="00A3579D"/>
    <w:rsid w:val="00A55356"/>
    <w:rsid w:val="00A557BB"/>
    <w:rsid w:val="00A8520D"/>
    <w:rsid w:val="00AA6F51"/>
    <w:rsid w:val="00AC12B4"/>
    <w:rsid w:val="00AC2993"/>
    <w:rsid w:val="00AD0EDC"/>
    <w:rsid w:val="00AE56FD"/>
    <w:rsid w:val="00AF2CD6"/>
    <w:rsid w:val="00B0548B"/>
    <w:rsid w:val="00B30D2F"/>
    <w:rsid w:val="00B50AD7"/>
    <w:rsid w:val="00B64F2F"/>
    <w:rsid w:val="00B75F62"/>
    <w:rsid w:val="00B93A3C"/>
    <w:rsid w:val="00B96287"/>
    <w:rsid w:val="00BB1DE6"/>
    <w:rsid w:val="00BB3345"/>
    <w:rsid w:val="00BF01AA"/>
    <w:rsid w:val="00BF65F7"/>
    <w:rsid w:val="00BF7FE3"/>
    <w:rsid w:val="00C0404B"/>
    <w:rsid w:val="00C24D50"/>
    <w:rsid w:val="00C273AD"/>
    <w:rsid w:val="00C31CFC"/>
    <w:rsid w:val="00C43BFB"/>
    <w:rsid w:val="00C765C7"/>
    <w:rsid w:val="00CA072D"/>
    <w:rsid w:val="00CA2FAF"/>
    <w:rsid w:val="00CC2F31"/>
    <w:rsid w:val="00CD2D08"/>
    <w:rsid w:val="00D143F5"/>
    <w:rsid w:val="00D14581"/>
    <w:rsid w:val="00D33A6E"/>
    <w:rsid w:val="00D36508"/>
    <w:rsid w:val="00D57B91"/>
    <w:rsid w:val="00D61497"/>
    <w:rsid w:val="00D74203"/>
    <w:rsid w:val="00D77146"/>
    <w:rsid w:val="00D823AF"/>
    <w:rsid w:val="00D87741"/>
    <w:rsid w:val="00D9207B"/>
    <w:rsid w:val="00DA11C2"/>
    <w:rsid w:val="00DA5369"/>
    <w:rsid w:val="00DB074F"/>
    <w:rsid w:val="00DB2902"/>
    <w:rsid w:val="00DB743E"/>
    <w:rsid w:val="00DE0E35"/>
    <w:rsid w:val="00DF44AC"/>
    <w:rsid w:val="00E225C0"/>
    <w:rsid w:val="00E2529E"/>
    <w:rsid w:val="00E36906"/>
    <w:rsid w:val="00E52BD2"/>
    <w:rsid w:val="00E648E9"/>
    <w:rsid w:val="00E65FEB"/>
    <w:rsid w:val="00E76354"/>
    <w:rsid w:val="00E77596"/>
    <w:rsid w:val="00E863A3"/>
    <w:rsid w:val="00E964FD"/>
    <w:rsid w:val="00ED4D5E"/>
    <w:rsid w:val="00ED71C8"/>
    <w:rsid w:val="00EE7CBD"/>
    <w:rsid w:val="00F006B2"/>
    <w:rsid w:val="00F05C9C"/>
    <w:rsid w:val="00F43DFA"/>
    <w:rsid w:val="00F60B87"/>
    <w:rsid w:val="00F8613E"/>
    <w:rsid w:val="00F87670"/>
    <w:rsid w:val="00F87F72"/>
    <w:rsid w:val="00F90609"/>
    <w:rsid w:val="00FB300C"/>
    <w:rsid w:val="00FB6AD1"/>
    <w:rsid w:val="00FC41CA"/>
    <w:rsid w:val="00FE3C10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81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3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3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687FB-8F7F-4E27-A961-08BA09217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8BCCB-3288-45C4-A22E-D85DCD9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863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2015-02-17T18:35:00Z</dcterms:created>
  <dcterms:modified xsi:type="dcterms:W3CDTF">2015-08-26T14:06:00Z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