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w:t>
      </w:r>
      <w:r w:rsidR="002B4D4F">
        <w:rPr>
          <w:rFonts w:ascii="Times New Roman" w:hAnsi="Times New Roman"/>
          <w:sz w:val="20"/>
        </w:rPr>
        <w:t>ment of Veterans Affairs</w:t>
      </w:r>
      <w:r w:rsidR="002B4D4F">
        <w:rPr>
          <w:rFonts w:ascii="Times New Roman" w:hAnsi="Times New Roman"/>
          <w:sz w:val="20"/>
        </w:rPr>
        <w:tab/>
        <w:t xml:space="preserve">    </w:t>
      </w:r>
      <w:r w:rsidR="00711FB3">
        <w:rPr>
          <w:rFonts w:ascii="Times New Roman" w:hAnsi="Times New Roman"/>
          <w:sz w:val="20"/>
        </w:rPr>
        <w:t xml:space="preserve">   </w:t>
      </w:r>
      <w:r w:rsidR="002B4D4F">
        <w:rPr>
          <w:rFonts w:ascii="Times New Roman" w:hAnsi="Times New Roman"/>
          <w:sz w:val="20"/>
        </w:rPr>
        <w:t>M27-1</w:t>
      </w:r>
      <w:r>
        <w:rPr>
          <w:rFonts w:ascii="Times New Roman" w:hAnsi="Times New Roman"/>
          <w:sz w:val="20"/>
        </w:rPr>
        <w:t xml:space="preserve">, Part </w:t>
      </w:r>
      <w:r w:rsidR="00711FB3">
        <w:rPr>
          <w:rFonts w:ascii="Times New Roman" w:hAnsi="Times New Roman"/>
          <w:sz w:val="20"/>
        </w:rPr>
        <w:t>I</w:t>
      </w:r>
      <w:r>
        <w:rPr>
          <w:rFonts w:ascii="Times New Roman" w:hAnsi="Times New Roman"/>
          <w:sz w:val="20"/>
        </w:rPr>
        <w:t xml:space="preserve">, </w:t>
      </w:r>
      <w:r w:rsidR="00D427B2">
        <w:rPr>
          <w:rFonts w:ascii="Times New Roman" w:hAnsi="Times New Roman"/>
          <w:sz w:val="20"/>
        </w:rPr>
        <w:t xml:space="preserve">Chapter </w:t>
      </w:r>
      <w:r w:rsidR="00333CE0">
        <w:rPr>
          <w:rFonts w:ascii="Times New Roman" w:hAnsi="Times New Roman"/>
          <w:sz w:val="20"/>
        </w:rPr>
        <w:t>5</w:t>
      </w:r>
    </w:p>
    <w:p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711FB3">
        <w:rPr>
          <w:b/>
          <w:bCs/>
          <w:sz w:val="20"/>
        </w:rPr>
        <w:t xml:space="preserve">                    </w:t>
      </w:r>
      <w:r w:rsidR="00D427B2">
        <w:rPr>
          <w:b/>
          <w:bCs/>
          <w:sz w:val="20"/>
        </w:rPr>
        <w:t xml:space="preserve">      </w:t>
      </w:r>
      <w:r w:rsidR="00AC16CF">
        <w:rPr>
          <w:b/>
          <w:bCs/>
          <w:sz w:val="20"/>
        </w:rPr>
        <w:t xml:space="preserve">    August 2</w:t>
      </w:r>
      <w:r w:rsidR="00D427B2">
        <w:rPr>
          <w:b/>
          <w:bCs/>
          <w:sz w:val="20"/>
        </w:rPr>
        <w:t>, 2016</w:t>
      </w:r>
      <w:r>
        <w:rPr>
          <w:b/>
          <w:bCs/>
          <w:sz w:val="20"/>
        </w:rPr>
        <w:tab/>
      </w:r>
    </w:p>
    <w:p w:rsidR="00504F80" w:rsidRDefault="00504F80" w:rsidP="00504F80">
      <w:pPr>
        <w:rPr>
          <w:b/>
          <w:bCs/>
          <w:sz w:val="20"/>
        </w:rPr>
      </w:pPr>
      <w:r>
        <w:rPr>
          <w:b/>
          <w:bCs/>
          <w:sz w:val="20"/>
        </w:rPr>
        <w:t>Washington, DC  20420</w:t>
      </w:r>
    </w:p>
    <w:p w:rsidR="00504F80" w:rsidRDefault="00504F80" w:rsidP="00504F80">
      <w:pPr>
        <w:rPr>
          <w:b/>
          <w:bCs/>
          <w:sz w:val="20"/>
        </w:rPr>
      </w:pPr>
    </w:p>
    <w:p w:rsidR="00504F80" w:rsidRDefault="00504F80" w:rsidP="00504F80">
      <w:pPr>
        <w:pStyle w:val="Heading4"/>
      </w:pPr>
      <w:r>
        <w:t xml:space="preserve">Transmittal Sheet </w:t>
      </w:r>
    </w:p>
    <w:p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rsidTr="00C24D50">
        <w:tc>
          <w:tcPr>
            <w:tcW w:w="1728" w:type="dxa"/>
          </w:tcPr>
          <w:p w:rsidR="00504F80" w:rsidRDefault="00504F80" w:rsidP="00237C22">
            <w:pPr>
              <w:pStyle w:val="Heading5"/>
            </w:pPr>
            <w:r>
              <w:t>Changes Included in This Revision</w:t>
            </w:r>
          </w:p>
        </w:tc>
        <w:tc>
          <w:tcPr>
            <w:tcW w:w="7740" w:type="dxa"/>
          </w:tcPr>
          <w:p w:rsidR="00504F80" w:rsidRDefault="00504F80" w:rsidP="00237C22">
            <w:pPr>
              <w:pStyle w:val="BlockText"/>
            </w:pPr>
            <w:r>
              <w:t xml:space="preserve">The table below describes the changes included in this revision of </w:t>
            </w:r>
            <w:r w:rsidR="002B4D4F">
              <w:t>Benefits Assistance Service Procedures</w:t>
            </w:r>
            <w:r>
              <w:t xml:space="preserve"> </w:t>
            </w:r>
            <w:r w:rsidR="00D427B2">
              <w:t xml:space="preserve">(BAS) </w:t>
            </w:r>
            <w:r>
              <w:t>M2</w:t>
            </w:r>
            <w:r w:rsidR="002B4D4F">
              <w:t>7</w:t>
            </w:r>
            <w:r>
              <w:t xml:space="preserve">-1, Part </w:t>
            </w:r>
            <w:r w:rsidR="00BB3345">
              <w:t>I</w:t>
            </w:r>
            <w:r>
              <w:t xml:space="preserve">, </w:t>
            </w:r>
            <w:r w:rsidR="00D427B2">
              <w:t xml:space="preserve">Chapter </w:t>
            </w:r>
            <w:r w:rsidR="00333CE0">
              <w:t xml:space="preserve">5 </w:t>
            </w:r>
            <w:r>
              <w:t>“</w:t>
            </w:r>
            <w:r w:rsidR="00333CE0">
              <w:t>Correspondence</w:t>
            </w:r>
            <w:r w:rsidR="00711FB3">
              <w:t>.</w:t>
            </w:r>
            <w:r>
              <w:t xml:space="preserve">” </w:t>
            </w:r>
          </w:p>
          <w:p w:rsidR="00504F80" w:rsidRPr="00450FD6" w:rsidRDefault="00504F80" w:rsidP="00237C22">
            <w:pPr>
              <w:pStyle w:val="BulletText1"/>
              <w:numPr>
                <w:ilvl w:val="0"/>
                <w:numId w:val="0"/>
              </w:numPr>
            </w:pPr>
          </w:p>
          <w:p w:rsidR="00504F80" w:rsidRDefault="00504F80" w:rsidP="00237C22">
            <w:pPr>
              <w:pStyle w:val="BulletText1"/>
              <w:numPr>
                <w:ilvl w:val="0"/>
                <w:numId w:val="0"/>
              </w:numPr>
            </w:pPr>
            <w:r>
              <w:rPr>
                <w:b/>
                <w:i/>
              </w:rPr>
              <w:t>Notes</w:t>
            </w:r>
            <w:r>
              <w:t xml:space="preserve">:  </w:t>
            </w:r>
          </w:p>
          <w:p w:rsidR="00504F80" w:rsidRDefault="00504F80" w:rsidP="00237C22">
            <w:pPr>
              <w:pStyle w:val="BulletText1"/>
            </w:pPr>
            <w:r>
              <w:t>The term regional office (RO) also includes pension management center</w:t>
            </w:r>
            <w:r w:rsidR="00C24D50">
              <w:t>, where appropriate</w:t>
            </w:r>
            <w:r>
              <w:t>.</w:t>
            </w:r>
          </w:p>
          <w:p w:rsidR="00504F80" w:rsidRDefault="00504F80" w:rsidP="00C24D50">
            <w:pPr>
              <w:pStyle w:val="BulletText1"/>
            </w:pPr>
            <w:r>
              <w:t xml:space="preserve">Minor editorial changes have also been made to </w:t>
            </w:r>
          </w:p>
          <w:p w:rsidR="00504F80" w:rsidRDefault="00504F80" w:rsidP="00237C22">
            <w:pPr>
              <w:pStyle w:val="BulletText2"/>
              <w:tabs>
                <w:tab w:val="num" w:pos="547"/>
              </w:tabs>
            </w:pPr>
            <w:r>
              <w:t>update incorrect or obsolete hyperlink references</w:t>
            </w:r>
          </w:p>
          <w:p w:rsidR="00504F80" w:rsidRDefault="00504F80" w:rsidP="00237C22">
            <w:pPr>
              <w:pStyle w:val="BulletText2"/>
              <w:tabs>
                <w:tab w:val="num" w:pos="547"/>
              </w:tabs>
            </w:pPr>
            <w:r>
              <w:t>update obsolete terminology, where appropriate</w:t>
            </w:r>
          </w:p>
          <w:p w:rsidR="003E2CA2" w:rsidRDefault="003E2CA2" w:rsidP="00237C22">
            <w:pPr>
              <w:pStyle w:val="BulletText2"/>
              <w:tabs>
                <w:tab w:val="num" w:pos="547"/>
              </w:tabs>
            </w:pPr>
            <w:r>
              <w:t>reassign alphabetical designations to individual blocks</w:t>
            </w:r>
            <w:r w:rsidR="00B0548B">
              <w:t xml:space="preserve"> and repag</w:t>
            </w:r>
            <w:bookmarkStart w:id="0" w:name="_GoBack"/>
            <w:bookmarkEnd w:id="0"/>
            <w:r w:rsidR="00B0548B">
              <w:t>inate</w:t>
            </w:r>
            <w:r>
              <w:t>, where necessary, to account for new and/or deleted blocks within a topic</w:t>
            </w:r>
          </w:p>
          <w:p w:rsidR="00C22ACB" w:rsidRDefault="00C22ACB" w:rsidP="00237C22">
            <w:pPr>
              <w:pStyle w:val="BulletText2"/>
              <w:tabs>
                <w:tab w:val="num" w:pos="547"/>
              </w:tabs>
            </w:pPr>
            <w:r>
              <w:t>correct grammatical and spelling errors</w:t>
            </w:r>
          </w:p>
          <w:p w:rsidR="00EA7E73" w:rsidRDefault="00EA7E73" w:rsidP="00237C22">
            <w:pPr>
              <w:pStyle w:val="BulletText2"/>
              <w:tabs>
                <w:tab w:val="num" w:pos="547"/>
              </w:tabs>
            </w:pPr>
            <w:r>
              <w:t>reorganize content within sections for better readability</w:t>
            </w:r>
          </w:p>
          <w:p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rsidR="00504F80" w:rsidRPr="00EA3A57" w:rsidRDefault="00551AD1" w:rsidP="002B4D4F">
            <w:pPr>
              <w:pStyle w:val="BulletText2"/>
            </w:pPr>
            <w:r>
              <w:t>bring the document</w:t>
            </w:r>
            <w:r w:rsidR="002B4D4F">
              <w:t xml:space="preserve"> into conformance with M27-1 </w:t>
            </w:r>
            <w:r w:rsidR="00504F80">
              <w:t>standards.</w:t>
            </w:r>
          </w:p>
        </w:tc>
      </w:tr>
    </w:tbl>
    <w:p w:rsidR="00C24D50" w:rsidRDefault="00C24D50" w:rsidP="00C24D50"/>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94"/>
        <w:gridCol w:w="1623"/>
        <w:gridCol w:w="987"/>
      </w:tblGrid>
      <w:tr w:rsidR="00C24D50" w:rsidTr="008B0387">
        <w:trPr>
          <w:trHeight w:val="180"/>
        </w:trPr>
        <w:tc>
          <w:tcPr>
            <w:tcW w:w="3627" w:type="pct"/>
            <w:shd w:val="clear" w:color="auto" w:fill="auto"/>
          </w:tcPr>
          <w:p w:rsidR="00C24D50" w:rsidRPr="00C24D50" w:rsidRDefault="00C24D50" w:rsidP="002F7397">
            <w:pPr>
              <w:pStyle w:val="TableHeaderText"/>
            </w:pPr>
            <w:r w:rsidRPr="00C24D50">
              <w:t>Reason(s) for the Change</w:t>
            </w:r>
          </w:p>
        </w:tc>
        <w:tc>
          <w:tcPr>
            <w:tcW w:w="854" w:type="pct"/>
            <w:shd w:val="clear" w:color="auto" w:fill="auto"/>
          </w:tcPr>
          <w:p w:rsidR="00C24D50" w:rsidRPr="00C24D50" w:rsidRDefault="00C24D50" w:rsidP="002F7397">
            <w:pPr>
              <w:pStyle w:val="TableHeaderText"/>
            </w:pPr>
            <w:r w:rsidRPr="00C24D50">
              <w:t>Citation</w:t>
            </w:r>
          </w:p>
        </w:tc>
        <w:tc>
          <w:tcPr>
            <w:tcW w:w="519" w:type="pct"/>
            <w:shd w:val="clear" w:color="auto" w:fill="auto"/>
          </w:tcPr>
          <w:p w:rsidR="00C24D50" w:rsidRDefault="00C24D50" w:rsidP="002F7397">
            <w:pPr>
              <w:pStyle w:val="TableHeaderText"/>
            </w:pPr>
            <w:r>
              <w:t>Page(s)</w:t>
            </w:r>
          </w:p>
        </w:tc>
      </w:tr>
      <w:tr w:rsidR="00C24D50" w:rsidTr="008B0387">
        <w:trPr>
          <w:trHeight w:val="180"/>
        </w:trPr>
        <w:tc>
          <w:tcPr>
            <w:tcW w:w="3627" w:type="pct"/>
            <w:shd w:val="clear" w:color="auto" w:fill="auto"/>
          </w:tcPr>
          <w:p w:rsidR="00C22ACB" w:rsidRPr="00C24D50" w:rsidRDefault="00D427B2" w:rsidP="00856C79">
            <w:pPr>
              <w:pStyle w:val="BulletText1"/>
              <w:numPr>
                <w:ilvl w:val="0"/>
                <w:numId w:val="11"/>
              </w:numPr>
            </w:pPr>
            <w:r>
              <w:t xml:space="preserve">Updated </w:t>
            </w:r>
            <w:r w:rsidR="00856C79">
              <w:t>name for Special Mail to Special Controlled Correspondence</w:t>
            </w:r>
            <w:r w:rsidR="001973A9">
              <w:t xml:space="preserve"> throughout chapter</w:t>
            </w:r>
          </w:p>
        </w:tc>
        <w:tc>
          <w:tcPr>
            <w:tcW w:w="854" w:type="pct"/>
            <w:shd w:val="clear" w:color="auto" w:fill="auto"/>
          </w:tcPr>
          <w:p w:rsidR="00C24D50" w:rsidRPr="00C24D50" w:rsidRDefault="00D427B2" w:rsidP="006661DB">
            <w:pPr>
              <w:pStyle w:val="TableText"/>
            </w:pPr>
            <w:r>
              <w:t>I.</w:t>
            </w:r>
            <w:r w:rsidR="00D67E3B">
              <w:t>5</w:t>
            </w:r>
          </w:p>
        </w:tc>
        <w:tc>
          <w:tcPr>
            <w:tcW w:w="519" w:type="pct"/>
            <w:shd w:val="clear" w:color="auto" w:fill="auto"/>
          </w:tcPr>
          <w:p w:rsidR="00C24D50" w:rsidRDefault="00C24D50" w:rsidP="002F7397">
            <w:pPr>
              <w:pStyle w:val="TableText"/>
            </w:pPr>
          </w:p>
        </w:tc>
      </w:tr>
      <w:tr w:rsidR="00856C79" w:rsidTr="008B0387">
        <w:trPr>
          <w:trHeight w:val="180"/>
        </w:trPr>
        <w:tc>
          <w:tcPr>
            <w:tcW w:w="3627" w:type="pct"/>
            <w:shd w:val="clear" w:color="auto" w:fill="auto"/>
          </w:tcPr>
          <w:p w:rsidR="00856C79" w:rsidRDefault="00856C79" w:rsidP="00D427B2">
            <w:pPr>
              <w:pStyle w:val="TableText"/>
              <w:numPr>
                <w:ilvl w:val="0"/>
                <w:numId w:val="11"/>
              </w:numPr>
            </w:pPr>
            <w:r>
              <w:t>Updated name for Routine Mail to Routine Non-Controlled Correspondence</w:t>
            </w:r>
            <w:r w:rsidR="001973A9">
              <w:t xml:space="preserve"> throughout chapter</w:t>
            </w:r>
          </w:p>
        </w:tc>
        <w:tc>
          <w:tcPr>
            <w:tcW w:w="854" w:type="pct"/>
            <w:shd w:val="clear" w:color="auto" w:fill="auto"/>
          </w:tcPr>
          <w:p w:rsidR="00856C79" w:rsidRDefault="00856C79" w:rsidP="00D427B2">
            <w:pPr>
              <w:pStyle w:val="TableText"/>
            </w:pPr>
            <w:r>
              <w:t>I.5</w:t>
            </w:r>
          </w:p>
        </w:tc>
        <w:tc>
          <w:tcPr>
            <w:tcW w:w="519" w:type="pct"/>
            <w:shd w:val="clear" w:color="auto" w:fill="auto"/>
          </w:tcPr>
          <w:p w:rsidR="00856C79" w:rsidRDefault="00856C79" w:rsidP="002F7397">
            <w:pPr>
              <w:pStyle w:val="TableText"/>
            </w:pPr>
          </w:p>
        </w:tc>
      </w:tr>
      <w:tr w:rsidR="004829F5" w:rsidTr="008B0387">
        <w:trPr>
          <w:trHeight w:val="180"/>
        </w:trPr>
        <w:tc>
          <w:tcPr>
            <w:tcW w:w="3627" w:type="pct"/>
            <w:shd w:val="clear" w:color="auto" w:fill="auto"/>
          </w:tcPr>
          <w:p w:rsidR="004829F5" w:rsidRDefault="004829F5" w:rsidP="001973A9">
            <w:pPr>
              <w:pStyle w:val="TableText"/>
              <w:numPr>
                <w:ilvl w:val="0"/>
                <w:numId w:val="11"/>
              </w:numPr>
            </w:pPr>
            <w:r>
              <w:t xml:space="preserve">Updated VA Form </w:t>
            </w:r>
            <w:r w:rsidR="001973A9">
              <w:t>number from</w:t>
            </w:r>
            <w:r>
              <w:t xml:space="preserve"> VA Form 21-0820 (series) to VA Form 27-0820 (series)</w:t>
            </w:r>
            <w:r w:rsidR="001973A9">
              <w:t xml:space="preserve"> throughout chapter</w:t>
            </w:r>
            <w:r w:rsidR="00775A6F">
              <w:t xml:space="preserve"> and table of content</w:t>
            </w:r>
          </w:p>
        </w:tc>
        <w:tc>
          <w:tcPr>
            <w:tcW w:w="854" w:type="pct"/>
            <w:shd w:val="clear" w:color="auto" w:fill="auto"/>
          </w:tcPr>
          <w:p w:rsidR="004829F5" w:rsidRDefault="004829F5" w:rsidP="00D427B2">
            <w:pPr>
              <w:pStyle w:val="TableText"/>
            </w:pPr>
            <w:r>
              <w:t>I.5</w:t>
            </w:r>
          </w:p>
        </w:tc>
        <w:tc>
          <w:tcPr>
            <w:tcW w:w="519" w:type="pct"/>
            <w:shd w:val="clear" w:color="auto" w:fill="auto"/>
          </w:tcPr>
          <w:p w:rsidR="004829F5" w:rsidRDefault="004829F5" w:rsidP="002F7397">
            <w:pPr>
              <w:pStyle w:val="TableText"/>
            </w:pPr>
          </w:p>
        </w:tc>
      </w:tr>
      <w:tr w:rsidR="00856C79" w:rsidTr="008B0387">
        <w:trPr>
          <w:trHeight w:val="180"/>
        </w:trPr>
        <w:tc>
          <w:tcPr>
            <w:tcW w:w="3627" w:type="pct"/>
            <w:shd w:val="clear" w:color="auto" w:fill="auto"/>
          </w:tcPr>
          <w:p w:rsidR="00856C79" w:rsidRDefault="00492184" w:rsidP="00EA7E73">
            <w:pPr>
              <w:pStyle w:val="TableText"/>
              <w:numPr>
                <w:ilvl w:val="0"/>
                <w:numId w:val="11"/>
              </w:numPr>
            </w:pPr>
            <w:r>
              <w:t>Removed</w:t>
            </w:r>
            <w:r w:rsidR="00EA7E73">
              <w:t xml:space="preserve"> information related to letter types pattern letters, form letters, Benefits Delivery Network</w:t>
            </w:r>
            <w:r w:rsidR="006A60AC">
              <w:t xml:space="preserve"> (BDN)</w:t>
            </w:r>
            <w:r w:rsidR="00EA7E73">
              <w:t xml:space="preserve"> letters, Veterans Service Network</w:t>
            </w:r>
            <w:r w:rsidR="006A60AC">
              <w:t xml:space="preserve"> (VETSNET)</w:t>
            </w:r>
            <w:r w:rsidR="00EA7E73">
              <w:t xml:space="preserve"> letters, Personal Computer Generated</w:t>
            </w:r>
            <w:r w:rsidR="006A60AC">
              <w:t xml:space="preserve"> (PCGL)</w:t>
            </w:r>
            <w:r w:rsidR="00EA7E73">
              <w:t xml:space="preserve"> Letters, Broome Closet</w:t>
            </w:r>
            <w:r w:rsidR="006A60AC">
              <w:t xml:space="preserve"> (BC)</w:t>
            </w:r>
            <w:r w:rsidR="00EA7E73">
              <w:t xml:space="preserve"> letters, and locally prepared letters that was either out-of-date, addressed in another manual reference, or system user guide.</w:t>
            </w:r>
          </w:p>
        </w:tc>
        <w:tc>
          <w:tcPr>
            <w:tcW w:w="854" w:type="pct"/>
            <w:shd w:val="clear" w:color="auto" w:fill="auto"/>
          </w:tcPr>
          <w:p w:rsidR="00856C79" w:rsidRDefault="00492184" w:rsidP="00D427B2">
            <w:pPr>
              <w:pStyle w:val="TableText"/>
            </w:pPr>
            <w:r>
              <w:t>I.5.1</w:t>
            </w:r>
          </w:p>
        </w:tc>
        <w:tc>
          <w:tcPr>
            <w:tcW w:w="519" w:type="pct"/>
            <w:shd w:val="clear" w:color="auto" w:fill="auto"/>
          </w:tcPr>
          <w:p w:rsidR="00856C79" w:rsidRDefault="001973A9" w:rsidP="002F7397">
            <w:pPr>
              <w:pStyle w:val="TableText"/>
            </w:pPr>
            <w:r>
              <w:t>I-5-3 to I-5-5</w:t>
            </w:r>
          </w:p>
        </w:tc>
      </w:tr>
      <w:tr w:rsidR="00EA7E73" w:rsidTr="008B0387">
        <w:trPr>
          <w:trHeight w:val="180"/>
        </w:trPr>
        <w:tc>
          <w:tcPr>
            <w:tcW w:w="3627" w:type="pct"/>
            <w:shd w:val="clear" w:color="auto" w:fill="auto"/>
          </w:tcPr>
          <w:p w:rsidR="00EA7E73" w:rsidRDefault="00EA7E73" w:rsidP="00EA7E73">
            <w:pPr>
              <w:pStyle w:val="TableText"/>
              <w:numPr>
                <w:ilvl w:val="0"/>
                <w:numId w:val="11"/>
              </w:numPr>
            </w:pPr>
            <w:r>
              <w:t>Updated to include examples of written communication types for clarity.</w:t>
            </w:r>
          </w:p>
        </w:tc>
        <w:tc>
          <w:tcPr>
            <w:tcW w:w="854" w:type="pct"/>
            <w:shd w:val="clear" w:color="auto" w:fill="auto"/>
          </w:tcPr>
          <w:p w:rsidR="00EA7E73" w:rsidRDefault="00EA7E73" w:rsidP="00D427B2">
            <w:pPr>
              <w:pStyle w:val="TableText"/>
            </w:pPr>
            <w:r>
              <w:t>I.5.1.a</w:t>
            </w:r>
          </w:p>
        </w:tc>
        <w:tc>
          <w:tcPr>
            <w:tcW w:w="519" w:type="pct"/>
            <w:shd w:val="clear" w:color="auto" w:fill="auto"/>
          </w:tcPr>
          <w:p w:rsidR="00EA7E73" w:rsidRDefault="001973A9" w:rsidP="002F7397">
            <w:pPr>
              <w:pStyle w:val="TableText"/>
            </w:pPr>
            <w:r>
              <w:t>I-5-3</w:t>
            </w:r>
          </w:p>
        </w:tc>
      </w:tr>
      <w:tr w:rsidR="00861E6F" w:rsidTr="008B0387">
        <w:trPr>
          <w:trHeight w:val="180"/>
        </w:trPr>
        <w:tc>
          <w:tcPr>
            <w:tcW w:w="3627" w:type="pct"/>
            <w:shd w:val="clear" w:color="auto" w:fill="auto"/>
          </w:tcPr>
          <w:p w:rsidR="00D427B2" w:rsidRDefault="00D427B2" w:rsidP="00EA7E73">
            <w:pPr>
              <w:pStyle w:val="TableText"/>
              <w:numPr>
                <w:ilvl w:val="0"/>
                <w:numId w:val="11"/>
              </w:numPr>
            </w:pPr>
            <w:r>
              <w:t xml:space="preserve">Updated </w:t>
            </w:r>
            <w:r w:rsidR="00EA7E73">
              <w:t>General Rules for Effective Correspondence to include requirement that prepared correspondence must have the proper grammar, tone, and sentence structure.</w:t>
            </w:r>
          </w:p>
        </w:tc>
        <w:tc>
          <w:tcPr>
            <w:tcW w:w="854" w:type="pct"/>
            <w:shd w:val="clear" w:color="auto" w:fill="auto"/>
          </w:tcPr>
          <w:p w:rsidR="00861E6F" w:rsidRDefault="00EA7E73" w:rsidP="00D427B2">
            <w:pPr>
              <w:pStyle w:val="TableText"/>
            </w:pPr>
            <w:r>
              <w:t>I.5.1.b</w:t>
            </w:r>
          </w:p>
        </w:tc>
        <w:tc>
          <w:tcPr>
            <w:tcW w:w="519" w:type="pct"/>
            <w:shd w:val="clear" w:color="auto" w:fill="auto"/>
          </w:tcPr>
          <w:p w:rsidR="00861E6F" w:rsidRDefault="001973A9" w:rsidP="002F7397">
            <w:pPr>
              <w:pStyle w:val="TableText"/>
            </w:pPr>
            <w:r>
              <w:t>I-5-3</w:t>
            </w:r>
          </w:p>
        </w:tc>
      </w:tr>
      <w:tr w:rsidR="001C4D99" w:rsidTr="008B0387">
        <w:trPr>
          <w:trHeight w:val="180"/>
        </w:trPr>
        <w:tc>
          <w:tcPr>
            <w:tcW w:w="3627" w:type="pct"/>
            <w:shd w:val="clear" w:color="auto" w:fill="auto"/>
          </w:tcPr>
          <w:p w:rsidR="00D427B2" w:rsidRDefault="005355F5" w:rsidP="00D427B2">
            <w:pPr>
              <w:pStyle w:val="TableText"/>
              <w:numPr>
                <w:ilvl w:val="0"/>
                <w:numId w:val="11"/>
              </w:numPr>
            </w:pPr>
            <w:r>
              <w:t>Block</w:t>
            </w:r>
            <w:r w:rsidR="00EA7E73">
              <w:t xml:space="preserve"> title changed from “Types of Letters Used by VBA” to “Systems Used to Create Correspondence</w:t>
            </w:r>
            <w:r w:rsidR="00C635D3">
              <w:t>.</w:t>
            </w:r>
            <w:r w:rsidR="00EA7E73">
              <w:t>”</w:t>
            </w:r>
            <w:r w:rsidR="00C635D3">
              <w:t xml:space="preserve">  </w:t>
            </w:r>
            <w:r w:rsidR="00EA7E73">
              <w:t xml:space="preserve">  </w:t>
            </w:r>
          </w:p>
        </w:tc>
        <w:tc>
          <w:tcPr>
            <w:tcW w:w="854" w:type="pct"/>
            <w:shd w:val="clear" w:color="auto" w:fill="auto"/>
          </w:tcPr>
          <w:p w:rsidR="001C4D99" w:rsidRDefault="00EA7E73" w:rsidP="00D427B2">
            <w:pPr>
              <w:pStyle w:val="TableText"/>
            </w:pPr>
            <w:r>
              <w:t>I.5.1.c</w:t>
            </w:r>
          </w:p>
        </w:tc>
        <w:tc>
          <w:tcPr>
            <w:tcW w:w="519" w:type="pct"/>
            <w:shd w:val="clear" w:color="auto" w:fill="auto"/>
          </w:tcPr>
          <w:p w:rsidR="001C4D99" w:rsidRDefault="001973A9" w:rsidP="002F7397">
            <w:pPr>
              <w:pStyle w:val="TableText"/>
            </w:pPr>
            <w:r>
              <w:t>I-5-4</w:t>
            </w:r>
          </w:p>
        </w:tc>
      </w:tr>
      <w:tr w:rsidR="00BB2D73" w:rsidTr="008B0387">
        <w:trPr>
          <w:trHeight w:val="180"/>
        </w:trPr>
        <w:tc>
          <w:tcPr>
            <w:tcW w:w="3627" w:type="pct"/>
            <w:shd w:val="clear" w:color="auto" w:fill="auto"/>
          </w:tcPr>
          <w:p w:rsidR="00BB2D73" w:rsidRDefault="005355F5" w:rsidP="00BB2D73">
            <w:pPr>
              <w:pStyle w:val="TableText"/>
              <w:numPr>
                <w:ilvl w:val="0"/>
                <w:numId w:val="11"/>
              </w:numPr>
            </w:pPr>
            <w:r>
              <w:t>Block</w:t>
            </w:r>
            <w:r w:rsidR="00C635D3">
              <w:t xml:space="preserve"> updated with the following changes:</w:t>
            </w:r>
          </w:p>
          <w:p w:rsidR="00C635D3" w:rsidRDefault="00C635D3" w:rsidP="00C635D3">
            <w:pPr>
              <w:pStyle w:val="TableText"/>
              <w:numPr>
                <w:ilvl w:val="1"/>
                <w:numId w:val="11"/>
              </w:numPr>
            </w:pPr>
            <w:r>
              <w:t xml:space="preserve">Removed information on pattern letters, VA form letters, BDN letters, PCGL, BC letters, VETSNET </w:t>
            </w:r>
            <w:r>
              <w:lastRenderedPageBreak/>
              <w:t>letters, and locally prepared letters as information is out of date and no longer applicable or is covered in other manuals or user guides.</w:t>
            </w:r>
            <w:r w:rsidR="00ED36E4">
              <w:t xml:space="preserve">  Specific information on each section is provided below.</w:t>
            </w:r>
          </w:p>
          <w:p w:rsidR="00C635D3" w:rsidRDefault="000074AE" w:rsidP="00C635D3">
            <w:pPr>
              <w:pStyle w:val="TableText"/>
              <w:numPr>
                <w:ilvl w:val="1"/>
                <w:numId w:val="11"/>
              </w:numPr>
            </w:pPr>
            <w:r>
              <w:t>Added content to identify the systems utilized to create correspondence.</w:t>
            </w:r>
          </w:p>
        </w:tc>
        <w:tc>
          <w:tcPr>
            <w:tcW w:w="854" w:type="pct"/>
            <w:shd w:val="clear" w:color="auto" w:fill="auto"/>
          </w:tcPr>
          <w:p w:rsidR="00BB2D73" w:rsidRDefault="00C635D3" w:rsidP="002F7397">
            <w:pPr>
              <w:pStyle w:val="TableText"/>
            </w:pPr>
            <w:r>
              <w:lastRenderedPageBreak/>
              <w:t>I.5.1.c</w:t>
            </w:r>
          </w:p>
        </w:tc>
        <w:tc>
          <w:tcPr>
            <w:tcW w:w="519" w:type="pct"/>
            <w:shd w:val="clear" w:color="auto" w:fill="auto"/>
          </w:tcPr>
          <w:p w:rsidR="00BB2D73" w:rsidRDefault="001973A9" w:rsidP="002F7397">
            <w:pPr>
              <w:pStyle w:val="TableText"/>
            </w:pPr>
            <w:r>
              <w:t>I-5-4</w:t>
            </w:r>
          </w:p>
        </w:tc>
      </w:tr>
      <w:tr w:rsidR="00BB2D73" w:rsidTr="008B0387">
        <w:trPr>
          <w:trHeight w:val="180"/>
        </w:trPr>
        <w:tc>
          <w:tcPr>
            <w:tcW w:w="3627" w:type="pct"/>
            <w:shd w:val="clear" w:color="auto" w:fill="auto"/>
          </w:tcPr>
          <w:p w:rsidR="00BB2D73" w:rsidRDefault="00ED36E4" w:rsidP="0056460F">
            <w:pPr>
              <w:pStyle w:val="TableText"/>
              <w:numPr>
                <w:ilvl w:val="0"/>
                <w:numId w:val="11"/>
              </w:numPr>
            </w:pPr>
            <w:r>
              <w:lastRenderedPageBreak/>
              <w:t xml:space="preserve">Removed </w:t>
            </w:r>
            <w:r w:rsidR="005355F5">
              <w:t>block</w:t>
            </w:r>
            <w:r w:rsidR="0056460F">
              <w:t xml:space="preserve"> on </w:t>
            </w:r>
            <w:r>
              <w:t xml:space="preserve">Pattern Letters </w:t>
            </w:r>
          </w:p>
        </w:tc>
        <w:tc>
          <w:tcPr>
            <w:tcW w:w="854" w:type="pct"/>
            <w:shd w:val="clear" w:color="auto" w:fill="auto"/>
          </w:tcPr>
          <w:p w:rsidR="00BB2D73" w:rsidRDefault="00ED36E4" w:rsidP="002F7397">
            <w:pPr>
              <w:pStyle w:val="TableText"/>
            </w:pPr>
            <w:r>
              <w:t>I.5.1.d</w:t>
            </w:r>
          </w:p>
        </w:tc>
        <w:tc>
          <w:tcPr>
            <w:tcW w:w="519" w:type="pct"/>
            <w:shd w:val="clear" w:color="auto" w:fill="auto"/>
          </w:tcPr>
          <w:p w:rsidR="00BB2D73" w:rsidRDefault="00BB2D73" w:rsidP="002F7397">
            <w:pPr>
              <w:pStyle w:val="TableText"/>
            </w:pPr>
          </w:p>
        </w:tc>
      </w:tr>
      <w:tr w:rsidR="00B95117" w:rsidTr="008B0387">
        <w:trPr>
          <w:trHeight w:val="180"/>
        </w:trPr>
        <w:tc>
          <w:tcPr>
            <w:tcW w:w="3627" w:type="pct"/>
            <w:shd w:val="clear" w:color="auto" w:fill="auto"/>
          </w:tcPr>
          <w:p w:rsidR="00B95117" w:rsidRDefault="00ED36E4" w:rsidP="0056460F">
            <w:pPr>
              <w:pStyle w:val="TableText"/>
              <w:numPr>
                <w:ilvl w:val="0"/>
                <w:numId w:val="11"/>
              </w:numPr>
            </w:pPr>
            <w:r>
              <w:t xml:space="preserve">Removed </w:t>
            </w:r>
            <w:r w:rsidR="005355F5">
              <w:t>block</w:t>
            </w:r>
            <w:r>
              <w:t xml:space="preserve"> on VA Form Letters </w:t>
            </w:r>
          </w:p>
        </w:tc>
        <w:tc>
          <w:tcPr>
            <w:tcW w:w="854" w:type="pct"/>
            <w:shd w:val="clear" w:color="auto" w:fill="auto"/>
          </w:tcPr>
          <w:p w:rsidR="00B95117" w:rsidRDefault="00ED36E4" w:rsidP="002F7397">
            <w:pPr>
              <w:pStyle w:val="TableText"/>
            </w:pPr>
            <w:r>
              <w:t>I.5.1.e</w:t>
            </w:r>
          </w:p>
        </w:tc>
        <w:tc>
          <w:tcPr>
            <w:tcW w:w="519" w:type="pct"/>
            <w:shd w:val="clear" w:color="auto" w:fill="auto"/>
          </w:tcPr>
          <w:p w:rsidR="00B95117" w:rsidRDefault="00B95117" w:rsidP="002F7397">
            <w:pPr>
              <w:pStyle w:val="TableText"/>
            </w:pPr>
          </w:p>
        </w:tc>
      </w:tr>
      <w:tr w:rsidR="00ED36E4" w:rsidTr="008B0387">
        <w:trPr>
          <w:trHeight w:val="180"/>
        </w:trPr>
        <w:tc>
          <w:tcPr>
            <w:tcW w:w="3627" w:type="pct"/>
            <w:shd w:val="clear" w:color="auto" w:fill="auto"/>
          </w:tcPr>
          <w:p w:rsidR="00ED36E4" w:rsidRDefault="00ED36E4" w:rsidP="00ED36E4">
            <w:pPr>
              <w:pStyle w:val="TableText"/>
              <w:numPr>
                <w:ilvl w:val="0"/>
                <w:numId w:val="11"/>
              </w:numPr>
            </w:pPr>
            <w:r>
              <w:t xml:space="preserve">Removed </w:t>
            </w:r>
            <w:r w:rsidR="005355F5">
              <w:t>block</w:t>
            </w:r>
            <w:r>
              <w:t xml:space="preserve"> on BDN Letters</w:t>
            </w:r>
          </w:p>
        </w:tc>
        <w:tc>
          <w:tcPr>
            <w:tcW w:w="854" w:type="pct"/>
            <w:shd w:val="clear" w:color="auto" w:fill="auto"/>
          </w:tcPr>
          <w:p w:rsidR="00ED36E4" w:rsidRDefault="00ED36E4" w:rsidP="002F7397">
            <w:pPr>
              <w:pStyle w:val="TableText"/>
            </w:pPr>
            <w:r>
              <w:t>I.5.1.f</w:t>
            </w:r>
          </w:p>
        </w:tc>
        <w:tc>
          <w:tcPr>
            <w:tcW w:w="519" w:type="pct"/>
            <w:shd w:val="clear" w:color="auto" w:fill="auto"/>
          </w:tcPr>
          <w:p w:rsidR="00ED36E4" w:rsidRDefault="00ED36E4" w:rsidP="002F7397">
            <w:pPr>
              <w:pStyle w:val="TableText"/>
            </w:pPr>
          </w:p>
        </w:tc>
      </w:tr>
      <w:tr w:rsidR="00ED36E4" w:rsidTr="008B0387">
        <w:trPr>
          <w:trHeight w:val="180"/>
        </w:trPr>
        <w:tc>
          <w:tcPr>
            <w:tcW w:w="3627" w:type="pct"/>
            <w:shd w:val="clear" w:color="auto" w:fill="auto"/>
          </w:tcPr>
          <w:p w:rsidR="00ED36E4" w:rsidRDefault="00ED36E4" w:rsidP="00ED36E4">
            <w:pPr>
              <w:pStyle w:val="TableText"/>
              <w:numPr>
                <w:ilvl w:val="0"/>
                <w:numId w:val="11"/>
              </w:numPr>
            </w:pPr>
            <w:r>
              <w:t xml:space="preserve">Removed </w:t>
            </w:r>
            <w:r w:rsidR="005355F5">
              <w:t>block</w:t>
            </w:r>
            <w:r>
              <w:t xml:space="preserve"> on Letters Generated via PCGL</w:t>
            </w:r>
          </w:p>
        </w:tc>
        <w:tc>
          <w:tcPr>
            <w:tcW w:w="854" w:type="pct"/>
            <w:shd w:val="clear" w:color="auto" w:fill="auto"/>
          </w:tcPr>
          <w:p w:rsidR="00ED36E4" w:rsidRDefault="00ED36E4" w:rsidP="002F7397">
            <w:pPr>
              <w:pStyle w:val="TableText"/>
            </w:pPr>
            <w:r>
              <w:t>I.5.1.g</w:t>
            </w:r>
          </w:p>
        </w:tc>
        <w:tc>
          <w:tcPr>
            <w:tcW w:w="519" w:type="pct"/>
            <w:shd w:val="clear" w:color="auto" w:fill="auto"/>
          </w:tcPr>
          <w:p w:rsidR="00ED36E4" w:rsidRDefault="00ED36E4" w:rsidP="002F7397">
            <w:pPr>
              <w:pStyle w:val="TableText"/>
            </w:pPr>
          </w:p>
        </w:tc>
      </w:tr>
      <w:tr w:rsidR="00ED36E4" w:rsidTr="008B0387">
        <w:trPr>
          <w:trHeight w:val="180"/>
        </w:trPr>
        <w:tc>
          <w:tcPr>
            <w:tcW w:w="3627" w:type="pct"/>
            <w:shd w:val="clear" w:color="auto" w:fill="auto"/>
          </w:tcPr>
          <w:p w:rsidR="00ED36E4" w:rsidRDefault="00ED36E4" w:rsidP="006A60AC">
            <w:pPr>
              <w:pStyle w:val="TableText"/>
              <w:numPr>
                <w:ilvl w:val="0"/>
                <w:numId w:val="11"/>
              </w:numPr>
            </w:pPr>
            <w:r>
              <w:t xml:space="preserve">Removed </w:t>
            </w:r>
            <w:r w:rsidR="005355F5">
              <w:t>block</w:t>
            </w:r>
            <w:r>
              <w:t xml:space="preserve"> on Letters Generated via </w:t>
            </w:r>
            <w:r w:rsidR="006A60AC">
              <w:t>BC.</w:t>
            </w:r>
            <w:r>
              <w:t xml:space="preserve"> </w:t>
            </w:r>
          </w:p>
        </w:tc>
        <w:tc>
          <w:tcPr>
            <w:tcW w:w="854" w:type="pct"/>
            <w:shd w:val="clear" w:color="auto" w:fill="auto"/>
          </w:tcPr>
          <w:p w:rsidR="00ED36E4" w:rsidRDefault="00ED36E4" w:rsidP="002F7397">
            <w:pPr>
              <w:pStyle w:val="TableText"/>
            </w:pPr>
            <w:r>
              <w:t>I.5.1.h</w:t>
            </w:r>
          </w:p>
        </w:tc>
        <w:tc>
          <w:tcPr>
            <w:tcW w:w="519" w:type="pct"/>
            <w:shd w:val="clear" w:color="auto" w:fill="auto"/>
          </w:tcPr>
          <w:p w:rsidR="00ED36E4" w:rsidRDefault="00ED36E4" w:rsidP="002F7397">
            <w:pPr>
              <w:pStyle w:val="TableText"/>
            </w:pPr>
          </w:p>
        </w:tc>
      </w:tr>
      <w:tr w:rsidR="00ED36E4" w:rsidTr="008B0387">
        <w:trPr>
          <w:trHeight w:val="180"/>
        </w:trPr>
        <w:tc>
          <w:tcPr>
            <w:tcW w:w="3627" w:type="pct"/>
            <w:shd w:val="clear" w:color="auto" w:fill="auto"/>
          </w:tcPr>
          <w:p w:rsidR="00ED36E4" w:rsidRDefault="005355F5" w:rsidP="00ED36E4">
            <w:pPr>
              <w:pStyle w:val="TableText"/>
              <w:numPr>
                <w:ilvl w:val="0"/>
                <w:numId w:val="11"/>
              </w:numPr>
            </w:pPr>
            <w:r>
              <w:t>Removed block</w:t>
            </w:r>
            <w:r w:rsidR="00ED36E4">
              <w:t xml:space="preserve"> on VETSNET Letters</w:t>
            </w:r>
          </w:p>
        </w:tc>
        <w:tc>
          <w:tcPr>
            <w:tcW w:w="854" w:type="pct"/>
            <w:shd w:val="clear" w:color="auto" w:fill="auto"/>
          </w:tcPr>
          <w:p w:rsidR="00ED36E4" w:rsidRDefault="00ED36E4" w:rsidP="002F7397">
            <w:pPr>
              <w:pStyle w:val="TableText"/>
            </w:pPr>
            <w:r>
              <w:t>I.5.1.i</w:t>
            </w:r>
          </w:p>
        </w:tc>
        <w:tc>
          <w:tcPr>
            <w:tcW w:w="519" w:type="pct"/>
            <w:shd w:val="clear" w:color="auto" w:fill="auto"/>
          </w:tcPr>
          <w:p w:rsidR="00ED36E4" w:rsidRDefault="00ED36E4" w:rsidP="002F7397">
            <w:pPr>
              <w:pStyle w:val="TableText"/>
            </w:pPr>
          </w:p>
        </w:tc>
      </w:tr>
      <w:tr w:rsidR="00ED36E4" w:rsidTr="008B0387">
        <w:trPr>
          <w:trHeight w:val="180"/>
        </w:trPr>
        <w:tc>
          <w:tcPr>
            <w:tcW w:w="3627" w:type="pct"/>
            <w:shd w:val="clear" w:color="auto" w:fill="auto"/>
          </w:tcPr>
          <w:p w:rsidR="00ED36E4" w:rsidRDefault="00ED36E4" w:rsidP="00ED36E4">
            <w:pPr>
              <w:pStyle w:val="TableText"/>
              <w:numPr>
                <w:ilvl w:val="0"/>
                <w:numId w:val="11"/>
              </w:numPr>
            </w:pPr>
            <w:r>
              <w:t xml:space="preserve">Removed </w:t>
            </w:r>
            <w:r w:rsidR="005355F5">
              <w:t>block</w:t>
            </w:r>
            <w:r>
              <w:t xml:space="preserve"> on Locally Prepared Letters</w:t>
            </w:r>
          </w:p>
        </w:tc>
        <w:tc>
          <w:tcPr>
            <w:tcW w:w="854" w:type="pct"/>
            <w:shd w:val="clear" w:color="auto" w:fill="auto"/>
          </w:tcPr>
          <w:p w:rsidR="00ED36E4" w:rsidRDefault="00ED36E4" w:rsidP="002F7397">
            <w:pPr>
              <w:pStyle w:val="TableText"/>
            </w:pPr>
            <w:r>
              <w:t>I.5.1.j</w:t>
            </w:r>
          </w:p>
        </w:tc>
        <w:tc>
          <w:tcPr>
            <w:tcW w:w="519" w:type="pct"/>
            <w:shd w:val="clear" w:color="auto" w:fill="auto"/>
          </w:tcPr>
          <w:p w:rsidR="00ED36E4" w:rsidRDefault="00ED36E4" w:rsidP="002F7397">
            <w:pPr>
              <w:pStyle w:val="TableText"/>
            </w:pPr>
          </w:p>
        </w:tc>
      </w:tr>
      <w:tr w:rsidR="00ED36E4" w:rsidTr="008B0387">
        <w:trPr>
          <w:trHeight w:val="180"/>
        </w:trPr>
        <w:tc>
          <w:tcPr>
            <w:tcW w:w="3627" w:type="pct"/>
            <w:shd w:val="clear" w:color="auto" w:fill="auto"/>
          </w:tcPr>
          <w:p w:rsidR="00ED36E4" w:rsidRDefault="005355F5" w:rsidP="00E07451">
            <w:pPr>
              <w:pStyle w:val="TableText"/>
              <w:numPr>
                <w:ilvl w:val="0"/>
                <w:numId w:val="11"/>
              </w:numPr>
            </w:pPr>
            <w:r>
              <w:t>Block</w:t>
            </w:r>
            <w:r w:rsidR="00ED36E4">
              <w:t xml:space="preserve"> on Amount Letters to Estranged Spouses (for Social Security Purposes) reorganized to I.5.</w:t>
            </w:r>
            <w:r w:rsidR="00E07451">
              <w:t>1.d</w:t>
            </w:r>
          </w:p>
        </w:tc>
        <w:tc>
          <w:tcPr>
            <w:tcW w:w="854" w:type="pct"/>
            <w:shd w:val="clear" w:color="auto" w:fill="auto"/>
          </w:tcPr>
          <w:p w:rsidR="00ED36E4" w:rsidRDefault="00ED36E4" w:rsidP="002F7397">
            <w:pPr>
              <w:pStyle w:val="TableText"/>
            </w:pPr>
            <w:r>
              <w:t>I.5.1.k</w:t>
            </w:r>
          </w:p>
        </w:tc>
        <w:tc>
          <w:tcPr>
            <w:tcW w:w="519" w:type="pct"/>
            <w:shd w:val="clear" w:color="auto" w:fill="auto"/>
          </w:tcPr>
          <w:p w:rsidR="00ED36E4" w:rsidRDefault="001973A9" w:rsidP="002F7397">
            <w:pPr>
              <w:pStyle w:val="TableText"/>
            </w:pPr>
            <w:r>
              <w:t>I-5-4</w:t>
            </w:r>
          </w:p>
        </w:tc>
      </w:tr>
      <w:tr w:rsidR="00E07451" w:rsidTr="008B0387">
        <w:trPr>
          <w:trHeight w:val="180"/>
        </w:trPr>
        <w:tc>
          <w:tcPr>
            <w:tcW w:w="3627" w:type="pct"/>
            <w:shd w:val="clear" w:color="auto" w:fill="auto"/>
          </w:tcPr>
          <w:p w:rsidR="00E07451" w:rsidRDefault="005355F5" w:rsidP="00E07451">
            <w:pPr>
              <w:pStyle w:val="TableText"/>
              <w:numPr>
                <w:ilvl w:val="0"/>
                <w:numId w:val="11"/>
              </w:numPr>
            </w:pPr>
            <w:r>
              <w:t>Block</w:t>
            </w:r>
            <w:r w:rsidR="00E07451">
              <w:t xml:space="preserve"> on Disability Percent Letters or Civil Service Preference Letters Requested by Veterans Returned to Active Duty reorganized to I.5.1.e</w:t>
            </w:r>
          </w:p>
        </w:tc>
        <w:tc>
          <w:tcPr>
            <w:tcW w:w="854" w:type="pct"/>
            <w:shd w:val="clear" w:color="auto" w:fill="auto"/>
          </w:tcPr>
          <w:p w:rsidR="00E07451" w:rsidRDefault="007741C0" w:rsidP="002F7397">
            <w:pPr>
              <w:pStyle w:val="TableText"/>
            </w:pPr>
            <w:r>
              <w:t>I.5.1.l</w:t>
            </w:r>
          </w:p>
        </w:tc>
        <w:tc>
          <w:tcPr>
            <w:tcW w:w="519" w:type="pct"/>
            <w:shd w:val="clear" w:color="auto" w:fill="auto"/>
          </w:tcPr>
          <w:p w:rsidR="00E07451" w:rsidRDefault="001973A9" w:rsidP="002F7397">
            <w:pPr>
              <w:pStyle w:val="TableText"/>
            </w:pPr>
            <w:r>
              <w:t>I-5-5</w:t>
            </w:r>
          </w:p>
        </w:tc>
      </w:tr>
      <w:tr w:rsidR="00D71A0A" w:rsidTr="008B0387">
        <w:trPr>
          <w:trHeight w:val="180"/>
        </w:trPr>
        <w:tc>
          <w:tcPr>
            <w:tcW w:w="3627" w:type="pct"/>
            <w:shd w:val="clear" w:color="auto" w:fill="auto"/>
          </w:tcPr>
          <w:p w:rsidR="00D71A0A" w:rsidRDefault="00D71A0A" w:rsidP="006A60AC">
            <w:pPr>
              <w:pStyle w:val="TableText"/>
              <w:numPr>
                <w:ilvl w:val="0"/>
                <w:numId w:val="11"/>
              </w:numPr>
            </w:pPr>
            <w:r>
              <w:t>Added correspondence signature authority information for the RO Public Contact Teams (PCT)</w:t>
            </w:r>
          </w:p>
        </w:tc>
        <w:tc>
          <w:tcPr>
            <w:tcW w:w="854" w:type="pct"/>
            <w:shd w:val="clear" w:color="auto" w:fill="auto"/>
          </w:tcPr>
          <w:p w:rsidR="00D71A0A" w:rsidRDefault="00D71A0A" w:rsidP="002F7397">
            <w:pPr>
              <w:pStyle w:val="TableText"/>
            </w:pPr>
            <w:r>
              <w:t>I.5.2</w:t>
            </w:r>
          </w:p>
        </w:tc>
        <w:tc>
          <w:tcPr>
            <w:tcW w:w="519" w:type="pct"/>
            <w:shd w:val="clear" w:color="auto" w:fill="auto"/>
          </w:tcPr>
          <w:p w:rsidR="00D71A0A" w:rsidRDefault="00D71A0A" w:rsidP="002F7397">
            <w:pPr>
              <w:pStyle w:val="TableText"/>
            </w:pPr>
            <w:r>
              <w:t>I-5-6</w:t>
            </w:r>
          </w:p>
        </w:tc>
      </w:tr>
      <w:tr w:rsidR="00D71A0A" w:rsidTr="008B0387">
        <w:trPr>
          <w:trHeight w:val="180"/>
        </w:trPr>
        <w:tc>
          <w:tcPr>
            <w:tcW w:w="3627" w:type="pct"/>
            <w:shd w:val="clear" w:color="auto" w:fill="auto"/>
          </w:tcPr>
          <w:p w:rsidR="00D71A0A" w:rsidRDefault="00D71A0A" w:rsidP="00E07451">
            <w:pPr>
              <w:pStyle w:val="TableText"/>
              <w:numPr>
                <w:ilvl w:val="0"/>
                <w:numId w:val="11"/>
              </w:numPr>
            </w:pPr>
            <w:r>
              <w:t>Updated name from Inquiry Routing and Information System (IRIS) Response Center (IRC) to National IRIS Response Center (NIRC)</w:t>
            </w:r>
          </w:p>
        </w:tc>
        <w:tc>
          <w:tcPr>
            <w:tcW w:w="854" w:type="pct"/>
            <w:shd w:val="clear" w:color="auto" w:fill="auto"/>
          </w:tcPr>
          <w:p w:rsidR="00D71A0A" w:rsidRDefault="00D71A0A" w:rsidP="002F7397">
            <w:pPr>
              <w:pStyle w:val="TableText"/>
            </w:pPr>
            <w:r>
              <w:t>I.5.2</w:t>
            </w:r>
          </w:p>
        </w:tc>
        <w:tc>
          <w:tcPr>
            <w:tcW w:w="519" w:type="pct"/>
            <w:shd w:val="clear" w:color="auto" w:fill="auto"/>
          </w:tcPr>
          <w:p w:rsidR="00D71A0A" w:rsidRDefault="00D71A0A" w:rsidP="002F7397">
            <w:pPr>
              <w:pStyle w:val="TableText"/>
            </w:pPr>
            <w:r>
              <w:t>I-5-6</w:t>
            </w:r>
          </w:p>
        </w:tc>
      </w:tr>
      <w:tr w:rsidR="00E07451" w:rsidTr="008B0387">
        <w:trPr>
          <w:trHeight w:val="180"/>
        </w:trPr>
        <w:tc>
          <w:tcPr>
            <w:tcW w:w="3627" w:type="pct"/>
            <w:shd w:val="clear" w:color="auto" w:fill="auto"/>
          </w:tcPr>
          <w:p w:rsidR="00E07451" w:rsidRDefault="005355F5" w:rsidP="006A60AC">
            <w:pPr>
              <w:pStyle w:val="TableText"/>
              <w:numPr>
                <w:ilvl w:val="0"/>
                <w:numId w:val="11"/>
              </w:numPr>
            </w:pPr>
            <w:r>
              <w:t>Block</w:t>
            </w:r>
            <w:r w:rsidR="00E07451">
              <w:t xml:space="preserve"> updated to </w:t>
            </w:r>
            <w:r w:rsidR="00002543">
              <w:t>change signature requirements from the signature of the National Call Center Manager</w:t>
            </w:r>
            <w:r w:rsidR="007741C0">
              <w:t xml:space="preserve"> (NCCM)</w:t>
            </w:r>
            <w:r w:rsidR="00002543">
              <w:t xml:space="preserve"> to the standard RO header and signature block.</w:t>
            </w:r>
          </w:p>
        </w:tc>
        <w:tc>
          <w:tcPr>
            <w:tcW w:w="854" w:type="pct"/>
            <w:shd w:val="clear" w:color="auto" w:fill="auto"/>
          </w:tcPr>
          <w:p w:rsidR="00E07451" w:rsidRDefault="007741C0" w:rsidP="002F7397">
            <w:pPr>
              <w:pStyle w:val="TableText"/>
            </w:pPr>
            <w:r>
              <w:t>I.5.2.a</w:t>
            </w:r>
          </w:p>
        </w:tc>
        <w:tc>
          <w:tcPr>
            <w:tcW w:w="519" w:type="pct"/>
            <w:shd w:val="clear" w:color="auto" w:fill="auto"/>
          </w:tcPr>
          <w:p w:rsidR="00E07451" w:rsidRDefault="001973A9" w:rsidP="002F7397">
            <w:pPr>
              <w:pStyle w:val="TableText"/>
            </w:pPr>
            <w:r>
              <w:t>I-5-6</w:t>
            </w:r>
          </w:p>
        </w:tc>
      </w:tr>
      <w:tr w:rsidR="007741C0" w:rsidTr="008B0387">
        <w:trPr>
          <w:trHeight w:val="180"/>
        </w:trPr>
        <w:tc>
          <w:tcPr>
            <w:tcW w:w="3627" w:type="pct"/>
            <w:shd w:val="clear" w:color="auto" w:fill="auto"/>
          </w:tcPr>
          <w:p w:rsidR="007741C0" w:rsidRDefault="005355F5" w:rsidP="00E07451">
            <w:pPr>
              <w:pStyle w:val="TableText"/>
              <w:numPr>
                <w:ilvl w:val="0"/>
                <w:numId w:val="11"/>
              </w:numPr>
            </w:pPr>
            <w:r>
              <w:t>Block</w:t>
            </w:r>
            <w:r w:rsidR="007741C0">
              <w:t xml:space="preserve"> outlining the requirements for signing documents created by the National Call Centers (NCC), the National IRIS Response Center (NIRC), and the National Pension Call Center (NPCC) removed as NCC, NIRC, and NPCC is now required to use the standard RO header and signature block.</w:t>
            </w:r>
          </w:p>
        </w:tc>
        <w:tc>
          <w:tcPr>
            <w:tcW w:w="854" w:type="pct"/>
            <w:shd w:val="clear" w:color="auto" w:fill="auto"/>
          </w:tcPr>
          <w:p w:rsidR="007741C0" w:rsidRDefault="007741C0" w:rsidP="002F7397">
            <w:pPr>
              <w:pStyle w:val="TableText"/>
            </w:pPr>
            <w:r>
              <w:t>I.5.2.b</w:t>
            </w:r>
          </w:p>
        </w:tc>
        <w:tc>
          <w:tcPr>
            <w:tcW w:w="519" w:type="pct"/>
            <w:shd w:val="clear" w:color="auto" w:fill="auto"/>
          </w:tcPr>
          <w:p w:rsidR="007741C0" w:rsidRDefault="001973A9" w:rsidP="002F7397">
            <w:pPr>
              <w:pStyle w:val="TableText"/>
            </w:pPr>
            <w:r>
              <w:t>I-5-6</w:t>
            </w:r>
          </w:p>
        </w:tc>
      </w:tr>
      <w:tr w:rsidR="007741C0" w:rsidTr="008B0387">
        <w:trPr>
          <w:trHeight w:val="180"/>
        </w:trPr>
        <w:tc>
          <w:tcPr>
            <w:tcW w:w="3627" w:type="pct"/>
            <w:shd w:val="clear" w:color="auto" w:fill="auto"/>
          </w:tcPr>
          <w:p w:rsidR="007741C0" w:rsidRDefault="005355F5" w:rsidP="00E07451">
            <w:pPr>
              <w:pStyle w:val="TableText"/>
              <w:numPr>
                <w:ilvl w:val="0"/>
                <w:numId w:val="11"/>
              </w:numPr>
            </w:pPr>
            <w:r>
              <w:t>Block</w:t>
            </w:r>
            <w:r w:rsidR="007741C0">
              <w:t xml:space="preserve"> updated to clarify when the standard RO header and signature block can be replaced with the signature of the NCCM or the </w:t>
            </w:r>
            <w:r w:rsidR="006A60AC">
              <w:t>NIRC</w:t>
            </w:r>
            <w:r w:rsidR="007741C0">
              <w:t xml:space="preserve"> Manager</w:t>
            </w:r>
            <w:r w:rsidR="006D49C8">
              <w:t xml:space="preserve"> (NIRCM)</w:t>
            </w:r>
            <w:r w:rsidR="007741C0">
              <w:t>.  Updates to section:</w:t>
            </w:r>
          </w:p>
          <w:p w:rsidR="007741C0" w:rsidRDefault="007741C0" w:rsidP="007741C0">
            <w:pPr>
              <w:pStyle w:val="TableText"/>
              <w:numPr>
                <w:ilvl w:val="1"/>
                <w:numId w:val="11"/>
              </w:numPr>
            </w:pPr>
            <w:r>
              <w:t xml:space="preserve">Identified examples of when the alternate signature block may be </w:t>
            </w:r>
            <w:r w:rsidR="006D49C8">
              <w:t>needed.</w:t>
            </w:r>
          </w:p>
          <w:p w:rsidR="006D49C8" w:rsidRDefault="006D49C8" w:rsidP="007741C0">
            <w:pPr>
              <w:pStyle w:val="TableText"/>
              <w:numPr>
                <w:ilvl w:val="1"/>
                <w:numId w:val="11"/>
              </w:numPr>
            </w:pPr>
            <w:r>
              <w:t>Removed information on threats to management team.</w:t>
            </w:r>
          </w:p>
          <w:p w:rsidR="006D49C8" w:rsidRDefault="006D49C8" w:rsidP="007741C0">
            <w:pPr>
              <w:pStyle w:val="TableText"/>
              <w:numPr>
                <w:ilvl w:val="1"/>
                <w:numId w:val="11"/>
              </w:numPr>
            </w:pPr>
            <w:r>
              <w:t>Clarified the NCCM and NIRCM can receive authorization from the Director to include an alternate signature block.</w:t>
            </w:r>
          </w:p>
        </w:tc>
        <w:tc>
          <w:tcPr>
            <w:tcW w:w="854" w:type="pct"/>
            <w:shd w:val="clear" w:color="auto" w:fill="auto"/>
          </w:tcPr>
          <w:p w:rsidR="007741C0" w:rsidRDefault="0056460F" w:rsidP="002F7397">
            <w:pPr>
              <w:pStyle w:val="TableText"/>
            </w:pPr>
            <w:r>
              <w:t>I.5.2.b</w:t>
            </w:r>
          </w:p>
        </w:tc>
        <w:tc>
          <w:tcPr>
            <w:tcW w:w="519" w:type="pct"/>
            <w:shd w:val="clear" w:color="auto" w:fill="auto"/>
          </w:tcPr>
          <w:p w:rsidR="007741C0" w:rsidRDefault="001973A9" w:rsidP="002F7397">
            <w:pPr>
              <w:pStyle w:val="TableText"/>
            </w:pPr>
            <w:r>
              <w:t>I-5-6</w:t>
            </w:r>
          </w:p>
        </w:tc>
      </w:tr>
      <w:tr w:rsidR="0056460F" w:rsidTr="008B0387">
        <w:trPr>
          <w:trHeight w:val="180"/>
        </w:trPr>
        <w:tc>
          <w:tcPr>
            <w:tcW w:w="3627" w:type="pct"/>
            <w:shd w:val="clear" w:color="auto" w:fill="auto"/>
          </w:tcPr>
          <w:p w:rsidR="0056460F" w:rsidRDefault="0056460F" w:rsidP="005D257E">
            <w:pPr>
              <w:pStyle w:val="TableText"/>
              <w:numPr>
                <w:ilvl w:val="0"/>
                <w:numId w:val="11"/>
              </w:numPr>
            </w:pPr>
            <w:r>
              <w:t xml:space="preserve">Added </w:t>
            </w:r>
            <w:r w:rsidR="005355F5">
              <w:t xml:space="preserve">block </w:t>
            </w:r>
            <w:r>
              <w:t>to define Non-Controlled Correspondence</w:t>
            </w:r>
          </w:p>
        </w:tc>
        <w:tc>
          <w:tcPr>
            <w:tcW w:w="854" w:type="pct"/>
            <w:shd w:val="clear" w:color="auto" w:fill="auto"/>
          </w:tcPr>
          <w:p w:rsidR="0056460F" w:rsidRDefault="0056460F" w:rsidP="002F7397">
            <w:pPr>
              <w:pStyle w:val="TableText"/>
            </w:pPr>
            <w:r>
              <w:t>I.5.3.c</w:t>
            </w:r>
          </w:p>
        </w:tc>
        <w:tc>
          <w:tcPr>
            <w:tcW w:w="519" w:type="pct"/>
            <w:shd w:val="clear" w:color="auto" w:fill="auto"/>
          </w:tcPr>
          <w:p w:rsidR="0056460F" w:rsidRDefault="001973A9" w:rsidP="002F7397">
            <w:pPr>
              <w:pStyle w:val="TableText"/>
            </w:pPr>
            <w:r>
              <w:t>I-5-8</w:t>
            </w:r>
          </w:p>
        </w:tc>
      </w:tr>
      <w:tr w:rsidR="006D49C8" w:rsidTr="008B0387">
        <w:trPr>
          <w:trHeight w:val="180"/>
        </w:trPr>
        <w:tc>
          <w:tcPr>
            <w:tcW w:w="3627" w:type="pct"/>
            <w:shd w:val="clear" w:color="auto" w:fill="auto"/>
          </w:tcPr>
          <w:p w:rsidR="006D49C8" w:rsidRDefault="005D257E" w:rsidP="005D257E">
            <w:pPr>
              <w:pStyle w:val="TableText"/>
              <w:numPr>
                <w:ilvl w:val="0"/>
                <w:numId w:val="11"/>
              </w:numPr>
            </w:pPr>
            <w:r>
              <w:t>Updated End Product (EP) reference from M21-4, Appendix C to M21-4, Appendix</w:t>
            </w:r>
            <w:r w:rsidR="0056460F">
              <w:t xml:space="preserve"> B</w:t>
            </w:r>
          </w:p>
        </w:tc>
        <w:tc>
          <w:tcPr>
            <w:tcW w:w="854" w:type="pct"/>
            <w:shd w:val="clear" w:color="auto" w:fill="auto"/>
          </w:tcPr>
          <w:p w:rsidR="006D49C8" w:rsidRDefault="0056460F" w:rsidP="002F7397">
            <w:pPr>
              <w:pStyle w:val="TableText"/>
            </w:pPr>
            <w:r>
              <w:t>I.5.3.e</w:t>
            </w:r>
          </w:p>
        </w:tc>
        <w:tc>
          <w:tcPr>
            <w:tcW w:w="519" w:type="pct"/>
            <w:shd w:val="clear" w:color="auto" w:fill="auto"/>
          </w:tcPr>
          <w:p w:rsidR="006D49C8" w:rsidRDefault="001973A9" w:rsidP="002F7397">
            <w:pPr>
              <w:pStyle w:val="TableText"/>
            </w:pPr>
            <w:r>
              <w:t>I-5-8</w:t>
            </w:r>
          </w:p>
        </w:tc>
      </w:tr>
      <w:tr w:rsidR="005D257E" w:rsidTr="001973A9">
        <w:trPr>
          <w:trHeight w:val="1155"/>
        </w:trPr>
        <w:tc>
          <w:tcPr>
            <w:tcW w:w="3627" w:type="pct"/>
            <w:shd w:val="clear" w:color="auto" w:fill="auto"/>
          </w:tcPr>
          <w:p w:rsidR="005D257E" w:rsidRDefault="005D257E" w:rsidP="0056460F">
            <w:pPr>
              <w:pStyle w:val="TableText"/>
              <w:numPr>
                <w:ilvl w:val="0"/>
                <w:numId w:val="11"/>
              </w:numPr>
            </w:pPr>
            <w:r>
              <w:t xml:space="preserve">Changed </w:t>
            </w:r>
            <w:r w:rsidR="005355F5">
              <w:t>block</w:t>
            </w:r>
            <w:r>
              <w:t xml:space="preserve"> title from “Reader-Focused Writing (RFW)” to “Providing Quality Correspondence” as RFW training is no longer available or supported.  RFW information has been removed from entire </w:t>
            </w:r>
            <w:r w:rsidR="0056460F">
              <w:t>chapter</w:t>
            </w:r>
            <w:r>
              <w:t>.</w:t>
            </w:r>
          </w:p>
        </w:tc>
        <w:tc>
          <w:tcPr>
            <w:tcW w:w="854" w:type="pct"/>
            <w:shd w:val="clear" w:color="auto" w:fill="auto"/>
          </w:tcPr>
          <w:p w:rsidR="005D257E" w:rsidRDefault="005D257E" w:rsidP="002F7397">
            <w:pPr>
              <w:pStyle w:val="TableText"/>
            </w:pPr>
            <w:r>
              <w:t>I.5.4</w:t>
            </w:r>
          </w:p>
        </w:tc>
        <w:tc>
          <w:tcPr>
            <w:tcW w:w="519" w:type="pct"/>
            <w:shd w:val="clear" w:color="auto" w:fill="auto"/>
          </w:tcPr>
          <w:p w:rsidR="005D257E" w:rsidRDefault="001973A9" w:rsidP="002F7397">
            <w:pPr>
              <w:pStyle w:val="TableText"/>
            </w:pPr>
            <w:r>
              <w:t>I-5-9</w:t>
            </w:r>
          </w:p>
        </w:tc>
      </w:tr>
      <w:tr w:rsidR="005D257E" w:rsidTr="008B0387">
        <w:trPr>
          <w:trHeight w:val="180"/>
        </w:trPr>
        <w:tc>
          <w:tcPr>
            <w:tcW w:w="3627" w:type="pct"/>
            <w:shd w:val="clear" w:color="auto" w:fill="auto"/>
          </w:tcPr>
          <w:p w:rsidR="005D257E" w:rsidRDefault="005D257E" w:rsidP="005D257E">
            <w:pPr>
              <w:pStyle w:val="TableText"/>
              <w:numPr>
                <w:ilvl w:val="0"/>
                <w:numId w:val="11"/>
              </w:numPr>
            </w:pPr>
            <w:r>
              <w:lastRenderedPageBreak/>
              <w:t xml:space="preserve">Updated introduction </w:t>
            </w:r>
            <w:r w:rsidR="005355F5">
              <w:t xml:space="preserve">block </w:t>
            </w:r>
            <w:r>
              <w:t>to remove RFW reference and include information on what is available in the section:</w:t>
            </w:r>
          </w:p>
          <w:p w:rsidR="005D257E" w:rsidRDefault="005D257E" w:rsidP="005D257E">
            <w:pPr>
              <w:pStyle w:val="TableText"/>
              <w:numPr>
                <w:ilvl w:val="1"/>
                <w:numId w:val="11"/>
              </w:numPr>
            </w:pPr>
            <w:r>
              <w:t>General information on providing quality correspondence</w:t>
            </w:r>
          </w:p>
          <w:p w:rsidR="005D257E" w:rsidRDefault="005D257E" w:rsidP="005D257E">
            <w:pPr>
              <w:pStyle w:val="TableText"/>
              <w:numPr>
                <w:ilvl w:val="1"/>
                <w:numId w:val="11"/>
              </w:numPr>
            </w:pPr>
            <w:r>
              <w:t>Formatting of correspondence</w:t>
            </w:r>
          </w:p>
          <w:p w:rsidR="005D257E" w:rsidRDefault="005D257E" w:rsidP="005D257E">
            <w:pPr>
              <w:pStyle w:val="TableText"/>
              <w:numPr>
                <w:ilvl w:val="1"/>
                <w:numId w:val="11"/>
              </w:numPr>
            </w:pPr>
            <w:r>
              <w:t>Context of correspondence</w:t>
            </w:r>
          </w:p>
          <w:p w:rsidR="005D257E" w:rsidRDefault="005D257E" w:rsidP="005D257E">
            <w:pPr>
              <w:pStyle w:val="TableText"/>
              <w:numPr>
                <w:ilvl w:val="1"/>
                <w:numId w:val="11"/>
              </w:numPr>
            </w:pPr>
            <w:r>
              <w:t>Grammar and tone of correspondence</w:t>
            </w:r>
          </w:p>
        </w:tc>
        <w:tc>
          <w:tcPr>
            <w:tcW w:w="854" w:type="pct"/>
            <w:shd w:val="clear" w:color="auto" w:fill="auto"/>
          </w:tcPr>
          <w:p w:rsidR="005D257E" w:rsidRDefault="005D257E" w:rsidP="002F7397">
            <w:pPr>
              <w:pStyle w:val="TableText"/>
            </w:pPr>
            <w:r>
              <w:t>I.5.4.Introduction</w:t>
            </w:r>
          </w:p>
        </w:tc>
        <w:tc>
          <w:tcPr>
            <w:tcW w:w="519" w:type="pct"/>
            <w:shd w:val="clear" w:color="auto" w:fill="auto"/>
          </w:tcPr>
          <w:p w:rsidR="005D257E" w:rsidRDefault="001973A9" w:rsidP="002F7397">
            <w:pPr>
              <w:pStyle w:val="TableText"/>
            </w:pPr>
            <w:r>
              <w:t>I-5-9</w:t>
            </w:r>
          </w:p>
        </w:tc>
      </w:tr>
      <w:tr w:rsidR="005D257E" w:rsidTr="008B0387">
        <w:trPr>
          <w:trHeight w:val="180"/>
        </w:trPr>
        <w:tc>
          <w:tcPr>
            <w:tcW w:w="3627" w:type="pct"/>
            <w:shd w:val="clear" w:color="auto" w:fill="auto"/>
          </w:tcPr>
          <w:p w:rsidR="005D257E" w:rsidRDefault="005D257E" w:rsidP="005D257E">
            <w:pPr>
              <w:pStyle w:val="TableText"/>
              <w:numPr>
                <w:ilvl w:val="0"/>
                <w:numId w:val="11"/>
              </w:numPr>
            </w:pPr>
            <w:r>
              <w:t>Updated title from “Description of RFW” to “General Information on Providing Quality Correspondence”</w:t>
            </w:r>
          </w:p>
          <w:p w:rsidR="005D257E" w:rsidRDefault="005D257E" w:rsidP="005D257E">
            <w:pPr>
              <w:pStyle w:val="TableText"/>
              <w:numPr>
                <w:ilvl w:val="0"/>
                <w:numId w:val="11"/>
              </w:numPr>
            </w:pPr>
            <w:r>
              <w:t>Removed RFW information</w:t>
            </w:r>
          </w:p>
          <w:p w:rsidR="005D257E" w:rsidRDefault="005D257E" w:rsidP="005D257E">
            <w:pPr>
              <w:pStyle w:val="TableText"/>
              <w:numPr>
                <w:ilvl w:val="0"/>
                <w:numId w:val="11"/>
              </w:numPr>
            </w:pPr>
            <w:r>
              <w:t>Added content on the general requirements for quality correspondence</w:t>
            </w:r>
          </w:p>
        </w:tc>
        <w:tc>
          <w:tcPr>
            <w:tcW w:w="854" w:type="pct"/>
            <w:shd w:val="clear" w:color="auto" w:fill="auto"/>
          </w:tcPr>
          <w:p w:rsidR="005D257E" w:rsidRDefault="005D257E" w:rsidP="002F7397">
            <w:pPr>
              <w:pStyle w:val="TableText"/>
            </w:pPr>
            <w:r>
              <w:t>I.5.4.a</w:t>
            </w:r>
          </w:p>
        </w:tc>
        <w:tc>
          <w:tcPr>
            <w:tcW w:w="519" w:type="pct"/>
            <w:shd w:val="clear" w:color="auto" w:fill="auto"/>
          </w:tcPr>
          <w:p w:rsidR="005D257E" w:rsidRDefault="001973A9" w:rsidP="002F7397">
            <w:pPr>
              <w:pStyle w:val="TableText"/>
            </w:pPr>
            <w:r>
              <w:t>I-5-9</w:t>
            </w:r>
          </w:p>
        </w:tc>
      </w:tr>
      <w:tr w:rsidR="005D257E" w:rsidTr="008B0387">
        <w:trPr>
          <w:trHeight w:val="180"/>
        </w:trPr>
        <w:tc>
          <w:tcPr>
            <w:tcW w:w="3627" w:type="pct"/>
            <w:shd w:val="clear" w:color="auto" w:fill="auto"/>
          </w:tcPr>
          <w:p w:rsidR="005D257E" w:rsidRDefault="005D257E" w:rsidP="005D257E">
            <w:pPr>
              <w:pStyle w:val="TableText"/>
              <w:numPr>
                <w:ilvl w:val="0"/>
                <w:numId w:val="11"/>
              </w:numPr>
            </w:pPr>
            <w:r>
              <w:t xml:space="preserve">Added new </w:t>
            </w:r>
            <w:r w:rsidR="005355F5">
              <w:t>block</w:t>
            </w:r>
            <w:r>
              <w:t>, “Formatting of Written Correspondence,” which outlines the basic requirements for components of written correspondence.</w:t>
            </w:r>
          </w:p>
        </w:tc>
        <w:tc>
          <w:tcPr>
            <w:tcW w:w="854" w:type="pct"/>
            <w:shd w:val="clear" w:color="auto" w:fill="auto"/>
          </w:tcPr>
          <w:p w:rsidR="005D257E" w:rsidRDefault="005D257E" w:rsidP="002F7397">
            <w:pPr>
              <w:pStyle w:val="TableText"/>
            </w:pPr>
            <w:r>
              <w:t>I.5.4.b</w:t>
            </w:r>
          </w:p>
        </w:tc>
        <w:tc>
          <w:tcPr>
            <w:tcW w:w="519" w:type="pct"/>
            <w:shd w:val="clear" w:color="auto" w:fill="auto"/>
          </w:tcPr>
          <w:p w:rsidR="005D257E" w:rsidRDefault="001973A9" w:rsidP="002F7397">
            <w:pPr>
              <w:pStyle w:val="TableText"/>
            </w:pPr>
            <w:r>
              <w:t>I-5-9</w:t>
            </w:r>
          </w:p>
        </w:tc>
      </w:tr>
      <w:tr w:rsidR="005D257E" w:rsidTr="008B0387">
        <w:trPr>
          <w:trHeight w:val="180"/>
        </w:trPr>
        <w:tc>
          <w:tcPr>
            <w:tcW w:w="3627" w:type="pct"/>
            <w:shd w:val="clear" w:color="auto" w:fill="auto"/>
          </w:tcPr>
          <w:p w:rsidR="005D257E" w:rsidRDefault="005D257E" w:rsidP="005D257E">
            <w:pPr>
              <w:pStyle w:val="TableText"/>
              <w:numPr>
                <w:ilvl w:val="0"/>
                <w:numId w:val="11"/>
              </w:numPr>
            </w:pPr>
            <w:r>
              <w:t xml:space="preserve">Added new </w:t>
            </w:r>
            <w:r w:rsidR="005355F5">
              <w:t>block</w:t>
            </w:r>
            <w:r>
              <w:t>, “Formatting of Electronic Correspondence,” which outlines the basic requirements for components of electronic correspondence.</w:t>
            </w:r>
          </w:p>
        </w:tc>
        <w:tc>
          <w:tcPr>
            <w:tcW w:w="854" w:type="pct"/>
            <w:shd w:val="clear" w:color="auto" w:fill="auto"/>
          </w:tcPr>
          <w:p w:rsidR="005D257E" w:rsidRDefault="005D257E" w:rsidP="002F7397">
            <w:pPr>
              <w:pStyle w:val="TableText"/>
            </w:pPr>
            <w:r>
              <w:t>I.5.4.c</w:t>
            </w:r>
          </w:p>
        </w:tc>
        <w:tc>
          <w:tcPr>
            <w:tcW w:w="519" w:type="pct"/>
            <w:shd w:val="clear" w:color="auto" w:fill="auto"/>
          </w:tcPr>
          <w:p w:rsidR="005D257E" w:rsidRDefault="001973A9" w:rsidP="002F7397">
            <w:pPr>
              <w:pStyle w:val="TableText"/>
            </w:pPr>
            <w:r>
              <w:t>I-5-10</w:t>
            </w:r>
          </w:p>
        </w:tc>
      </w:tr>
      <w:tr w:rsidR="007C1FB7" w:rsidTr="008B0387">
        <w:trPr>
          <w:trHeight w:val="180"/>
        </w:trPr>
        <w:tc>
          <w:tcPr>
            <w:tcW w:w="3627" w:type="pct"/>
            <w:shd w:val="clear" w:color="auto" w:fill="auto"/>
          </w:tcPr>
          <w:p w:rsidR="007C1FB7" w:rsidRDefault="007C1FB7" w:rsidP="005D257E">
            <w:pPr>
              <w:pStyle w:val="TableText"/>
              <w:numPr>
                <w:ilvl w:val="0"/>
                <w:numId w:val="11"/>
              </w:numPr>
            </w:pPr>
            <w:r>
              <w:t>Added topic item, “Taking Credit for Correspondence Not Related to a Claim Number or for General Information.”</w:t>
            </w:r>
          </w:p>
        </w:tc>
        <w:tc>
          <w:tcPr>
            <w:tcW w:w="854" w:type="pct"/>
            <w:shd w:val="clear" w:color="auto" w:fill="auto"/>
          </w:tcPr>
          <w:p w:rsidR="007C1FB7" w:rsidRDefault="007C1FB7" w:rsidP="002F7397">
            <w:pPr>
              <w:pStyle w:val="TableText"/>
            </w:pPr>
            <w:r>
              <w:t>I.5.5.Introduction</w:t>
            </w:r>
          </w:p>
        </w:tc>
        <w:tc>
          <w:tcPr>
            <w:tcW w:w="519" w:type="pct"/>
            <w:shd w:val="clear" w:color="auto" w:fill="auto"/>
          </w:tcPr>
          <w:p w:rsidR="007C1FB7" w:rsidRDefault="001973A9" w:rsidP="002F7397">
            <w:pPr>
              <w:pStyle w:val="TableText"/>
            </w:pPr>
            <w:r>
              <w:t>I-5-11</w:t>
            </w:r>
          </w:p>
        </w:tc>
      </w:tr>
      <w:tr w:rsidR="001973A9" w:rsidTr="008B0387">
        <w:trPr>
          <w:trHeight w:val="180"/>
        </w:trPr>
        <w:tc>
          <w:tcPr>
            <w:tcW w:w="3627" w:type="pct"/>
            <w:shd w:val="clear" w:color="auto" w:fill="auto"/>
          </w:tcPr>
          <w:p w:rsidR="001973A9" w:rsidRDefault="001973A9" w:rsidP="005D257E">
            <w:pPr>
              <w:pStyle w:val="TableText"/>
              <w:numPr>
                <w:ilvl w:val="0"/>
                <w:numId w:val="11"/>
              </w:numPr>
            </w:pPr>
            <w:r>
              <w:t>Added that mail may be received by the Intake Processing Center.</w:t>
            </w:r>
          </w:p>
        </w:tc>
        <w:tc>
          <w:tcPr>
            <w:tcW w:w="854" w:type="pct"/>
            <w:shd w:val="clear" w:color="auto" w:fill="auto"/>
          </w:tcPr>
          <w:p w:rsidR="001973A9" w:rsidRDefault="001973A9" w:rsidP="002F7397">
            <w:pPr>
              <w:pStyle w:val="TableText"/>
            </w:pPr>
            <w:r>
              <w:t>I.5.5.a</w:t>
            </w:r>
          </w:p>
        </w:tc>
        <w:tc>
          <w:tcPr>
            <w:tcW w:w="519" w:type="pct"/>
            <w:shd w:val="clear" w:color="auto" w:fill="auto"/>
          </w:tcPr>
          <w:p w:rsidR="001973A9" w:rsidRDefault="001973A9" w:rsidP="00FC1E8B">
            <w:pPr>
              <w:pStyle w:val="TableText"/>
            </w:pPr>
            <w:r>
              <w:t>I-5-11</w:t>
            </w:r>
          </w:p>
        </w:tc>
      </w:tr>
      <w:tr w:rsidR="001973A9" w:rsidTr="008B0387">
        <w:trPr>
          <w:trHeight w:val="180"/>
        </w:trPr>
        <w:tc>
          <w:tcPr>
            <w:tcW w:w="3627" w:type="pct"/>
            <w:shd w:val="clear" w:color="auto" w:fill="auto"/>
          </w:tcPr>
          <w:p w:rsidR="001973A9" w:rsidRDefault="001973A9" w:rsidP="005D257E">
            <w:pPr>
              <w:pStyle w:val="TableText"/>
              <w:numPr>
                <w:ilvl w:val="0"/>
                <w:numId w:val="11"/>
              </w:numPr>
            </w:pPr>
            <w:r>
              <w:t>Added table with specific processing instructions for processing special controlled correspondence.</w:t>
            </w:r>
          </w:p>
        </w:tc>
        <w:tc>
          <w:tcPr>
            <w:tcW w:w="854" w:type="pct"/>
            <w:shd w:val="clear" w:color="auto" w:fill="auto"/>
          </w:tcPr>
          <w:p w:rsidR="001973A9" w:rsidRDefault="001973A9" w:rsidP="002F7397">
            <w:pPr>
              <w:pStyle w:val="TableText"/>
            </w:pPr>
            <w:r>
              <w:t>I.5.5.b</w:t>
            </w:r>
          </w:p>
        </w:tc>
        <w:tc>
          <w:tcPr>
            <w:tcW w:w="519" w:type="pct"/>
            <w:shd w:val="clear" w:color="auto" w:fill="auto"/>
          </w:tcPr>
          <w:p w:rsidR="001973A9" w:rsidRDefault="001973A9" w:rsidP="00FC1E8B">
            <w:pPr>
              <w:pStyle w:val="TableText"/>
            </w:pPr>
            <w:r>
              <w:t>I-5-12</w:t>
            </w:r>
          </w:p>
        </w:tc>
      </w:tr>
      <w:tr w:rsidR="001973A9" w:rsidTr="008B0387">
        <w:trPr>
          <w:trHeight w:val="180"/>
        </w:trPr>
        <w:tc>
          <w:tcPr>
            <w:tcW w:w="3627" w:type="pct"/>
            <w:shd w:val="clear" w:color="auto" w:fill="auto"/>
          </w:tcPr>
          <w:p w:rsidR="001973A9" w:rsidRDefault="001973A9" w:rsidP="005D257E">
            <w:pPr>
              <w:pStyle w:val="TableText"/>
              <w:numPr>
                <w:ilvl w:val="0"/>
                <w:numId w:val="11"/>
              </w:numPr>
            </w:pPr>
            <w:r>
              <w:t xml:space="preserve">Removed </w:t>
            </w:r>
            <w:r w:rsidR="005355F5">
              <w:t>block</w:t>
            </w:r>
            <w:r>
              <w:t xml:space="preserve"> I.5.5.c, “Following Up on Correspondence,” and incorporated the information into the processing instructions table in I.5.5.b</w:t>
            </w:r>
          </w:p>
        </w:tc>
        <w:tc>
          <w:tcPr>
            <w:tcW w:w="854" w:type="pct"/>
            <w:shd w:val="clear" w:color="auto" w:fill="auto"/>
          </w:tcPr>
          <w:p w:rsidR="001973A9" w:rsidRDefault="001973A9" w:rsidP="002F7397">
            <w:pPr>
              <w:pStyle w:val="TableText"/>
            </w:pPr>
            <w:r>
              <w:t>I.5.5.b</w:t>
            </w:r>
          </w:p>
        </w:tc>
        <w:tc>
          <w:tcPr>
            <w:tcW w:w="519" w:type="pct"/>
            <w:shd w:val="clear" w:color="auto" w:fill="auto"/>
          </w:tcPr>
          <w:p w:rsidR="001973A9" w:rsidRDefault="001973A9" w:rsidP="002F7397">
            <w:pPr>
              <w:pStyle w:val="TableText"/>
            </w:pPr>
          </w:p>
        </w:tc>
      </w:tr>
      <w:tr w:rsidR="00A82697" w:rsidTr="008B0387">
        <w:trPr>
          <w:trHeight w:val="180"/>
        </w:trPr>
        <w:tc>
          <w:tcPr>
            <w:tcW w:w="3627" w:type="pct"/>
            <w:shd w:val="clear" w:color="auto" w:fill="auto"/>
          </w:tcPr>
          <w:p w:rsidR="00A82697" w:rsidRDefault="00A82697" w:rsidP="005D257E">
            <w:pPr>
              <w:pStyle w:val="TableText"/>
              <w:numPr>
                <w:ilvl w:val="0"/>
                <w:numId w:val="11"/>
              </w:numPr>
            </w:pPr>
            <w:r>
              <w:t>Added block to provide instructions for identifying special controlled correspondence in the eFolder</w:t>
            </w:r>
          </w:p>
        </w:tc>
        <w:tc>
          <w:tcPr>
            <w:tcW w:w="854" w:type="pct"/>
            <w:shd w:val="clear" w:color="auto" w:fill="auto"/>
          </w:tcPr>
          <w:p w:rsidR="00A82697" w:rsidRDefault="00A82697" w:rsidP="002F7397">
            <w:pPr>
              <w:pStyle w:val="TableText"/>
            </w:pPr>
            <w:r>
              <w:t>I.5.5.c</w:t>
            </w:r>
          </w:p>
        </w:tc>
        <w:tc>
          <w:tcPr>
            <w:tcW w:w="519" w:type="pct"/>
            <w:shd w:val="clear" w:color="auto" w:fill="auto"/>
          </w:tcPr>
          <w:p w:rsidR="00A82697" w:rsidRDefault="00A82697" w:rsidP="00FC1E8B">
            <w:pPr>
              <w:pStyle w:val="TableText"/>
            </w:pPr>
            <w:r>
              <w:t>I-5-13</w:t>
            </w:r>
          </w:p>
        </w:tc>
      </w:tr>
      <w:tr w:rsidR="001973A9" w:rsidTr="008B0387">
        <w:trPr>
          <w:trHeight w:val="180"/>
        </w:trPr>
        <w:tc>
          <w:tcPr>
            <w:tcW w:w="3627" w:type="pct"/>
            <w:shd w:val="clear" w:color="auto" w:fill="auto"/>
          </w:tcPr>
          <w:p w:rsidR="001973A9" w:rsidRDefault="001973A9" w:rsidP="005D257E">
            <w:pPr>
              <w:pStyle w:val="TableText"/>
              <w:numPr>
                <w:ilvl w:val="0"/>
                <w:numId w:val="11"/>
              </w:numPr>
            </w:pPr>
            <w:r>
              <w:t xml:space="preserve">Added </w:t>
            </w:r>
            <w:r w:rsidR="005355F5">
              <w:t>block</w:t>
            </w:r>
            <w:r>
              <w:t xml:space="preserve"> to provide instructions for processing Non-Controlled Correspondence</w:t>
            </w:r>
          </w:p>
        </w:tc>
        <w:tc>
          <w:tcPr>
            <w:tcW w:w="854" w:type="pct"/>
            <w:shd w:val="clear" w:color="auto" w:fill="auto"/>
          </w:tcPr>
          <w:p w:rsidR="001973A9" w:rsidRDefault="001973A9" w:rsidP="00A82697">
            <w:pPr>
              <w:pStyle w:val="TableText"/>
            </w:pPr>
            <w:r>
              <w:t>I.5.5.</w:t>
            </w:r>
            <w:r w:rsidR="00A82697">
              <w:t>e</w:t>
            </w:r>
          </w:p>
        </w:tc>
        <w:tc>
          <w:tcPr>
            <w:tcW w:w="519" w:type="pct"/>
            <w:shd w:val="clear" w:color="auto" w:fill="auto"/>
          </w:tcPr>
          <w:p w:rsidR="001973A9" w:rsidRDefault="001973A9" w:rsidP="00A82697">
            <w:pPr>
              <w:pStyle w:val="TableText"/>
            </w:pPr>
            <w:r>
              <w:t>I-5-</w:t>
            </w:r>
            <w:r w:rsidR="00A82697">
              <w:t>15</w:t>
            </w:r>
            <w:r>
              <w:t xml:space="preserve"> to I-5-</w:t>
            </w:r>
            <w:r w:rsidR="00A82697">
              <w:t>16</w:t>
            </w:r>
          </w:p>
        </w:tc>
      </w:tr>
      <w:tr w:rsidR="001973A9" w:rsidTr="008B0387">
        <w:trPr>
          <w:trHeight w:val="180"/>
        </w:trPr>
        <w:tc>
          <w:tcPr>
            <w:tcW w:w="3627" w:type="pct"/>
            <w:shd w:val="clear" w:color="auto" w:fill="auto"/>
          </w:tcPr>
          <w:p w:rsidR="001973A9" w:rsidRDefault="001973A9" w:rsidP="007818E3">
            <w:pPr>
              <w:pStyle w:val="TableText"/>
              <w:numPr>
                <w:ilvl w:val="0"/>
                <w:numId w:val="11"/>
              </w:numPr>
            </w:pPr>
            <w:r>
              <w:t>Added uploading a copy of redundant correspondence into eFolder, if available, as requirement.</w:t>
            </w:r>
          </w:p>
        </w:tc>
        <w:tc>
          <w:tcPr>
            <w:tcW w:w="854" w:type="pct"/>
            <w:shd w:val="clear" w:color="auto" w:fill="auto"/>
          </w:tcPr>
          <w:p w:rsidR="001973A9" w:rsidRDefault="001973A9" w:rsidP="00A82697">
            <w:pPr>
              <w:pStyle w:val="TableText"/>
            </w:pPr>
            <w:r>
              <w:t>I.5.5.</w:t>
            </w:r>
            <w:r w:rsidR="00A82697">
              <w:t>f</w:t>
            </w:r>
          </w:p>
        </w:tc>
        <w:tc>
          <w:tcPr>
            <w:tcW w:w="519" w:type="pct"/>
            <w:shd w:val="clear" w:color="auto" w:fill="auto"/>
          </w:tcPr>
          <w:p w:rsidR="001973A9" w:rsidRDefault="00A82697" w:rsidP="00FC1E8B">
            <w:pPr>
              <w:pStyle w:val="TableText"/>
            </w:pPr>
            <w:r>
              <w:t>I-5-17</w:t>
            </w:r>
          </w:p>
        </w:tc>
      </w:tr>
      <w:tr w:rsidR="001973A9" w:rsidTr="008B0387">
        <w:trPr>
          <w:trHeight w:val="180"/>
        </w:trPr>
        <w:tc>
          <w:tcPr>
            <w:tcW w:w="3627" w:type="pct"/>
            <w:shd w:val="clear" w:color="auto" w:fill="auto"/>
          </w:tcPr>
          <w:p w:rsidR="001973A9" w:rsidRDefault="001973A9" w:rsidP="007818E3">
            <w:pPr>
              <w:pStyle w:val="TableText"/>
              <w:numPr>
                <w:ilvl w:val="0"/>
                <w:numId w:val="11"/>
              </w:numPr>
            </w:pPr>
            <w:r>
              <w:t xml:space="preserve">Updated </w:t>
            </w:r>
            <w:r w:rsidR="005355F5">
              <w:t>block</w:t>
            </w:r>
            <w:r>
              <w:t xml:space="preserve"> to require documentation of contact in the system of records and removed specific reference to documentation requirements in MAPD PCT notes.</w:t>
            </w:r>
          </w:p>
          <w:p w:rsidR="00535C9D" w:rsidRDefault="00535C9D" w:rsidP="007818E3">
            <w:pPr>
              <w:pStyle w:val="TableText"/>
              <w:numPr>
                <w:ilvl w:val="0"/>
                <w:numId w:val="11"/>
              </w:numPr>
            </w:pPr>
            <w:r>
              <w:t xml:space="preserve">Incorporated information from block I.5.6.h </w:t>
            </w:r>
          </w:p>
          <w:p w:rsidR="00535C9D" w:rsidRDefault="00535C9D" w:rsidP="005355F5">
            <w:pPr>
              <w:pStyle w:val="TableText"/>
              <w:numPr>
                <w:ilvl w:val="0"/>
                <w:numId w:val="11"/>
              </w:numPr>
            </w:pPr>
            <w:r>
              <w:t>Acceptable font type changed from Arial or Verdana to Times New Roman or Arial</w:t>
            </w:r>
          </w:p>
          <w:p w:rsidR="00535C9D" w:rsidRDefault="00535C9D" w:rsidP="005355F5">
            <w:pPr>
              <w:pStyle w:val="TableText"/>
              <w:numPr>
                <w:ilvl w:val="0"/>
                <w:numId w:val="11"/>
              </w:numPr>
            </w:pPr>
            <w:r>
              <w:t xml:space="preserve">Removed hyperlink to </w:t>
            </w:r>
            <w:r w:rsidRPr="00A51643">
              <w:rPr>
                <w:i/>
              </w:rPr>
              <w:t>Large Print:  Guidelines for Optimal Readability</w:t>
            </w:r>
            <w:r>
              <w:t xml:space="preserve"> published by the American Printing House for the Blind that is no longer available</w:t>
            </w:r>
          </w:p>
          <w:p w:rsidR="00535C9D" w:rsidRDefault="00535C9D" w:rsidP="00535C9D">
            <w:pPr>
              <w:pStyle w:val="TableText"/>
              <w:numPr>
                <w:ilvl w:val="0"/>
                <w:numId w:val="11"/>
              </w:numPr>
            </w:pPr>
            <w:r>
              <w:t xml:space="preserve">Added hyperlink to </w:t>
            </w:r>
            <w:r w:rsidRPr="00A51643">
              <w:rPr>
                <w:i/>
              </w:rPr>
              <w:t>Tips for Making Print More Readable</w:t>
            </w:r>
            <w:r>
              <w:t>, published by the American Foundation for the Blind</w:t>
            </w:r>
          </w:p>
        </w:tc>
        <w:tc>
          <w:tcPr>
            <w:tcW w:w="854" w:type="pct"/>
            <w:shd w:val="clear" w:color="auto" w:fill="auto"/>
          </w:tcPr>
          <w:p w:rsidR="001973A9" w:rsidRDefault="00A82697" w:rsidP="002F7397">
            <w:pPr>
              <w:pStyle w:val="TableText"/>
            </w:pPr>
            <w:r>
              <w:t>I.5.5.h</w:t>
            </w:r>
          </w:p>
        </w:tc>
        <w:tc>
          <w:tcPr>
            <w:tcW w:w="519" w:type="pct"/>
            <w:shd w:val="clear" w:color="auto" w:fill="auto"/>
          </w:tcPr>
          <w:p w:rsidR="001973A9" w:rsidRDefault="00A82697" w:rsidP="002F7397">
            <w:pPr>
              <w:pStyle w:val="TableText"/>
            </w:pPr>
            <w:r>
              <w:t>I-5-18</w:t>
            </w:r>
          </w:p>
        </w:tc>
      </w:tr>
      <w:tr w:rsidR="001973A9" w:rsidTr="008B0387">
        <w:trPr>
          <w:trHeight w:val="180"/>
        </w:trPr>
        <w:tc>
          <w:tcPr>
            <w:tcW w:w="3627" w:type="pct"/>
            <w:shd w:val="clear" w:color="auto" w:fill="auto"/>
          </w:tcPr>
          <w:p w:rsidR="001973A9" w:rsidRDefault="001973A9" w:rsidP="003473A1">
            <w:pPr>
              <w:pStyle w:val="TableText"/>
              <w:numPr>
                <w:ilvl w:val="0"/>
                <w:numId w:val="11"/>
              </w:numPr>
            </w:pPr>
            <w:r>
              <w:t xml:space="preserve">Added </w:t>
            </w:r>
            <w:r w:rsidR="005355F5">
              <w:t>block</w:t>
            </w:r>
            <w:r>
              <w:t xml:space="preserve">, “Taking Credit for Correspondence Not </w:t>
            </w:r>
            <w:proofErr w:type="gramStart"/>
            <w:r>
              <w:t>Related</w:t>
            </w:r>
            <w:proofErr w:type="gramEnd"/>
            <w:r>
              <w:t xml:space="preserve"> to a Claim Number or for General Information,” to </w:t>
            </w:r>
            <w:r>
              <w:lastRenderedPageBreak/>
              <w:t>identify DOOR WIDS that should be used to document work credit for these correspondence types.</w:t>
            </w:r>
          </w:p>
        </w:tc>
        <w:tc>
          <w:tcPr>
            <w:tcW w:w="854" w:type="pct"/>
            <w:shd w:val="clear" w:color="auto" w:fill="auto"/>
          </w:tcPr>
          <w:p w:rsidR="001973A9" w:rsidRDefault="00A82697" w:rsidP="002F7397">
            <w:pPr>
              <w:pStyle w:val="TableText"/>
            </w:pPr>
            <w:r>
              <w:lastRenderedPageBreak/>
              <w:t>I.5.5.j</w:t>
            </w:r>
          </w:p>
        </w:tc>
        <w:tc>
          <w:tcPr>
            <w:tcW w:w="519" w:type="pct"/>
            <w:shd w:val="clear" w:color="auto" w:fill="auto"/>
          </w:tcPr>
          <w:p w:rsidR="001973A9" w:rsidRDefault="00A82697" w:rsidP="002F7397">
            <w:pPr>
              <w:pStyle w:val="TableText"/>
            </w:pPr>
            <w:r>
              <w:t>I-5-19</w:t>
            </w:r>
          </w:p>
        </w:tc>
      </w:tr>
      <w:tr w:rsidR="001973A9" w:rsidTr="008B0387">
        <w:trPr>
          <w:trHeight w:val="180"/>
        </w:trPr>
        <w:tc>
          <w:tcPr>
            <w:tcW w:w="3627" w:type="pct"/>
            <w:shd w:val="clear" w:color="auto" w:fill="auto"/>
          </w:tcPr>
          <w:p w:rsidR="001973A9" w:rsidRDefault="001973A9" w:rsidP="007818E3">
            <w:pPr>
              <w:pStyle w:val="TableText"/>
              <w:numPr>
                <w:ilvl w:val="0"/>
                <w:numId w:val="11"/>
              </w:numPr>
            </w:pPr>
            <w:r>
              <w:lastRenderedPageBreak/>
              <w:t>Removed “general guidelines” from section and incorporated information in I.5.1.b</w:t>
            </w:r>
          </w:p>
        </w:tc>
        <w:tc>
          <w:tcPr>
            <w:tcW w:w="854" w:type="pct"/>
            <w:shd w:val="clear" w:color="auto" w:fill="auto"/>
          </w:tcPr>
          <w:p w:rsidR="001973A9" w:rsidRDefault="001973A9" w:rsidP="002F7397">
            <w:pPr>
              <w:pStyle w:val="TableText"/>
            </w:pPr>
            <w:r>
              <w:t>I.5.6</w:t>
            </w:r>
          </w:p>
        </w:tc>
        <w:tc>
          <w:tcPr>
            <w:tcW w:w="519" w:type="pct"/>
            <w:shd w:val="clear" w:color="auto" w:fill="auto"/>
          </w:tcPr>
          <w:p w:rsidR="001973A9" w:rsidRDefault="001973A9" w:rsidP="002F7397">
            <w:pPr>
              <w:pStyle w:val="TableText"/>
            </w:pPr>
          </w:p>
        </w:tc>
      </w:tr>
      <w:tr w:rsidR="001973A9" w:rsidTr="008B0387">
        <w:trPr>
          <w:trHeight w:val="180"/>
        </w:trPr>
        <w:tc>
          <w:tcPr>
            <w:tcW w:w="3627" w:type="pct"/>
            <w:shd w:val="clear" w:color="auto" w:fill="auto"/>
          </w:tcPr>
          <w:p w:rsidR="001973A9" w:rsidRDefault="001973A9" w:rsidP="007818E3">
            <w:pPr>
              <w:pStyle w:val="TableText"/>
              <w:numPr>
                <w:ilvl w:val="0"/>
                <w:numId w:val="11"/>
              </w:numPr>
            </w:pPr>
            <w:r>
              <w:t>Added note that verification of Veteran’s service through the system of records is required prior to issuing the service verification letters</w:t>
            </w:r>
          </w:p>
        </w:tc>
        <w:tc>
          <w:tcPr>
            <w:tcW w:w="854" w:type="pct"/>
            <w:shd w:val="clear" w:color="auto" w:fill="auto"/>
          </w:tcPr>
          <w:p w:rsidR="001973A9" w:rsidRDefault="001973A9" w:rsidP="002F7397">
            <w:pPr>
              <w:pStyle w:val="TableText"/>
            </w:pPr>
            <w:r>
              <w:t>I.5.6.b</w:t>
            </w:r>
          </w:p>
        </w:tc>
        <w:tc>
          <w:tcPr>
            <w:tcW w:w="519" w:type="pct"/>
            <w:shd w:val="clear" w:color="auto" w:fill="auto"/>
          </w:tcPr>
          <w:p w:rsidR="001973A9" w:rsidRDefault="00A82697" w:rsidP="002F7397">
            <w:pPr>
              <w:pStyle w:val="TableText"/>
            </w:pPr>
            <w:r>
              <w:t>I-5-20</w:t>
            </w:r>
          </w:p>
        </w:tc>
      </w:tr>
      <w:tr w:rsidR="001973A9" w:rsidTr="008B0387">
        <w:trPr>
          <w:trHeight w:val="180"/>
        </w:trPr>
        <w:tc>
          <w:tcPr>
            <w:tcW w:w="3627" w:type="pct"/>
            <w:shd w:val="clear" w:color="auto" w:fill="auto"/>
          </w:tcPr>
          <w:p w:rsidR="001973A9" w:rsidRDefault="001973A9" w:rsidP="007818E3">
            <w:pPr>
              <w:pStyle w:val="TableText"/>
              <w:numPr>
                <w:ilvl w:val="0"/>
                <w:numId w:val="11"/>
              </w:numPr>
            </w:pPr>
            <w:r>
              <w:t xml:space="preserve">Removed </w:t>
            </w:r>
            <w:r w:rsidR="005355F5">
              <w:t>block</w:t>
            </w:r>
            <w:r>
              <w:t xml:space="preserve"> on “Types of Letters” pertaining to Quality Client Services as this information is no longer applicable</w:t>
            </w:r>
          </w:p>
        </w:tc>
        <w:tc>
          <w:tcPr>
            <w:tcW w:w="854" w:type="pct"/>
            <w:shd w:val="clear" w:color="auto" w:fill="auto"/>
          </w:tcPr>
          <w:p w:rsidR="001973A9" w:rsidRDefault="001973A9" w:rsidP="002F7397">
            <w:pPr>
              <w:pStyle w:val="TableText"/>
            </w:pPr>
            <w:r>
              <w:t>I.5.6.e</w:t>
            </w:r>
          </w:p>
        </w:tc>
        <w:tc>
          <w:tcPr>
            <w:tcW w:w="519" w:type="pct"/>
            <w:shd w:val="clear" w:color="auto" w:fill="auto"/>
          </w:tcPr>
          <w:p w:rsidR="001973A9" w:rsidRDefault="001973A9" w:rsidP="002F7397">
            <w:pPr>
              <w:pStyle w:val="TableText"/>
            </w:pPr>
          </w:p>
        </w:tc>
      </w:tr>
      <w:tr w:rsidR="001973A9" w:rsidTr="008B0387">
        <w:trPr>
          <w:trHeight w:val="180"/>
        </w:trPr>
        <w:tc>
          <w:tcPr>
            <w:tcW w:w="3627" w:type="pct"/>
            <w:shd w:val="clear" w:color="auto" w:fill="auto"/>
          </w:tcPr>
          <w:p w:rsidR="001973A9" w:rsidRDefault="005355F5" w:rsidP="005355F5">
            <w:pPr>
              <w:pStyle w:val="TableText"/>
              <w:numPr>
                <w:ilvl w:val="0"/>
                <w:numId w:val="11"/>
              </w:numPr>
            </w:pPr>
            <w:r>
              <w:t>Removed content from block I.5.6.h and incorporated into I.5.5.g</w:t>
            </w:r>
          </w:p>
        </w:tc>
        <w:tc>
          <w:tcPr>
            <w:tcW w:w="854" w:type="pct"/>
            <w:shd w:val="clear" w:color="auto" w:fill="auto"/>
          </w:tcPr>
          <w:p w:rsidR="001973A9" w:rsidRDefault="001973A9" w:rsidP="002F7397">
            <w:pPr>
              <w:pStyle w:val="TableText"/>
            </w:pPr>
            <w:r>
              <w:t>I.5.6.h</w:t>
            </w:r>
          </w:p>
        </w:tc>
        <w:tc>
          <w:tcPr>
            <w:tcW w:w="519" w:type="pct"/>
            <w:shd w:val="clear" w:color="auto" w:fill="auto"/>
          </w:tcPr>
          <w:p w:rsidR="001973A9" w:rsidRDefault="001973A9" w:rsidP="002F7397">
            <w:pPr>
              <w:pStyle w:val="TableText"/>
            </w:pPr>
          </w:p>
        </w:tc>
      </w:tr>
      <w:tr w:rsidR="001973A9" w:rsidTr="008B0387">
        <w:trPr>
          <w:trHeight w:val="180"/>
        </w:trPr>
        <w:tc>
          <w:tcPr>
            <w:tcW w:w="3627" w:type="pct"/>
            <w:shd w:val="clear" w:color="auto" w:fill="auto"/>
          </w:tcPr>
          <w:p w:rsidR="001973A9" w:rsidRDefault="001973A9" w:rsidP="007818E3">
            <w:pPr>
              <w:pStyle w:val="TableText"/>
              <w:numPr>
                <w:ilvl w:val="0"/>
                <w:numId w:val="11"/>
              </w:numPr>
            </w:pPr>
            <w:r>
              <w:t xml:space="preserve">Removed </w:t>
            </w:r>
            <w:r w:rsidR="005355F5">
              <w:t>block</w:t>
            </w:r>
            <w:r>
              <w:t xml:space="preserve"> on FOIA/PA processing as information only referred user to Part I, Chapter 7.  All FOIA/PA processing information is contained within Part I, Chapter 7.</w:t>
            </w:r>
          </w:p>
        </w:tc>
        <w:tc>
          <w:tcPr>
            <w:tcW w:w="854" w:type="pct"/>
            <w:shd w:val="clear" w:color="auto" w:fill="auto"/>
          </w:tcPr>
          <w:p w:rsidR="001973A9" w:rsidRDefault="001973A9" w:rsidP="002F7397">
            <w:pPr>
              <w:pStyle w:val="TableText"/>
            </w:pPr>
            <w:r>
              <w:t>I.5.7</w:t>
            </w:r>
          </w:p>
        </w:tc>
        <w:tc>
          <w:tcPr>
            <w:tcW w:w="519" w:type="pct"/>
            <w:shd w:val="clear" w:color="auto" w:fill="auto"/>
          </w:tcPr>
          <w:p w:rsidR="001973A9" w:rsidRDefault="001973A9" w:rsidP="002F7397">
            <w:pPr>
              <w:pStyle w:val="TableText"/>
            </w:pPr>
          </w:p>
        </w:tc>
      </w:tr>
      <w:tr w:rsidR="001973A9" w:rsidTr="008B0387">
        <w:trPr>
          <w:trHeight w:val="180"/>
        </w:trPr>
        <w:tc>
          <w:tcPr>
            <w:tcW w:w="3627" w:type="pct"/>
            <w:shd w:val="clear" w:color="auto" w:fill="auto"/>
          </w:tcPr>
          <w:p w:rsidR="001973A9" w:rsidRDefault="001973A9" w:rsidP="007818E3">
            <w:pPr>
              <w:pStyle w:val="TableText"/>
              <w:numPr>
                <w:ilvl w:val="0"/>
                <w:numId w:val="11"/>
              </w:numPr>
            </w:pPr>
            <w:r>
              <w:t xml:space="preserve">Updated </w:t>
            </w:r>
            <w:r w:rsidR="005355F5">
              <w:t>block</w:t>
            </w:r>
            <w:r>
              <w:t xml:space="preserve"> to include requirement to add information received from the claimant or beneficiary to the electronic folder, if available.</w:t>
            </w:r>
          </w:p>
        </w:tc>
        <w:tc>
          <w:tcPr>
            <w:tcW w:w="854" w:type="pct"/>
            <w:shd w:val="clear" w:color="auto" w:fill="auto"/>
          </w:tcPr>
          <w:p w:rsidR="001973A9" w:rsidRDefault="001973A9" w:rsidP="002F7397">
            <w:pPr>
              <w:pStyle w:val="TableText"/>
            </w:pPr>
            <w:r>
              <w:t>I.5.8.b</w:t>
            </w:r>
          </w:p>
        </w:tc>
        <w:tc>
          <w:tcPr>
            <w:tcW w:w="519" w:type="pct"/>
            <w:shd w:val="clear" w:color="auto" w:fill="auto"/>
          </w:tcPr>
          <w:p w:rsidR="001973A9" w:rsidRDefault="00A82697" w:rsidP="002F7397">
            <w:pPr>
              <w:pStyle w:val="TableText"/>
            </w:pPr>
            <w:r>
              <w:t>I-5-24</w:t>
            </w:r>
          </w:p>
        </w:tc>
      </w:tr>
      <w:tr w:rsidR="001973A9" w:rsidTr="008B0387">
        <w:trPr>
          <w:trHeight w:val="180"/>
        </w:trPr>
        <w:tc>
          <w:tcPr>
            <w:tcW w:w="3627" w:type="pct"/>
            <w:shd w:val="clear" w:color="auto" w:fill="auto"/>
          </w:tcPr>
          <w:p w:rsidR="001973A9" w:rsidRDefault="001973A9" w:rsidP="007818E3">
            <w:pPr>
              <w:pStyle w:val="TableText"/>
              <w:numPr>
                <w:ilvl w:val="0"/>
                <w:numId w:val="11"/>
              </w:numPr>
            </w:pPr>
            <w:r>
              <w:t xml:space="preserve">Updated </w:t>
            </w:r>
            <w:r w:rsidR="005355F5">
              <w:t>block</w:t>
            </w:r>
            <w:r>
              <w:t xml:space="preserve"> to include requirement to add information received from the claimant or beneficiary to the electronic folder, if available.</w:t>
            </w:r>
          </w:p>
        </w:tc>
        <w:tc>
          <w:tcPr>
            <w:tcW w:w="854" w:type="pct"/>
            <w:shd w:val="clear" w:color="auto" w:fill="auto"/>
          </w:tcPr>
          <w:p w:rsidR="001973A9" w:rsidRDefault="001973A9" w:rsidP="002F7397">
            <w:pPr>
              <w:pStyle w:val="TableText"/>
            </w:pPr>
            <w:r>
              <w:t>I.5.8.d</w:t>
            </w:r>
          </w:p>
        </w:tc>
        <w:tc>
          <w:tcPr>
            <w:tcW w:w="519" w:type="pct"/>
            <w:shd w:val="clear" w:color="auto" w:fill="auto"/>
          </w:tcPr>
          <w:p w:rsidR="001973A9" w:rsidRDefault="00A82697" w:rsidP="002F7397">
            <w:pPr>
              <w:pStyle w:val="TableText"/>
            </w:pPr>
            <w:r>
              <w:t>I-5-25</w:t>
            </w:r>
          </w:p>
        </w:tc>
      </w:tr>
      <w:tr w:rsidR="001973A9" w:rsidTr="008B0387">
        <w:trPr>
          <w:trHeight w:val="180"/>
        </w:trPr>
        <w:tc>
          <w:tcPr>
            <w:tcW w:w="3627" w:type="pct"/>
            <w:shd w:val="clear" w:color="auto" w:fill="auto"/>
          </w:tcPr>
          <w:p w:rsidR="001973A9" w:rsidRDefault="001973A9" w:rsidP="007818E3">
            <w:pPr>
              <w:pStyle w:val="TableText"/>
              <w:numPr>
                <w:ilvl w:val="0"/>
                <w:numId w:val="11"/>
              </w:numPr>
            </w:pPr>
            <w:r>
              <w:t xml:space="preserve">Updated </w:t>
            </w:r>
            <w:r w:rsidR="005355F5">
              <w:t>block</w:t>
            </w:r>
            <w:r>
              <w:t xml:space="preserve"> to clarify the purpose of VA Form 27-0820 (series).  Updates include:</w:t>
            </w:r>
          </w:p>
          <w:p w:rsidR="001973A9" w:rsidRDefault="001973A9" w:rsidP="00A51643">
            <w:pPr>
              <w:pStyle w:val="TableText"/>
              <w:numPr>
                <w:ilvl w:val="1"/>
                <w:numId w:val="11"/>
              </w:numPr>
            </w:pPr>
            <w:r>
              <w:t>Removal of identification of recorded information as this is duplicative of the information outlining each version of the VA Form 27-0820 (series) outlined in I.5.9.e</w:t>
            </w:r>
          </w:p>
        </w:tc>
        <w:tc>
          <w:tcPr>
            <w:tcW w:w="854" w:type="pct"/>
            <w:shd w:val="clear" w:color="auto" w:fill="auto"/>
          </w:tcPr>
          <w:p w:rsidR="001973A9" w:rsidRDefault="001973A9" w:rsidP="002F7397">
            <w:pPr>
              <w:pStyle w:val="TableText"/>
            </w:pPr>
            <w:r>
              <w:t>I.5.9.a</w:t>
            </w:r>
          </w:p>
        </w:tc>
        <w:tc>
          <w:tcPr>
            <w:tcW w:w="519" w:type="pct"/>
            <w:shd w:val="clear" w:color="auto" w:fill="auto"/>
          </w:tcPr>
          <w:p w:rsidR="001973A9" w:rsidRDefault="00A82697" w:rsidP="002F7397">
            <w:pPr>
              <w:pStyle w:val="TableText"/>
            </w:pPr>
            <w:r>
              <w:t>I-5-26</w:t>
            </w:r>
          </w:p>
        </w:tc>
      </w:tr>
      <w:tr w:rsidR="001973A9" w:rsidTr="008B0387">
        <w:trPr>
          <w:trHeight w:val="180"/>
        </w:trPr>
        <w:tc>
          <w:tcPr>
            <w:tcW w:w="3627" w:type="pct"/>
            <w:shd w:val="clear" w:color="auto" w:fill="auto"/>
          </w:tcPr>
          <w:p w:rsidR="001973A9" w:rsidRDefault="001973A9" w:rsidP="007818E3">
            <w:pPr>
              <w:pStyle w:val="TableText"/>
              <w:numPr>
                <w:ilvl w:val="0"/>
                <w:numId w:val="11"/>
              </w:numPr>
            </w:pPr>
            <w:r>
              <w:t xml:space="preserve">Updated </w:t>
            </w:r>
            <w:r w:rsidR="005355F5">
              <w:t>block</w:t>
            </w:r>
            <w:r>
              <w:t xml:space="preserve"> to include additional information required for each VA Form 27-0820.  Updates include:</w:t>
            </w:r>
          </w:p>
          <w:p w:rsidR="001973A9" w:rsidRDefault="001973A9" w:rsidP="00F25422">
            <w:pPr>
              <w:pStyle w:val="TableText"/>
              <w:numPr>
                <w:ilvl w:val="1"/>
                <w:numId w:val="11"/>
              </w:numPr>
            </w:pPr>
            <w:r>
              <w:t>Include a complete and accurate reflection of the information brought out during the contact</w:t>
            </w:r>
          </w:p>
          <w:p w:rsidR="001973A9" w:rsidRDefault="001973A9" w:rsidP="00F25422">
            <w:pPr>
              <w:pStyle w:val="TableText"/>
              <w:numPr>
                <w:ilvl w:val="1"/>
                <w:numId w:val="11"/>
              </w:numPr>
            </w:pPr>
            <w:r>
              <w:t>Reflect that the notification of action statement was read to the caller</w:t>
            </w:r>
          </w:p>
          <w:p w:rsidR="001973A9" w:rsidRDefault="001973A9" w:rsidP="00F25422">
            <w:pPr>
              <w:pStyle w:val="TableText"/>
              <w:numPr>
                <w:ilvl w:val="1"/>
                <w:numId w:val="11"/>
              </w:numPr>
            </w:pPr>
            <w:r>
              <w:t>Reflect that the proper Identification Protocol requirements were met (if applicable)</w:t>
            </w:r>
          </w:p>
          <w:p w:rsidR="001973A9" w:rsidRDefault="001973A9" w:rsidP="00F25422">
            <w:pPr>
              <w:pStyle w:val="TableText"/>
              <w:numPr>
                <w:ilvl w:val="1"/>
                <w:numId w:val="11"/>
              </w:numPr>
            </w:pPr>
            <w:r>
              <w:t xml:space="preserve">Include the </w:t>
            </w:r>
            <w:r w:rsidR="006A60AC">
              <w:t>designated representative</w:t>
            </w:r>
            <w:r>
              <w:t xml:space="preserve"> information (if applicable)</w:t>
            </w:r>
          </w:p>
          <w:p w:rsidR="001973A9" w:rsidRDefault="001973A9" w:rsidP="00F25422">
            <w:pPr>
              <w:pStyle w:val="TableText"/>
              <w:numPr>
                <w:ilvl w:val="1"/>
                <w:numId w:val="11"/>
              </w:numPr>
            </w:pPr>
            <w:r>
              <w:t>Include the appropriate employee identification and signature</w:t>
            </w:r>
          </w:p>
        </w:tc>
        <w:tc>
          <w:tcPr>
            <w:tcW w:w="854" w:type="pct"/>
            <w:shd w:val="clear" w:color="auto" w:fill="auto"/>
          </w:tcPr>
          <w:p w:rsidR="001973A9" w:rsidRDefault="001973A9" w:rsidP="002F7397">
            <w:pPr>
              <w:pStyle w:val="TableText"/>
            </w:pPr>
            <w:r>
              <w:t>I.5.9.b</w:t>
            </w:r>
          </w:p>
        </w:tc>
        <w:tc>
          <w:tcPr>
            <w:tcW w:w="519" w:type="pct"/>
            <w:shd w:val="clear" w:color="auto" w:fill="auto"/>
          </w:tcPr>
          <w:p w:rsidR="001973A9" w:rsidRDefault="00A82697" w:rsidP="002F7397">
            <w:pPr>
              <w:pStyle w:val="TableText"/>
            </w:pPr>
            <w:r>
              <w:t>I-5-26</w:t>
            </w:r>
          </w:p>
        </w:tc>
      </w:tr>
      <w:tr w:rsidR="001973A9" w:rsidTr="008B0387">
        <w:trPr>
          <w:trHeight w:val="180"/>
        </w:trPr>
        <w:tc>
          <w:tcPr>
            <w:tcW w:w="3627" w:type="pct"/>
            <w:shd w:val="clear" w:color="auto" w:fill="auto"/>
          </w:tcPr>
          <w:p w:rsidR="001973A9" w:rsidRDefault="001973A9" w:rsidP="007818E3">
            <w:pPr>
              <w:pStyle w:val="TableText"/>
              <w:numPr>
                <w:ilvl w:val="0"/>
                <w:numId w:val="11"/>
              </w:numPr>
            </w:pPr>
            <w:r>
              <w:t xml:space="preserve">Removed </w:t>
            </w:r>
            <w:r w:rsidR="005355F5">
              <w:t>block</w:t>
            </w:r>
            <w:r>
              <w:t xml:space="preserve"> on Determining Work Credit for Special Controlled/Non-Controlled Correspondence as requirements are included in I.5.5.b, I.5.5.e, and I.5.5.j</w:t>
            </w:r>
          </w:p>
        </w:tc>
        <w:tc>
          <w:tcPr>
            <w:tcW w:w="854" w:type="pct"/>
            <w:shd w:val="clear" w:color="auto" w:fill="auto"/>
          </w:tcPr>
          <w:p w:rsidR="001973A9" w:rsidRDefault="001973A9" w:rsidP="002F7397">
            <w:pPr>
              <w:pStyle w:val="TableText"/>
            </w:pPr>
            <w:r>
              <w:t>I.5.11</w:t>
            </w:r>
          </w:p>
        </w:tc>
        <w:tc>
          <w:tcPr>
            <w:tcW w:w="519" w:type="pct"/>
            <w:shd w:val="clear" w:color="auto" w:fill="auto"/>
          </w:tcPr>
          <w:p w:rsidR="001973A9" w:rsidRDefault="001973A9" w:rsidP="002F7397">
            <w:pPr>
              <w:pStyle w:val="TableText"/>
            </w:pPr>
          </w:p>
        </w:tc>
      </w:tr>
    </w:tbl>
    <w:p w:rsidR="00C00323" w:rsidRDefault="00C00323" w:rsidP="00C00323">
      <w:pPr>
        <w:pStyle w:val="ContinuedOnNextPa"/>
      </w:pPr>
      <w:r>
        <w:t>Continued on next page</w:t>
      </w:r>
    </w:p>
    <w:p w:rsidR="00463FB4" w:rsidRDefault="00C00323" w:rsidP="00463FB4">
      <w:pPr>
        <w:pStyle w:val="MapTitleContinued"/>
        <w:rPr>
          <w:b w:val="0"/>
          <w:sz w:val="24"/>
        </w:rPr>
      </w:pPr>
      <w:r w:rsidRPr="00C00323">
        <w:br w:type="page"/>
      </w:r>
      <w:fldSimple w:instr=" STYLEREF &quot;Map Title&quot; ">
        <w:r w:rsidR="00463FB4" w:rsidRPr="00C00323">
          <w:rPr>
            <w:noProof/>
          </w:rPr>
          <w:t>Transmittal Sheet</w:t>
        </w:r>
      </w:fldSimple>
      <w:r w:rsidR="00463FB4" w:rsidRPr="00C00323">
        <w:t xml:space="preserve">, </w:t>
      </w:r>
      <w:r w:rsidR="00463FB4" w:rsidRPr="00C00323">
        <w:rPr>
          <w:b w:val="0"/>
          <w:sz w:val="24"/>
        </w:rPr>
        <w:t>Continued</w:t>
      </w:r>
    </w:p>
    <w:p w:rsidR="00463FB4" w:rsidRDefault="00463FB4" w:rsidP="00463FB4">
      <w:pPr>
        <w:pStyle w:val="BlockLine"/>
      </w:pPr>
      <w:r>
        <w:t xml:space="preserve"> </w:t>
      </w:r>
    </w:p>
    <w:tbl>
      <w:tblPr>
        <w:tblW w:w="0" w:type="auto"/>
        <w:tblLayout w:type="fixed"/>
        <w:tblLook w:val="0000" w:firstRow="0" w:lastRow="0" w:firstColumn="0" w:lastColumn="0" w:noHBand="0" w:noVBand="0"/>
      </w:tblPr>
      <w:tblGrid>
        <w:gridCol w:w="1728"/>
        <w:gridCol w:w="7740"/>
      </w:tblGrid>
      <w:tr w:rsidR="00463FB4" w:rsidRPr="00B4163A" w:rsidTr="00306355">
        <w:tc>
          <w:tcPr>
            <w:tcW w:w="1728" w:type="dxa"/>
          </w:tcPr>
          <w:p w:rsidR="00463FB4" w:rsidRPr="00B4163A" w:rsidRDefault="00463FB4" w:rsidP="00306355">
            <w:pPr>
              <w:pStyle w:val="Heading5"/>
              <w:rPr>
                <w:sz w:val="24"/>
              </w:rPr>
            </w:pPr>
            <w:r w:rsidRPr="00B4163A">
              <w:rPr>
                <w:sz w:val="24"/>
              </w:rPr>
              <w:t>Rescissions</w:t>
            </w:r>
          </w:p>
        </w:tc>
        <w:tc>
          <w:tcPr>
            <w:tcW w:w="7740" w:type="dxa"/>
          </w:tcPr>
          <w:p w:rsidR="00463FB4" w:rsidRPr="00B4163A" w:rsidRDefault="00463FB4" w:rsidP="00306355">
            <w:pPr>
              <w:pStyle w:val="BlockText"/>
            </w:pPr>
            <w:r w:rsidRPr="00B4163A">
              <w:t>None</w:t>
            </w:r>
          </w:p>
        </w:tc>
      </w:tr>
    </w:tbl>
    <w:p w:rsidR="00463FB4" w:rsidRPr="00B4163A" w:rsidRDefault="00463FB4" w:rsidP="00463FB4">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463FB4" w:rsidRPr="00B4163A" w:rsidTr="00306355">
        <w:tc>
          <w:tcPr>
            <w:tcW w:w="1728" w:type="dxa"/>
          </w:tcPr>
          <w:p w:rsidR="00463FB4" w:rsidRPr="00B4163A" w:rsidRDefault="00463FB4" w:rsidP="00306355">
            <w:pPr>
              <w:pStyle w:val="Heading5"/>
              <w:rPr>
                <w:sz w:val="24"/>
              </w:rPr>
            </w:pPr>
            <w:r w:rsidRPr="00B4163A">
              <w:rPr>
                <w:sz w:val="24"/>
              </w:rPr>
              <w:t>Authority</w:t>
            </w:r>
          </w:p>
        </w:tc>
        <w:tc>
          <w:tcPr>
            <w:tcW w:w="7740" w:type="dxa"/>
          </w:tcPr>
          <w:p w:rsidR="00463FB4" w:rsidRPr="00B4163A" w:rsidRDefault="00463FB4" w:rsidP="00306355">
            <w:pPr>
              <w:pStyle w:val="BlockText"/>
            </w:pPr>
            <w:r w:rsidRPr="00B4163A">
              <w:t>By Direction of the Under Secretary for Benefits</w:t>
            </w:r>
          </w:p>
        </w:tc>
      </w:tr>
    </w:tbl>
    <w:p w:rsidR="00463FB4" w:rsidRPr="00B4163A" w:rsidRDefault="00463FB4" w:rsidP="00463FB4">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463FB4" w:rsidRPr="00B4163A" w:rsidTr="00306355">
        <w:tc>
          <w:tcPr>
            <w:tcW w:w="1728" w:type="dxa"/>
          </w:tcPr>
          <w:p w:rsidR="00463FB4" w:rsidRPr="00B4163A" w:rsidRDefault="00463FB4" w:rsidP="00306355">
            <w:pPr>
              <w:pStyle w:val="Heading5"/>
              <w:rPr>
                <w:sz w:val="24"/>
              </w:rPr>
            </w:pPr>
            <w:r w:rsidRPr="00B4163A">
              <w:rPr>
                <w:sz w:val="24"/>
              </w:rPr>
              <w:t>Signature</w:t>
            </w:r>
          </w:p>
        </w:tc>
        <w:tc>
          <w:tcPr>
            <w:tcW w:w="7740" w:type="dxa"/>
          </w:tcPr>
          <w:p w:rsidR="000710AC" w:rsidRDefault="000710AC" w:rsidP="000710AC">
            <w:r>
              <w:t>Robert Carr</w:t>
            </w:r>
            <w:r w:rsidRPr="00B4163A">
              <w:t xml:space="preserve">, </w:t>
            </w:r>
            <w:r>
              <w:t xml:space="preserve">Acting </w:t>
            </w:r>
            <w:r w:rsidRPr="00B4163A">
              <w:t>Director</w:t>
            </w:r>
          </w:p>
          <w:p w:rsidR="000710AC" w:rsidRPr="00B4163A" w:rsidRDefault="000710AC" w:rsidP="000710AC">
            <w:pPr>
              <w:rPr>
                <w:szCs w:val="20"/>
              </w:rPr>
            </w:pPr>
            <w:r>
              <w:t>Benefits Assistance Service</w:t>
            </w:r>
          </w:p>
          <w:p w:rsidR="00463FB4" w:rsidRPr="00B4163A" w:rsidRDefault="00463FB4" w:rsidP="000710AC">
            <w:pPr>
              <w:pStyle w:val="MemoLine"/>
              <w:ind w:left="-18" w:right="612"/>
            </w:pPr>
          </w:p>
        </w:tc>
      </w:tr>
      <w:tr w:rsidR="00463FB4" w:rsidTr="00306355">
        <w:tc>
          <w:tcPr>
            <w:tcW w:w="1728" w:type="dxa"/>
          </w:tcPr>
          <w:p w:rsidR="00463FB4" w:rsidRPr="00B4163A" w:rsidRDefault="00463FB4" w:rsidP="00306355">
            <w:pPr>
              <w:pStyle w:val="Heading5"/>
              <w:rPr>
                <w:sz w:val="24"/>
              </w:rPr>
            </w:pPr>
            <w:r w:rsidRPr="00B4163A">
              <w:t xml:space="preserve"> </w:t>
            </w:r>
            <w:r w:rsidRPr="00B4163A">
              <w:rPr>
                <w:sz w:val="24"/>
              </w:rPr>
              <w:t>Distribution</w:t>
            </w:r>
          </w:p>
        </w:tc>
        <w:tc>
          <w:tcPr>
            <w:tcW w:w="7740" w:type="dxa"/>
          </w:tcPr>
          <w:p w:rsidR="00463FB4" w:rsidRDefault="00463FB4" w:rsidP="00306355">
            <w:pPr>
              <w:pStyle w:val="BlockText"/>
              <w:jc w:val="center"/>
            </w:pPr>
            <w:r w:rsidRPr="00B4163A">
              <w:t>LOCAL REPRODUCTION AUTHORIZED</w:t>
            </w:r>
          </w:p>
        </w:tc>
      </w:tr>
    </w:tbl>
    <w:p w:rsidR="00463FB4" w:rsidRDefault="00463FB4" w:rsidP="00463FB4">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rsidR="00504F80" w:rsidRDefault="00504F80" w:rsidP="00463FB4">
      <w:pPr>
        <w:pStyle w:val="MapTitleContinued"/>
      </w:pPr>
    </w:p>
    <w:sectPr w:rsidR="00504F80" w:rsidSect="00237C22">
      <w:footerReference w:type="even" r:id="rId13"/>
      <w:footerReference w:type="default" r:id="rId14"/>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51" w:rsidRDefault="00E86451" w:rsidP="00C765C7">
      <w:r>
        <w:separator/>
      </w:r>
    </w:p>
  </w:endnote>
  <w:endnote w:type="continuationSeparator" w:id="0">
    <w:p w:rsidR="00E86451" w:rsidRDefault="00E86451"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6CF">
      <w:rPr>
        <w:rStyle w:val="PageNumber"/>
        <w:noProof/>
      </w:rPr>
      <w:t>i</w:t>
    </w:r>
    <w:r>
      <w:rPr>
        <w:rStyle w:val="PageNumber"/>
      </w:rPr>
      <w:fldChar w:fldCharType="end"/>
    </w:r>
  </w:p>
  <w:p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51" w:rsidRDefault="00E86451" w:rsidP="00C765C7">
      <w:r>
        <w:separator/>
      </w:r>
    </w:p>
  </w:footnote>
  <w:footnote w:type="continuationSeparator" w:id="0">
    <w:p w:rsidR="00E86451" w:rsidRDefault="00E86451"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fspro_2columns"/>
      </v:shape>
    </w:pict>
  </w:numPicBullet>
  <w:numPicBullet w:numPicBulletId="1">
    <w:pict>
      <v:shape id="_x0000_i1031" type="#_x0000_t75" style="width:12pt;height:12pt" o:bullet="t">
        <v:imagedata r:id="rId2" o:title="advanced"/>
      </v:shape>
    </w:pict>
  </w:numPicBullet>
  <w:numPicBullet w:numPicBulletId="2">
    <w:pict>
      <v:shape id="_x0000_i1032" type="#_x0000_t75" style="width:12pt;height:12pt" o:bullet="t">
        <v:imagedata r:id="rId3" o:title="continue"/>
      </v:shape>
    </w:pict>
  </w:numPicBullet>
  <w:numPicBullet w:numPicBulletId="3">
    <w:pict>
      <v:shape id="_x0000_i1033"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2A7AF6"/>
    <w:multiLevelType w:val="hybridMultilevel"/>
    <w:tmpl w:val="7C740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0"/>
  </w:num>
  <w:num w:numId="4">
    <w:abstractNumId w:val="8"/>
  </w:num>
  <w:num w:numId="5">
    <w:abstractNumId w:val="5"/>
  </w:num>
  <w:num w:numId="6">
    <w:abstractNumId w:val="4"/>
  </w:num>
  <w:num w:numId="7">
    <w:abstractNumId w:val="9"/>
  </w:num>
  <w:num w:numId="8">
    <w:abstractNumId w:val="3"/>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FontSetFontSetFontSetFontSetimistyles.xml"/>
  </w:docVars>
  <w:rsids>
    <w:rsidRoot w:val="00FF26A6"/>
    <w:rsid w:val="00002543"/>
    <w:rsid w:val="00002A1E"/>
    <w:rsid w:val="000054EF"/>
    <w:rsid w:val="000074AE"/>
    <w:rsid w:val="00014A89"/>
    <w:rsid w:val="000252C6"/>
    <w:rsid w:val="000256FB"/>
    <w:rsid w:val="00061A01"/>
    <w:rsid w:val="00070F6C"/>
    <w:rsid w:val="000710AC"/>
    <w:rsid w:val="00093228"/>
    <w:rsid w:val="000A34C8"/>
    <w:rsid w:val="000A7776"/>
    <w:rsid w:val="000D0293"/>
    <w:rsid w:val="00100433"/>
    <w:rsid w:val="0010215F"/>
    <w:rsid w:val="00106EEF"/>
    <w:rsid w:val="00112A28"/>
    <w:rsid w:val="00123973"/>
    <w:rsid w:val="001253ED"/>
    <w:rsid w:val="00186D46"/>
    <w:rsid w:val="001973A9"/>
    <w:rsid w:val="001B42E6"/>
    <w:rsid w:val="001C3AE3"/>
    <w:rsid w:val="001C3EB5"/>
    <w:rsid w:val="001C4D99"/>
    <w:rsid w:val="001F62CA"/>
    <w:rsid w:val="002041BE"/>
    <w:rsid w:val="002356EB"/>
    <w:rsid w:val="00237C22"/>
    <w:rsid w:val="00240624"/>
    <w:rsid w:val="002B4D4F"/>
    <w:rsid w:val="002B7A7E"/>
    <w:rsid w:val="002F5B21"/>
    <w:rsid w:val="002F7397"/>
    <w:rsid w:val="00332B80"/>
    <w:rsid w:val="00333CE0"/>
    <w:rsid w:val="00341981"/>
    <w:rsid w:val="003473A1"/>
    <w:rsid w:val="00366D36"/>
    <w:rsid w:val="00386999"/>
    <w:rsid w:val="003A4472"/>
    <w:rsid w:val="003A5661"/>
    <w:rsid w:val="003B2927"/>
    <w:rsid w:val="003C11A1"/>
    <w:rsid w:val="003D47AF"/>
    <w:rsid w:val="003E2CA2"/>
    <w:rsid w:val="003F3021"/>
    <w:rsid w:val="003F6048"/>
    <w:rsid w:val="003F672A"/>
    <w:rsid w:val="00401EAD"/>
    <w:rsid w:val="0040351B"/>
    <w:rsid w:val="004065DF"/>
    <w:rsid w:val="0041026E"/>
    <w:rsid w:val="00421403"/>
    <w:rsid w:val="00422836"/>
    <w:rsid w:val="00435BA5"/>
    <w:rsid w:val="00450FD6"/>
    <w:rsid w:val="00455EF7"/>
    <w:rsid w:val="004562CC"/>
    <w:rsid w:val="00463FB4"/>
    <w:rsid w:val="00471ECA"/>
    <w:rsid w:val="004829F5"/>
    <w:rsid w:val="00482FA3"/>
    <w:rsid w:val="0048559D"/>
    <w:rsid w:val="00492184"/>
    <w:rsid w:val="00494175"/>
    <w:rsid w:val="004F375E"/>
    <w:rsid w:val="00504F80"/>
    <w:rsid w:val="00506485"/>
    <w:rsid w:val="00513DA7"/>
    <w:rsid w:val="00516C82"/>
    <w:rsid w:val="005355F5"/>
    <w:rsid w:val="00535C9D"/>
    <w:rsid w:val="00551AD1"/>
    <w:rsid w:val="0056460F"/>
    <w:rsid w:val="005735CA"/>
    <w:rsid w:val="00594258"/>
    <w:rsid w:val="005D163E"/>
    <w:rsid w:val="005D257E"/>
    <w:rsid w:val="005E4363"/>
    <w:rsid w:val="00600DC7"/>
    <w:rsid w:val="0062068D"/>
    <w:rsid w:val="00631016"/>
    <w:rsid w:val="006317AA"/>
    <w:rsid w:val="006473C3"/>
    <w:rsid w:val="006661DB"/>
    <w:rsid w:val="006708D7"/>
    <w:rsid w:val="006837E0"/>
    <w:rsid w:val="006A60AC"/>
    <w:rsid w:val="006B3DA2"/>
    <w:rsid w:val="006B7262"/>
    <w:rsid w:val="006C3E5F"/>
    <w:rsid w:val="006C48FF"/>
    <w:rsid w:val="006D10E5"/>
    <w:rsid w:val="006D49C8"/>
    <w:rsid w:val="006D52FE"/>
    <w:rsid w:val="006D7203"/>
    <w:rsid w:val="006F6D37"/>
    <w:rsid w:val="00705486"/>
    <w:rsid w:val="007067A0"/>
    <w:rsid w:val="00711FB3"/>
    <w:rsid w:val="00720FED"/>
    <w:rsid w:val="00724248"/>
    <w:rsid w:val="00732186"/>
    <w:rsid w:val="00737049"/>
    <w:rsid w:val="0075162E"/>
    <w:rsid w:val="00754EAD"/>
    <w:rsid w:val="007741C0"/>
    <w:rsid w:val="00775A6F"/>
    <w:rsid w:val="007818E3"/>
    <w:rsid w:val="007949FE"/>
    <w:rsid w:val="007A0C5F"/>
    <w:rsid w:val="007A7DE3"/>
    <w:rsid w:val="007C1FB7"/>
    <w:rsid w:val="007D5B97"/>
    <w:rsid w:val="007E5515"/>
    <w:rsid w:val="0080590C"/>
    <w:rsid w:val="008139D3"/>
    <w:rsid w:val="008144E7"/>
    <w:rsid w:val="00815188"/>
    <w:rsid w:val="00822A16"/>
    <w:rsid w:val="0084440B"/>
    <w:rsid w:val="00856C79"/>
    <w:rsid w:val="00861E6F"/>
    <w:rsid w:val="0086475B"/>
    <w:rsid w:val="00875AFA"/>
    <w:rsid w:val="0088609E"/>
    <w:rsid w:val="0089210E"/>
    <w:rsid w:val="008B0387"/>
    <w:rsid w:val="008B11B0"/>
    <w:rsid w:val="008B4CB5"/>
    <w:rsid w:val="008C723F"/>
    <w:rsid w:val="008D12C3"/>
    <w:rsid w:val="008D458B"/>
    <w:rsid w:val="008E22CF"/>
    <w:rsid w:val="008E5824"/>
    <w:rsid w:val="008E589A"/>
    <w:rsid w:val="008F14EA"/>
    <w:rsid w:val="008F1D5B"/>
    <w:rsid w:val="00906454"/>
    <w:rsid w:val="00916AE6"/>
    <w:rsid w:val="00930355"/>
    <w:rsid w:val="00933BDB"/>
    <w:rsid w:val="00942E2A"/>
    <w:rsid w:val="00945950"/>
    <w:rsid w:val="0097599C"/>
    <w:rsid w:val="009769CD"/>
    <w:rsid w:val="00997D98"/>
    <w:rsid w:val="009B04F8"/>
    <w:rsid w:val="009C22C8"/>
    <w:rsid w:val="009C7D10"/>
    <w:rsid w:val="009E6E1A"/>
    <w:rsid w:val="009E7E36"/>
    <w:rsid w:val="00A315CB"/>
    <w:rsid w:val="00A3579D"/>
    <w:rsid w:val="00A51643"/>
    <w:rsid w:val="00A53A70"/>
    <w:rsid w:val="00A55356"/>
    <w:rsid w:val="00A557BB"/>
    <w:rsid w:val="00A82697"/>
    <w:rsid w:val="00A8520D"/>
    <w:rsid w:val="00AC16CF"/>
    <w:rsid w:val="00AC2993"/>
    <w:rsid w:val="00AD0EDC"/>
    <w:rsid w:val="00AE50DB"/>
    <w:rsid w:val="00AF2CD6"/>
    <w:rsid w:val="00B0142E"/>
    <w:rsid w:val="00B0548B"/>
    <w:rsid w:val="00B30D2F"/>
    <w:rsid w:val="00B50AD7"/>
    <w:rsid w:val="00B64103"/>
    <w:rsid w:val="00B64F2F"/>
    <w:rsid w:val="00B93A3C"/>
    <w:rsid w:val="00B95117"/>
    <w:rsid w:val="00B96287"/>
    <w:rsid w:val="00BA37F2"/>
    <w:rsid w:val="00BB2D73"/>
    <w:rsid w:val="00BB3345"/>
    <w:rsid w:val="00BF7FE3"/>
    <w:rsid w:val="00C00323"/>
    <w:rsid w:val="00C0404B"/>
    <w:rsid w:val="00C22ACB"/>
    <w:rsid w:val="00C24D50"/>
    <w:rsid w:val="00C273AD"/>
    <w:rsid w:val="00C3236A"/>
    <w:rsid w:val="00C331E0"/>
    <w:rsid w:val="00C635D3"/>
    <w:rsid w:val="00C765C7"/>
    <w:rsid w:val="00CA3BC3"/>
    <w:rsid w:val="00CD2D08"/>
    <w:rsid w:val="00D33A6E"/>
    <w:rsid w:val="00D36508"/>
    <w:rsid w:val="00D427B2"/>
    <w:rsid w:val="00D57B91"/>
    <w:rsid w:val="00D61497"/>
    <w:rsid w:val="00D67E3B"/>
    <w:rsid w:val="00D71A0A"/>
    <w:rsid w:val="00D759FA"/>
    <w:rsid w:val="00D77146"/>
    <w:rsid w:val="00D823AF"/>
    <w:rsid w:val="00D87741"/>
    <w:rsid w:val="00D9207B"/>
    <w:rsid w:val="00D95DEC"/>
    <w:rsid w:val="00DA11C2"/>
    <w:rsid w:val="00DB074F"/>
    <w:rsid w:val="00DB2902"/>
    <w:rsid w:val="00DB743E"/>
    <w:rsid w:val="00DE0E35"/>
    <w:rsid w:val="00DE4E32"/>
    <w:rsid w:val="00DE4EFE"/>
    <w:rsid w:val="00DF44AC"/>
    <w:rsid w:val="00E07451"/>
    <w:rsid w:val="00E2529E"/>
    <w:rsid w:val="00E36906"/>
    <w:rsid w:val="00E459BD"/>
    <w:rsid w:val="00E648E9"/>
    <w:rsid w:val="00E86451"/>
    <w:rsid w:val="00E964FD"/>
    <w:rsid w:val="00EA7E73"/>
    <w:rsid w:val="00EC67DA"/>
    <w:rsid w:val="00ED36E4"/>
    <w:rsid w:val="00ED4D5E"/>
    <w:rsid w:val="00ED71C8"/>
    <w:rsid w:val="00EF4312"/>
    <w:rsid w:val="00F006B2"/>
    <w:rsid w:val="00F25422"/>
    <w:rsid w:val="00F25C9F"/>
    <w:rsid w:val="00F43DFA"/>
    <w:rsid w:val="00F617B4"/>
    <w:rsid w:val="00F87670"/>
    <w:rsid w:val="00F90609"/>
    <w:rsid w:val="00FB6AD1"/>
    <w:rsid w:val="00FC69FC"/>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uiPriority w:val="99"/>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uiPriority w:val="99"/>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3262-7E72-4827-AF20-6F4868708AA5}">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 ds:uri="b438dcf7-3998-4283-b7fc-0ec6fa8e430f"/>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42220529-5901-4530-9C67-E8CD2BE60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E8265D-F59A-4E8A-9C43-4BF07C6D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13</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capktibb</dc:creator>
  <cp:lastModifiedBy>Department of Veterans Affairs</cp:lastModifiedBy>
  <cp:revision>4</cp:revision>
  <dcterms:created xsi:type="dcterms:W3CDTF">2016-07-28T15:56:00Z</dcterms:created>
  <dcterms:modified xsi:type="dcterms:W3CDTF">2016-08-02T17:31:00Z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